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EF6D04" w14:textId="77777777" w:rsidR="004D0689" w:rsidRDefault="00000000">
      <w:pPr>
        <w:spacing w:line="360" w:lineRule="auto"/>
        <w:jc w:val="both"/>
        <w:rPr>
          <w:b/>
          <w:bCs/>
        </w:rPr>
      </w:pPr>
      <w:r>
        <w:rPr>
          <w:b/>
          <w:bCs/>
          <w:noProof/>
        </w:rPr>
        <w:drawing>
          <wp:inline distT="114300" distB="114300" distL="114300" distR="114300" wp14:anchorId="2E4FC759" wp14:editId="459F6538">
            <wp:extent cx="2505075" cy="10191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4"/>
                    <a:srcRect/>
                    <a:stretch>
                      <a:fillRect/>
                    </a:stretch>
                  </pic:blipFill>
                  <pic:spPr>
                    <a:xfrm>
                      <a:off x="0" y="0"/>
                      <a:ext cx="2505075" cy="1019175"/>
                    </a:xfrm>
                    <a:prstGeom prst="rect">
                      <a:avLst/>
                    </a:prstGeom>
                    <a:ln/>
                  </pic:spPr>
                </pic:pic>
              </a:graphicData>
            </a:graphic>
          </wp:inline>
        </w:drawing>
      </w:r>
    </w:p>
    <w:p w14:paraId="5635FB5B" w14:textId="77777777" w:rsidR="004D0689" w:rsidRDefault="00000000">
      <w:pPr>
        <w:spacing w:line="360" w:lineRule="auto"/>
        <w:jc w:val="both"/>
        <w:rPr>
          <w:b/>
          <w:bCs/>
        </w:rPr>
      </w:pPr>
      <w:r>
        <w:rPr>
          <w:b/>
          <w:bCs/>
        </w:rPr>
        <w:t>Programme: Certificate of Higher Education Skills for the Workplace (Health &amp; Social Care)</w:t>
      </w:r>
    </w:p>
    <w:p w14:paraId="6FF8C825" w14:textId="77777777" w:rsidR="004D0689" w:rsidRDefault="00000000">
      <w:pPr>
        <w:spacing w:line="360" w:lineRule="auto"/>
        <w:jc w:val="both"/>
        <w:rPr>
          <w:b/>
          <w:bCs/>
        </w:rPr>
      </w:pPr>
      <w:r>
        <w:rPr>
          <w:b/>
          <w:bCs/>
        </w:rPr>
        <w:t>Module: Introduction to Health and Social Care</w:t>
      </w:r>
    </w:p>
    <w:p w14:paraId="36231779" w14:textId="77777777" w:rsidR="004D0689" w:rsidRDefault="00000000">
      <w:pPr>
        <w:spacing w:line="360" w:lineRule="auto"/>
        <w:jc w:val="both"/>
        <w:rPr>
          <w:b/>
          <w:bCs/>
        </w:rPr>
      </w:pPr>
      <w:r>
        <w:rPr>
          <w:b/>
          <w:bCs/>
        </w:rPr>
        <w:t>Module code: LCHS4003</w:t>
      </w:r>
    </w:p>
    <w:p w14:paraId="7B484350" w14:textId="77777777" w:rsidR="004D0689" w:rsidRDefault="00000000">
      <w:pPr>
        <w:spacing w:line="360" w:lineRule="auto"/>
        <w:jc w:val="both"/>
        <w:rPr>
          <w:b/>
          <w:bCs/>
        </w:rPr>
      </w:pPr>
      <w:r>
        <w:rPr>
          <w:b/>
          <w:bCs/>
        </w:rPr>
        <w:t>Assignment Title: Written Assignment</w:t>
      </w:r>
    </w:p>
    <w:p w14:paraId="64FEB8BE" w14:textId="77777777" w:rsidR="00BD1BE1" w:rsidRPr="00BD1BE1" w:rsidRDefault="00BD1BE1" w:rsidP="00BD1BE1">
      <w:pPr>
        <w:spacing w:line="360" w:lineRule="auto"/>
        <w:jc w:val="both"/>
        <w:rPr>
          <w:b/>
          <w:bCs/>
        </w:rPr>
      </w:pPr>
      <w:r w:rsidRPr="00BD1BE1">
        <w:rPr>
          <w:b/>
          <w:bCs/>
        </w:rPr>
        <w:t>Student Name: Wilaiwan Omnok</w:t>
      </w:r>
    </w:p>
    <w:p w14:paraId="1CB71851" w14:textId="1B023A9A" w:rsidR="00BD1BE1" w:rsidRDefault="00BD1BE1" w:rsidP="00BD1BE1">
      <w:pPr>
        <w:spacing w:line="360" w:lineRule="auto"/>
        <w:jc w:val="both"/>
        <w:rPr>
          <w:b/>
          <w:bCs/>
        </w:rPr>
      </w:pPr>
      <w:r w:rsidRPr="00BD1BE1">
        <w:rPr>
          <w:b/>
          <w:bCs/>
        </w:rPr>
        <w:t>Student ID: 2309239</w:t>
      </w:r>
    </w:p>
    <w:p w14:paraId="1E4B4369" w14:textId="77777777" w:rsidR="004D0689" w:rsidRDefault="004D0689">
      <w:pPr>
        <w:spacing w:line="360" w:lineRule="auto"/>
        <w:jc w:val="both"/>
        <w:rPr>
          <w:b/>
          <w:bCs/>
        </w:rPr>
      </w:pPr>
    </w:p>
    <w:p w14:paraId="4865C39F" w14:textId="77777777" w:rsidR="004D0689" w:rsidRDefault="004D0689">
      <w:pPr>
        <w:spacing w:line="360" w:lineRule="auto"/>
        <w:jc w:val="both"/>
        <w:rPr>
          <w:b/>
          <w:bCs/>
        </w:rPr>
      </w:pPr>
    </w:p>
    <w:p w14:paraId="030E989C" w14:textId="77777777" w:rsidR="004D0689" w:rsidRDefault="00000000">
      <w:pPr>
        <w:spacing w:line="360" w:lineRule="auto"/>
        <w:jc w:val="both"/>
        <w:rPr>
          <w:b/>
          <w:bCs/>
        </w:rPr>
      </w:pPr>
      <w:r>
        <w:br w:type="page"/>
      </w:r>
    </w:p>
    <w:p w14:paraId="62015716" w14:textId="77777777" w:rsidR="004D0689" w:rsidRDefault="00000000">
      <w:pPr>
        <w:spacing w:line="360" w:lineRule="auto"/>
        <w:jc w:val="both"/>
        <w:rPr>
          <w:b/>
          <w:bCs/>
        </w:rPr>
      </w:pPr>
      <w:r>
        <w:rPr>
          <w:b/>
          <w:bCs/>
        </w:rPr>
        <w:lastRenderedPageBreak/>
        <w:t>Abstract</w:t>
      </w:r>
    </w:p>
    <w:p w14:paraId="6876CC98" w14:textId="77777777" w:rsidR="004D0689" w:rsidRDefault="00000000">
      <w:pPr>
        <w:spacing w:before="120" w:after="120" w:line="360" w:lineRule="auto"/>
        <w:jc w:val="both"/>
      </w:pPr>
      <w:r>
        <w:t xml:space="preserve">This assignment was purposefully designed to evaluate the roles and responsibilities of a practitioner in the domain of Health and Social Care upon reflection. A total of 3 questions were answered here to explore such related areas. Firstly, the way in which an H&amp;SC practitioner should initiate communication was discussed by aligning with the Equality Act 2010 and Osgood-Schramm’s model of communication. After that, the discussion went on, underscoring the necessity of safeguarding patient data from the lens of the NHS Code of Practice and the Data Protection Act 2018. Lastly, the requirement of continuous development in professional aspects was briefly described through reflection.    </w:t>
      </w:r>
    </w:p>
    <w:p w14:paraId="3093DFC0" w14:textId="77777777" w:rsidR="004D0689" w:rsidRDefault="004D0689">
      <w:pPr>
        <w:spacing w:before="120" w:after="120" w:line="360" w:lineRule="auto"/>
        <w:jc w:val="both"/>
      </w:pPr>
    </w:p>
    <w:p w14:paraId="33FB9E3F" w14:textId="77777777" w:rsidR="004D0689" w:rsidRDefault="00000000">
      <w:pPr>
        <w:spacing w:line="360" w:lineRule="auto"/>
        <w:jc w:val="both"/>
      </w:pPr>
      <w:r>
        <w:br w:type="page"/>
      </w:r>
    </w:p>
    <w:p w14:paraId="56F29407" w14:textId="77777777" w:rsidR="004D0689" w:rsidRDefault="004D0689">
      <w:pPr>
        <w:spacing w:line="360" w:lineRule="auto"/>
        <w:jc w:val="both"/>
      </w:pPr>
    </w:p>
    <w:p w14:paraId="3325B2C6" w14:textId="77777777" w:rsidR="004D0689" w:rsidRDefault="00000000">
      <w:pPr>
        <w:spacing w:line="360" w:lineRule="auto"/>
        <w:jc w:val="both"/>
        <w:rPr>
          <w:b/>
          <w:bCs/>
        </w:rPr>
      </w:pPr>
      <w:r>
        <w:rPr>
          <w:b/>
          <w:bCs/>
        </w:rPr>
        <w:t xml:space="preserve">Introduction </w:t>
      </w:r>
    </w:p>
    <w:p w14:paraId="484834CA" w14:textId="77777777" w:rsidR="004D0689" w:rsidRDefault="00000000">
      <w:pPr>
        <w:spacing w:before="120" w:after="120" w:line="360" w:lineRule="auto"/>
        <w:jc w:val="both"/>
      </w:pPr>
      <w:r>
        <w:t xml:space="preserve">The effectiveness of health and social care (H&amp;SC) services relies on the role and responsibilities of the care service providers and practitioners (Masterson et al., 2022). This is why effective skill sets are crucial for the H&amp;SC practitioners to offer quality care services. This assignment is going to provide a detailed overview of my role as an H&amp;SC practitioner in the future in different dimensions. The way in which an H&amp;SC practitioner should communicate will be evaluated, followed by Equality Act 2010 and a communication model. The requirement of good administrative skills in the H&amp;SC sector to adhere to the Data Protection Act 2018 and keep records will be illustrated. After that, the need for continuing my own professional development will be reflected in the requirement to work under collaborative pressure and in a multi-professional team within the H&amp;SC sector. Lastly, the overall understanding of my role as an H&amp;SC practitioner in the future will be summarised.    </w:t>
      </w:r>
    </w:p>
    <w:p w14:paraId="151E0194" w14:textId="77777777" w:rsidR="004D0689" w:rsidRDefault="00000000">
      <w:pPr>
        <w:spacing w:line="360" w:lineRule="auto"/>
        <w:jc w:val="both"/>
      </w:pPr>
      <w:r>
        <w:rPr>
          <w:b/>
          <w:bCs/>
        </w:rPr>
        <w:t>1. Communication with Service Users Under Equality Act</w:t>
      </w:r>
    </w:p>
    <w:p w14:paraId="3B2F363A" w14:textId="77777777" w:rsidR="004D0689" w:rsidRDefault="00000000">
      <w:pPr>
        <w:spacing w:before="120" w:after="120" w:line="360" w:lineRule="auto"/>
        <w:jc w:val="both"/>
      </w:pPr>
      <w:r>
        <w:t xml:space="preserve">Being an H&amp;SC practitioner, my primary concern will be ensuring healthy and meaningful communication with patients and their family members. The reason behind it is that service users will be able to share their service needs when they are comfortable with me. Communication is the key to understanding the areas of requirement of the support seekers. In this regard, the Equality Act 2010 is notable as it stands for eliminating unfairness and discrimination across the service sectors, including the H&amp;SC segment. In detail, this legislation was designed to eliminate unlawful treatment, including harassment, discriminatory activities, and others in service sectors and the workplace (GOV-UK, 2025). This is why effective communication is required in the H&amp;SC sector to avoid this kind of unlawful activity. It is noticed that effective clinical communication is required as it allows the patients to directly seek proper treatments (Stivers and Tate, 2023). Similarly, the patients feel valued and comfortable when they find an anti-discriminatory space in H&amp;SC firms. After becoming an H&amp;SC practitioner, I would strictly avoid any kind of discriminatory or unlawful activities while handling patients. It will ensure adherence to the Equality Act 2010, and each support seeker will be treated equally while seeking care services. I will communicate with patients by showing respect toward them regardless of their age, gender or other social and financial identities to make them feel secure and safe at the H&amp;SC center. It will remove their fear of being misjudged or treated unlawfully while opting for acquiring care services.        </w:t>
      </w:r>
    </w:p>
    <w:p w14:paraId="1D401009" w14:textId="77777777" w:rsidR="004D0689" w:rsidRDefault="00000000">
      <w:pPr>
        <w:spacing w:before="120" w:after="120" w:line="360" w:lineRule="auto"/>
        <w:jc w:val="both"/>
      </w:pPr>
      <w:r>
        <w:t xml:space="preserve">In this regard, Osgood-Schramm’s model of communication is suitable to justify the importance of communication in the H&amp;SC sector as an H&amp;SC practitioner. W. Schramm and C. Osgood </w:t>
      </w:r>
      <w:r>
        <w:lastRenderedPageBreak/>
        <w:t xml:space="preserve">hypothesised a circular communication model to underscore that communication should not be limited in a linear way (Pavenkov and Rubtcova, 2021). This model highlights that the response of the recipient relies on the message coming from the source. From this viewpoint, a soft and gentle voice should be maintained while interacting with the service users to make their response effective. It is found that the quality of patient-practitioner communication (PPC) contributes in enhancing the satisfaction of patients (Jameel et al., 2025). This is why I need to focus on ensuring patient satisfaction using my effective communication skill as an H&amp;SC practitioner. From the lens of a circular model of communication, I will be able to get preferable responses from the patients only after delivering meaningful and non-discriminatory messages. It will reflect my sincerity and professionalism in the H&amp;SC sector, which will guide me to achieve success in my career as an H&amp;SC practitioner. Apart from that, the patients will prefer to revisit me due to the higher level of satisfaction with being involved in seamless and effective PPC.             </w:t>
      </w:r>
    </w:p>
    <w:p w14:paraId="3DB3EF41" w14:textId="77777777" w:rsidR="004D0689" w:rsidRDefault="00000000">
      <w:pPr>
        <w:spacing w:line="360" w:lineRule="auto"/>
        <w:jc w:val="both"/>
        <w:rPr>
          <w:b/>
          <w:bCs/>
        </w:rPr>
      </w:pPr>
      <w:r>
        <w:rPr>
          <w:b/>
          <w:bCs/>
        </w:rPr>
        <w:t>2. Administrative Skills and Record Keeping Under Data Protection</w:t>
      </w:r>
    </w:p>
    <w:p w14:paraId="3AEE5D1E" w14:textId="77777777" w:rsidR="004D0689" w:rsidRDefault="00000000">
      <w:pPr>
        <w:spacing w:before="120" w:after="120" w:line="360" w:lineRule="auto"/>
        <w:jc w:val="both"/>
      </w:pPr>
      <w:r>
        <w:t>After becoming an H&amp;SC practitioner, I would prefer to ensure safe practices in the H&amp;SC sector using my good administrative skill. The reason behind it is the “Data Protection Act 2018”, as this act stands for the enforcement against the processing of personal data (Government UK, 2025). Based on this legislation, ensuring the safety of patient information is essential in the H&amp;SC sector. In this regard, the role of an H&amp;SC practitioner is crucial as they are the information processors by directly interacting with the service users. It is noticed that the H&amp;SC sector is undergoing the digital transformation, which has increased the risk of data security for patients (Yadav et al., 2023). The reason behind it is that keeping records of patient data and copying the data has become easier, but the chances of third party access is increasing due to technological advancement. This is why I will use digital technologies such as password protected devices and systems to safeguard the gathered information of my patients. It will allow me to adhere to the guidelines of the Data Protection Act 2018 to foster my effective administrative skill for seamless H&amp;SC practice.</w:t>
      </w:r>
    </w:p>
    <w:p w14:paraId="65770CD5" w14:textId="77777777" w:rsidR="004D0689" w:rsidRDefault="00000000">
      <w:pPr>
        <w:spacing w:before="120" w:after="120" w:line="360" w:lineRule="auto"/>
        <w:jc w:val="both"/>
      </w:pPr>
      <w:r>
        <w:t xml:space="preserve">The policy framework like the “NHS Code of Practice on Confidentiality" is also notable here as it is strictly followed in the UK H&amp;SC sector to maintain the confidentiality of the patients. The Department of Health introduced this Code of Practice between 2022 and 2003 after considering major public consultation (Department Of Health, 2025). This code is applicable to the individuals involved across the H&amp;SC sectors. It ensures that the confidential information of support seekers should not be utilised by the H&amp;SC practitioners or care provider firms in an unethical way. Similarly, disclosing the patient data publicly is also considered as a violation of the NHS Code of </w:t>
      </w:r>
      <w:r>
        <w:lastRenderedPageBreak/>
        <w:t>Practice. It is also found that the H&amp;SC professionals need to provide confirmation regarding their ethical practice.</w:t>
      </w:r>
    </w:p>
    <w:p w14:paraId="2334256A" w14:textId="77777777" w:rsidR="004D0689" w:rsidRDefault="00000000">
      <w:pPr>
        <w:spacing w:before="120" w:after="120" w:line="360" w:lineRule="auto"/>
        <w:jc w:val="both"/>
        <w:rPr>
          <w:b/>
          <w:bCs/>
        </w:rPr>
      </w:pPr>
      <w:r>
        <w:t xml:space="preserve">Electronic Health Records (EHRs) have started gaining popularity in the past few decades due to the presence of sensitive information of patients (Basil et al., 2022). The information not only includes the name or residential address of patients but also their medical history and ongoing diagnosis. Disclosure of this information might be harmful for the patients, or they might feel awkward sharing their medical history openly. This is the reason for safeguarding patient data using my administrative skills by being an H&amp;SC practitioner. The modern H&amp;SC sector has started prioritising the protection of patient data to offer not only disease-centred but also patient-centred service (Almalawi et al., 2023). In a nutshell, the effectiveness of my administrative skills will be fostered through my ability to adhere to the legal rules and legislation in H&amp;SC practice by safeguarding confidential data.                    </w:t>
      </w:r>
    </w:p>
    <w:p w14:paraId="228C2BC7" w14:textId="77777777" w:rsidR="004D0689" w:rsidRDefault="00000000">
      <w:pPr>
        <w:spacing w:line="360" w:lineRule="auto"/>
        <w:jc w:val="both"/>
        <w:rPr>
          <w:b/>
          <w:bCs/>
        </w:rPr>
      </w:pPr>
      <w:r>
        <w:rPr>
          <w:b/>
          <w:bCs/>
        </w:rPr>
        <w:t>3. Reflection on Professional Development for Collaborative Practice</w:t>
      </w:r>
    </w:p>
    <w:p w14:paraId="767823B7" w14:textId="77777777" w:rsidR="004D0689" w:rsidRDefault="00000000">
      <w:pPr>
        <w:spacing w:before="120" w:after="120" w:line="360" w:lineRule="auto"/>
        <w:jc w:val="both"/>
      </w:pPr>
      <w:r>
        <w:t>I have realised that I need to continue the procedure of professional development to be a successful H&amp;SC practitioner. This is because I need to work in a collaborative partnership with the members in the H&amp;SC sector, where multi professional teams will be present as well. In the care setting, care coordination is essential to eliminate the burdens of the patients and H&amp;SC professionals (Walton et al., 2022). It comes from the collaborative nature and skills of the practitioners in this sector. This is why I need to focus on developing my collaborative skills to cater to these care cooperative needs within this H&amp;SC setting. Developing this skill will provide me with the advantage to foster my productivity by collaborating with other H&amp;SC professionals. It is also noticed that cross-sector collaboration is common in this sector to ensure positive public health (Alderwick et al., 2024). It also requires strong collaborative or teamwork skills to partner with professionals from other firms in this sector.</w:t>
      </w:r>
    </w:p>
    <w:p w14:paraId="79FF2D0C" w14:textId="77777777" w:rsidR="004D0689" w:rsidRDefault="00000000">
      <w:pPr>
        <w:spacing w:before="120" w:after="120" w:line="360" w:lineRule="auto"/>
        <w:jc w:val="both"/>
      </w:pPr>
      <w:r>
        <w:t xml:space="preserve">Apart from that, multi-professional teams are present in the domain of H&amp;SC for the purpose of eliminating inter-professional obstacles to enhance the quality of care services (Melin Emilsson et al., 2022). This is why I need to focus on expanding my area of knowledge to team up with such professionals in H&amp;SC settings. I should opt for strengthening my understanding of inter-professional frameworks and collaborative aspects of the H &amp; SC domain for the purpose of accelerating my professional development. I will also focus on enhancing my digital skills to stay updated in the changing landscape of H&amp;SC due to technological disruption. It will help me to ensure seamless collaboration with multi-professional teams and cross-functional teams using </w:t>
      </w:r>
      <w:r>
        <w:lastRenderedPageBreak/>
        <w:t xml:space="preserve">digital tools. In a nutshell, continuing professional development will enhance my soft skills and boost my confidence to strengthen my position as an H&amp;SC practitioner in this industry.           </w:t>
      </w:r>
    </w:p>
    <w:p w14:paraId="4D701214" w14:textId="77777777" w:rsidR="004D0689" w:rsidRDefault="00000000">
      <w:pPr>
        <w:spacing w:line="360" w:lineRule="auto"/>
        <w:jc w:val="both"/>
        <w:rPr>
          <w:b/>
          <w:bCs/>
        </w:rPr>
      </w:pPr>
      <w:r>
        <w:rPr>
          <w:b/>
          <w:bCs/>
        </w:rPr>
        <w:t xml:space="preserve">Conclusion </w:t>
      </w:r>
    </w:p>
    <w:p w14:paraId="5F7278AF" w14:textId="77777777" w:rsidR="004D0689" w:rsidRDefault="00000000">
      <w:pPr>
        <w:spacing w:before="120" w:after="120" w:line="360" w:lineRule="auto"/>
        <w:jc w:val="both"/>
      </w:pPr>
      <w:r>
        <w:t xml:space="preserve">In conclusion, it can be summarised that developing a career in the H &amp; SC industry requires effective skill sets and knowledge regarding legal legislation. The reason behind it is that this sector is integrated with the process of enhancing overall public health. It has been found from this assignment that effective communication skill is required to be a successful H&amp;SC practitioner. The legislation like Equality Act 2010 needs to be adhered to by the H&amp;SC practitioner to offer quality care services. As per Osgood-Schramm’s model of communication, linear processes should be avoided during communication. On the flipside, the NHS Code of Practice on Confidentiality and the Data Protection Act 2018 has highlighted the requirement of strong administrative skill to safeguard patient data. However, continuous development in professional aspects is required to acquire success as an H&amp;SC practitioner by being competitive and updated according to the changing environment of the H&amp;SC sector.        </w:t>
      </w:r>
    </w:p>
    <w:p w14:paraId="458CAF3C" w14:textId="77777777" w:rsidR="004D0689" w:rsidRDefault="004D0689">
      <w:pPr>
        <w:spacing w:before="120" w:after="120" w:line="360" w:lineRule="auto"/>
        <w:jc w:val="both"/>
      </w:pPr>
    </w:p>
    <w:p w14:paraId="412B6C96" w14:textId="77777777" w:rsidR="004D0689" w:rsidRDefault="00000000">
      <w:pPr>
        <w:spacing w:line="360" w:lineRule="auto"/>
        <w:jc w:val="both"/>
      </w:pPr>
      <w:r>
        <w:br w:type="page"/>
      </w:r>
    </w:p>
    <w:p w14:paraId="39F17D86" w14:textId="77777777" w:rsidR="004D0689" w:rsidRDefault="00000000">
      <w:pPr>
        <w:spacing w:line="360" w:lineRule="auto"/>
        <w:jc w:val="both"/>
        <w:rPr>
          <w:b/>
          <w:bCs/>
        </w:rPr>
      </w:pPr>
      <w:r>
        <w:rPr>
          <w:b/>
          <w:bCs/>
        </w:rPr>
        <w:lastRenderedPageBreak/>
        <w:t>Reference List</w:t>
      </w:r>
    </w:p>
    <w:p w14:paraId="00695F04" w14:textId="77777777" w:rsidR="004D0689" w:rsidRDefault="00000000">
      <w:pPr>
        <w:spacing w:line="360" w:lineRule="auto"/>
        <w:jc w:val="both"/>
      </w:pPr>
      <w:r>
        <w:t xml:space="preserve">Walton, H., Simpson, A., Ramsay, A.I., Hunter, A., Jones, J., Ng, P.L., Leeson-Beevers, K., Bloom, L., Kai, J., Kokocinska, M. and Sutcliffe, A.G. (2022) Development of models of care coordination for rare conditions: a qualitative study. Orphanet Journal of Rare Diseases, 17(1), p.49. </w:t>
      </w:r>
      <w:hyperlink r:id="rId5">
        <w:r>
          <w:rPr>
            <w:u w:val="single"/>
          </w:rPr>
          <w:t>https://link.springer.com/content/pdf/10.1186/s13023-022-02190-3.pdf</w:t>
        </w:r>
      </w:hyperlink>
      <w:r>
        <w:t xml:space="preserve"> </w:t>
      </w:r>
    </w:p>
    <w:p w14:paraId="656ECE0E" w14:textId="77777777" w:rsidR="004D0689" w:rsidRDefault="00000000">
      <w:pPr>
        <w:spacing w:line="360" w:lineRule="auto"/>
        <w:jc w:val="both"/>
      </w:pPr>
      <w:r>
        <w:t xml:space="preserve">Alderwick, H., Hutchings, A. and Mays, N. (2024) Cross-sector collaboration to reduce health inequalities: a qualitative study of local collaboration between health care, social services, and other sectors under health system reforms in England. BMC public health, 24(1), p.2613. </w:t>
      </w:r>
      <w:hyperlink r:id="rId6">
        <w:r>
          <w:rPr>
            <w:u w:val="single"/>
          </w:rPr>
          <w:t>https://link.springer.com/content/pdf/10.1186/s12889-024-20089-5.pdf</w:t>
        </w:r>
      </w:hyperlink>
      <w:r>
        <w:t xml:space="preserve"> </w:t>
      </w:r>
    </w:p>
    <w:p w14:paraId="66E3D25E" w14:textId="77777777" w:rsidR="004D0689" w:rsidRDefault="00000000">
      <w:pPr>
        <w:spacing w:line="360" w:lineRule="auto"/>
        <w:jc w:val="both"/>
        <w:rPr>
          <w:b/>
          <w:bCs/>
        </w:rPr>
      </w:pPr>
      <w:r>
        <w:t xml:space="preserve">Melin Emilsson, U., Strid, A.L. and Söderberg, M. (2022) Lack of coordination between health care and social care in multi-professional teamwork-the obstacle for coherent care of older people suffering from multi-morbidity. Journal of Population Ageing, 15(2), pp.319-335. </w:t>
      </w:r>
      <w:hyperlink r:id="rId7">
        <w:r>
          <w:rPr>
            <w:u w:val="single"/>
          </w:rPr>
          <w:t>https://link.springer.com/content/pdf/10.1007/s12062-020-09300-8.pdf</w:t>
        </w:r>
      </w:hyperlink>
      <w:r>
        <w:t xml:space="preserve"> </w:t>
      </w:r>
    </w:p>
    <w:p w14:paraId="4D0A3BDC" w14:textId="77777777" w:rsidR="004D0689" w:rsidRDefault="00000000">
      <w:pPr>
        <w:spacing w:line="360" w:lineRule="auto"/>
        <w:jc w:val="both"/>
      </w:pPr>
      <w:r>
        <w:t xml:space="preserve">Government UK. (2025) Data Protection Act 2018. [online] Legislation.gov.uk. Available from: </w:t>
      </w:r>
      <w:hyperlink r:id="rId8">
        <w:r>
          <w:rPr>
            <w:u w:val="single"/>
          </w:rPr>
          <w:t>https://www.legislation.gov.uk/ukpga/2018/12</w:t>
        </w:r>
      </w:hyperlink>
      <w:r>
        <w:t>. (Accessed 27 November 2025)</w:t>
      </w:r>
    </w:p>
    <w:p w14:paraId="1CA74D5A" w14:textId="77777777" w:rsidR="004D0689" w:rsidRDefault="00000000">
      <w:pPr>
        <w:spacing w:line="360" w:lineRule="auto"/>
        <w:jc w:val="both"/>
      </w:pPr>
      <w:r>
        <w:t xml:space="preserve">Yadav, N., Pandey, S., Gupta, A., Dudani, P., Gupta, S. and Rangarajan, K. (2023) Data privacy in healthcare: in the era of artificial intelligence. Indian Dermatology Online Journal, 14(6), pp.788-792. DOI: 10.4103/idoj.idoj_543_23  </w:t>
      </w:r>
    </w:p>
    <w:p w14:paraId="594F34C9" w14:textId="77777777" w:rsidR="004D0689" w:rsidRDefault="00000000">
      <w:pPr>
        <w:spacing w:line="360" w:lineRule="auto"/>
        <w:jc w:val="both"/>
      </w:pPr>
      <w:r>
        <w:t xml:space="preserve">Department Of Health. (2025) Confidentiality NHS Code of Practice. [online] GOV.UK. Department of Health. Available from: </w:t>
      </w:r>
      <w:hyperlink r:id="rId9">
        <w:r>
          <w:rPr>
            <w:u w:val="single"/>
          </w:rPr>
          <w:t>https://assets.publishing.service.gov.uk/media/5a7c13f0ed915d210ade16fb/Confidentiality_-_NHS_Code_of_Practice.pdf</w:t>
        </w:r>
      </w:hyperlink>
      <w:r>
        <w:t>. (Accessed 27 November 2025)</w:t>
      </w:r>
    </w:p>
    <w:p w14:paraId="4EA8DA9C" w14:textId="77777777" w:rsidR="004D0689" w:rsidRDefault="00000000">
      <w:pPr>
        <w:spacing w:line="360" w:lineRule="auto"/>
        <w:jc w:val="both"/>
      </w:pPr>
      <w:r>
        <w:t xml:space="preserve">Basil, N.N., Ambe, S., Ekhator, C., Fonkem, E. and Nduma, B.N. (2022) Health records database and inherent security concerns: A review of the literature. Cureus, 14(10). </w:t>
      </w:r>
      <w:hyperlink r:id="rId10">
        <w:r>
          <w:rPr>
            <w:u w:val="single"/>
          </w:rPr>
          <w:t>https://assets.cureus.com/uploads/review_article/pdf/117118/20221110-30650-1aksfp5.pdf</w:t>
        </w:r>
      </w:hyperlink>
      <w:r>
        <w:t xml:space="preserve">  </w:t>
      </w:r>
    </w:p>
    <w:p w14:paraId="3ED77979" w14:textId="77777777" w:rsidR="004D0689" w:rsidRDefault="00000000">
      <w:pPr>
        <w:spacing w:line="360" w:lineRule="auto"/>
        <w:jc w:val="both"/>
        <w:rPr>
          <w:b/>
          <w:bCs/>
        </w:rPr>
      </w:pPr>
      <w:r>
        <w:t xml:space="preserve">Almalawi, A., Khan, A.I., Alsolami, F., Abushark, Y.B. and Alfakeeh, A.S. (2023) Managing security of healthcare data for a modern healthcare system. Sensors, 23(7), p.3612. </w:t>
      </w:r>
      <w:hyperlink r:id="rId11">
        <w:r>
          <w:rPr>
            <w:u w:val="single"/>
          </w:rPr>
          <w:t>https://doi.org/10.3390/s23073612</w:t>
        </w:r>
      </w:hyperlink>
      <w:r>
        <w:t xml:space="preserve"> </w:t>
      </w:r>
    </w:p>
    <w:p w14:paraId="6B5BF8E3" w14:textId="77777777" w:rsidR="004D0689" w:rsidRDefault="00000000">
      <w:pPr>
        <w:spacing w:line="360" w:lineRule="auto"/>
        <w:jc w:val="both"/>
      </w:pPr>
      <w:r>
        <w:t xml:space="preserve">Masterson, D., Areskoug Josefsson, K., Robert, G., Nylander, E. and Kjellström, S. (2022) Mapping definitions of co‐production and co‐design in health and social care: a systematic scoping review providing lessons for the future. Health Expectations, 25(3), pp.902-913. </w:t>
      </w:r>
      <w:hyperlink r:id="rId12">
        <w:r>
          <w:rPr>
            <w:u w:val="single"/>
          </w:rPr>
          <w:t>https://onlinelibrary.wiley.com/doi/pdf/10.1111/hex.13470</w:t>
        </w:r>
      </w:hyperlink>
      <w:r>
        <w:t xml:space="preserve"> </w:t>
      </w:r>
    </w:p>
    <w:p w14:paraId="426805D0" w14:textId="77777777" w:rsidR="004D0689" w:rsidRDefault="00000000">
      <w:pPr>
        <w:spacing w:line="360" w:lineRule="auto"/>
        <w:jc w:val="both"/>
      </w:pPr>
      <w:r>
        <w:t xml:space="preserve">GOV-UK. (2025) Equality Act 2010. [online] GOV.UK. Available from: </w:t>
      </w:r>
      <w:hyperlink r:id="rId13">
        <w:r>
          <w:rPr>
            <w:u w:val="single"/>
          </w:rPr>
          <w:t>https://www.gov.uk/guidance/equality-act-2010-guidance</w:t>
        </w:r>
      </w:hyperlink>
      <w:r>
        <w:t>. (Accessed 27 November 2025)</w:t>
      </w:r>
    </w:p>
    <w:p w14:paraId="2BB3E564" w14:textId="77777777" w:rsidR="004D0689" w:rsidRDefault="00000000">
      <w:pPr>
        <w:spacing w:line="360" w:lineRule="auto"/>
        <w:jc w:val="both"/>
      </w:pPr>
      <w:r>
        <w:lastRenderedPageBreak/>
        <w:t xml:space="preserve">Stivers, T. and Tate, A. (2023) The role of health care communication in treatment outcomes. Annual review of linguistics, 9(1), pp.233-252. </w:t>
      </w:r>
      <w:hyperlink r:id="rId14">
        <w:r>
          <w:rPr>
            <w:u w:val="single"/>
          </w:rPr>
          <w:t>https://doi.org/10.1146/annurev-linguistics-030521-054400</w:t>
        </w:r>
      </w:hyperlink>
      <w:r>
        <w:t xml:space="preserve"> </w:t>
      </w:r>
    </w:p>
    <w:p w14:paraId="2F73E53A" w14:textId="77777777" w:rsidR="004D0689" w:rsidRDefault="00000000">
      <w:pPr>
        <w:spacing w:line="360" w:lineRule="auto"/>
        <w:jc w:val="both"/>
      </w:pPr>
      <w:r>
        <w:t xml:space="preserve">Sharkiya, S.H. (2023) Quality communication can improve patient-centred health outcomes among older patients: a rapid review. BMC Health Services Research, 23(1), p.886. </w:t>
      </w:r>
      <w:hyperlink r:id="rId15">
        <w:r>
          <w:rPr>
            <w:u w:val="single"/>
          </w:rPr>
          <w:t>https://doi.org/10.1186/s12913-023-09869-8</w:t>
        </w:r>
      </w:hyperlink>
      <w:r>
        <w:t xml:space="preserve"> </w:t>
      </w:r>
    </w:p>
    <w:p w14:paraId="0C2DA8E2" w14:textId="77777777" w:rsidR="004D0689" w:rsidRDefault="00000000">
      <w:pPr>
        <w:spacing w:line="360" w:lineRule="auto"/>
        <w:jc w:val="both"/>
      </w:pPr>
      <w:r>
        <w:t xml:space="preserve">Pavenkov, O. and Rubtcova, M. (2021, August) Lasswell and Osgood-Schramm models of mass communication. In the 3rd World Conference on Social Sciences on the (pp. 3-5). </w:t>
      </w:r>
      <w:hyperlink r:id="rId16">
        <w:r>
          <w:rPr>
            <w:u w:val="single"/>
          </w:rPr>
          <w:t>https://papers.ssrn.com/sol3/Delivery.cfm?abstractid=3983485</w:t>
        </w:r>
      </w:hyperlink>
      <w:r>
        <w:t xml:space="preserve"> </w:t>
      </w:r>
    </w:p>
    <w:p w14:paraId="4EB48C2A" w14:textId="77777777" w:rsidR="004D0689" w:rsidRDefault="00000000">
      <w:pPr>
        <w:spacing w:line="360" w:lineRule="auto"/>
        <w:jc w:val="both"/>
      </w:pPr>
      <w:r>
        <w:t xml:space="preserve">Jameel, A., Sahito, N., Guo, W. and Khan, S. (2025) Assessing patient satisfaction with practitioner communication: patient-centered care, hospital environment and patient trust in the public hospitals. Frontiers in Medicine, 12, p.1544498. </w:t>
      </w:r>
      <w:hyperlink r:id="rId17">
        <w:r>
          <w:rPr>
            <w:u w:val="single"/>
          </w:rPr>
          <w:t>https://doi.org/10.3389/fmed.2025.1544498</w:t>
        </w:r>
      </w:hyperlink>
      <w:r>
        <w:t xml:space="preserve"> </w:t>
      </w:r>
    </w:p>
    <w:p w14:paraId="7F720B95" w14:textId="77777777" w:rsidR="004D0689" w:rsidRDefault="004D0689">
      <w:pPr>
        <w:spacing w:line="360" w:lineRule="auto"/>
        <w:jc w:val="both"/>
        <w:rPr>
          <w:b/>
          <w:bCs/>
        </w:rPr>
      </w:pPr>
    </w:p>
    <w:p w14:paraId="55335BA6" w14:textId="77777777" w:rsidR="004D0689" w:rsidRDefault="004D0689">
      <w:pPr>
        <w:spacing w:line="360" w:lineRule="auto"/>
        <w:jc w:val="both"/>
        <w:rPr>
          <w:b/>
          <w:bCs/>
        </w:rPr>
      </w:pPr>
    </w:p>
    <w:sectPr w:rsidR="004D0689">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0935C643-81FD-46E7-8119-56DEFAA1D656}"/>
  </w:font>
  <w:font w:name="Cambria">
    <w:panose1 w:val="02040503050406030204"/>
    <w:charset w:val="00"/>
    <w:family w:val="roman"/>
    <w:pitch w:val="variable"/>
    <w:sig w:usb0="E00006FF" w:usb1="420024FF" w:usb2="02000000" w:usb3="00000000" w:csb0="0000019F" w:csb1="00000000"/>
    <w:embedRegular r:id="rId2" w:fontKey="{1A7E8516-007F-4753-BC0B-4A058B535FCC}"/>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0689"/>
    <w:rsid w:val="004D0689"/>
    <w:rsid w:val="00BD1BE1"/>
    <w:rsid w:val="00E214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801281"/>
  <w15:docId w15:val="{F1DEFA59-1550-4C4E-88DE-759BF8027B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8/12" TargetMode="External"/><Relationship Id="rId13" Type="http://schemas.openxmlformats.org/officeDocument/2006/relationships/hyperlink" Target="https://www.gov.uk/guidance/equality-act-2010-guidance"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link.springer.com/content/pdf/10.1007/s12062-020-09300-8.pdf" TargetMode="External"/><Relationship Id="rId12" Type="http://schemas.openxmlformats.org/officeDocument/2006/relationships/hyperlink" Target="https://onlinelibrary.wiley.com/doi/pdf/10.1111/hex.13470" TargetMode="External"/><Relationship Id="rId17" Type="http://schemas.openxmlformats.org/officeDocument/2006/relationships/hyperlink" Target="https://doi.org/10.3389/fmed.2025.1544498" TargetMode="External"/><Relationship Id="rId2" Type="http://schemas.openxmlformats.org/officeDocument/2006/relationships/settings" Target="settings.xml"/><Relationship Id="rId16" Type="http://schemas.openxmlformats.org/officeDocument/2006/relationships/hyperlink" Target="https://papers.ssrn.com/sol3/Delivery.cfm?abstractid=3983485" TargetMode="External"/><Relationship Id="rId1" Type="http://schemas.openxmlformats.org/officeDocument/2006/relationships/styles" Target="styles.xml"/><Relationship Id="rId6" Type="http://schemas.openxmlformats.org/officeDocument/2006/relationships/hyperlink" Target="https://link.springer.com/content/pdf/10.1186/s12889-024-20089-5.pdf" TargetMode="External"/><Relationship Id="rId11" Type="http://schemas.openxmlformats.org/officeDocument/2006/relationships/hyperlink" Target="https://doi.org/10.3390/s23073612" TargetMode="External"/><Relationship Id="rId5" Type="http://schemas.openxmlformats.org/officeDocument/2006/relationships/hyperlink" Target="https://link.springer.com/content/pdf/10.1186/s13023-022-02190-3.pdf" TargetMode="External"/><Relationship Id="rId15" Type="http://schemas.openxmlformats.org/officeDocument/2006/relationships/hyperlink" Target="https://doi.org/10.1186/s12913-023-09869-8" TargetMode="External"/><Relationship Id="rId10" Type="http://schemas.openxmlformats.org/officeDocument/2006/relationships/hyperlink" Target="https://assets.cureus.com/uploads/review_article/pdf/117118/20221110-30650-1aksfp5.pdf" TargetMode="External"/><Relationship Id="rId19"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hyperlink" Target="https://assets.publishing.service.gov.uk/media/5a7c13f0ed915d210ade16fb/Confidentiality_-_NHS_Code_of_Practice.pdf" TargetMode="External"/><Relationship Id="rId14" Type="http://schemas.openxmlformats.org/officeDocument/2006/relationships/hyperlink" Target="https://doi.org/10.1146/annurev-linguistics-030521-054400"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2340</Words>
  <Characters>13339</Characters>
  <Application>Microsoft Office Word</Application>
  <DocSecurity>0</DocSecurity>
  <Lines>111</Lines>
  <Paragraphs>31</Paragraphs>
  <ScaleCrop>false</ScaleCrop>
  <Company/>
  <LinksUpToDate>false</LinksUpToDate>
  <CharactersWithSpaces>15648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Gabi</cp:lastModifiedBy>
  <cp:revision>2</cp:revision>
  <dcterms:created xsi:type="dcterms:W3CDTF">2025-11-27T11:20:00Z</dcterms:created>
  <dcterms:modified xsi:type="dcterms:W3CDTF">2025-11-27T11:20:00Z</dcterms:modified>
</cp:coreProperties>
</file>