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87B841" w14:textId="2E89D6D4" w:rsidR="00825A28" w:rsidRPr="009C1BF1" w:rsidRDefault="009D400E" w:rsidP="009D400E">
      <w:pPr>
        <w:pStyle w:val="Heading1"/>
        <w:jc w:val="center"/>
        <w:rPr>
          <w:rFonts w:ascii="Arial" w:hAnsi="Arial" w:cs="Arial"/>
          <w:color w:val="000000" w:themeColor="text1"/>
          <w:sz w:val="24"/>
          <w:szCs w:val="24"/>
          <w:u w:val="single"/>
        </w:rPr>
      </w:pPr>
      <w:r w:rsidRPr="009C1BF1">
        <w:rPr>
          <w:rFonts w:ascii="Arial" w:hAnsi="Arial" w:cs="Arial"/>
          <w:color w:val="000000" w:themeColor="text1"/>
          <w:sz w:val="24"/>
          <w:szCs w:val="24"/>
          <w:u w:val="single"/>
        </w:rPr>
        <w:t>Reflective Practice</w:t>
      </w:r>
    </w:p>
    <w:p w14:paraId="7343F9E1" w14:textId="77777777" w:rsidR="00825A28" w:rsidRDefault="00825A28" w:rsidP="00DE493E">
      <w:pPr>
        <w:spacing w:line="360" w:lineRule="auto"/>
        <w:ind w:firstLine="851"/>
        <w:rPr>
          <w:rFonts w:ascii="Arial" w:hAnsi="Arial" w:cs="Arial"/>
        </w:rPr>
      </w:pPr>
    </w:p>
    <w:p w14:paraId="2AB5835E" w14:textId="40DBA416" w:rsidR="004345B0" w:rsidRDefault="00E27350" w:rsidP="00DE493E">
      <w:pPr>
        <w:spacing w:line="360" w:lineRule="auto"/>
        <w:ind w:firstLine="851"/>
        <w:rPr>
          <w:rFonts w:ascii="Arial" w:hAnsi="Arial" w:cs="Arial"/>
        </w:rPr>
      </w:pPr>
      <w:r>
        <w:rPr>
          <w:rFonts w:ascii="Arial" w:hAnsi="Arial" w:cs="Arial"/>
        </w:rPr>
        <w:t>Beginning the Reflective Counselling module, I was aware of the following assignment, and one that I find most daunting. Although being self-critical as well as able to critically assess academic work</w:t>
      </w:r>
      <w:r w:rsidR="00925BBD">
        <w:rPr>
          <w:rFonts w:ascii="Arial" w:hAnsi="Arial" w:cs="Arial"/>
        </w:rPr>
        <w:t xml:space="preserve"> this has always been something that I have found challenging to do.</w:t>
      </w:r>
      <w:r w:rsidR="00032D0C">
        <w:rPr>
          <w:rFonts w:ascii="Arial" w:hAnsi="Arial" w:cs="Arial"/>
        </w:rPr>
        <w:t xml:space="preserve"> </w:t>
      </w:r>
      <w:r w:rsidR="00D06FE9">
        <w:rPr>
          <w:rFonts w:ascii="Arial" w:hAnsi="Arial" w:cs="Arial"/>
        </w:rPr>
        <w:t>I had initial anxieties about coming back to on campus teaching after the summer</w:t>
      </w:r>
      <w:r w:rsidR="007C0B8C">
        <w:rPr>
          <w:rFonts w:ascii="Arial" w:hAnsi="Arial" w:cs="Arial"/>
        </w:rPr>
        <w:t xml:space="preserve"> as well as the prospect of being recorded. During journalling, I had made a note to be open and honest with the cohort about these anxieties in particular surrounding my personal </w:t>
      </w:r>
      <w:r w:rsidR="00033730">
        <w:rPr>
          <w:rFonts w:ascii="Arial" w:hAnsi="Arial" w:cs="Arial"/>
        </w:rPr>
        <w:t xml:space="preserve">medical struggles. </w:t>
      </w:r>
      <w:r w:rsidR="000B5C62">
        <w:rPr>
          <w:rFonts w:ascii="Arial" w:hAnsi="Arial" w:cs="Arial"/>
        </w:rPr>
        <w:t xml:space="preserve">The disclosure of this alleviated some of the anxieties I was experiencing, </w:t>
      </w:r>
      <w:r w:rsidR="00F31632">
        <w:rPr>
          <w:rFonts w:ascii="Arial" w:hAnsi="Arial" w:cs="Arial"/>
        </w:rPr>
        <w:t xml:space="preserve">and ties back to remaining open and honest, which the cohort had contracted in the opening session and is also an essential skill within counselling. By practicing this, it allowed for </w:t>
      </w:r>
      <w:r w:rsidR="00BD516F">
        <w:rPr>
          <w:rFonts w:ascii="Arial" w:hAnsi="Arial" w:cs="Arial"/>
        </w:rPr>
        <w:t xml:space="preserve">openness within practice sessions and allowed for communication to become a lot less daunting with my peers. </w:t>
      </w:r>
      <w:r w:rsidR="00615FED">
        <w:rPr>
          <w:rFonts w:ascii="Arial" w:hAnsi="Arial" w:cs="Arial"/>
        </w:rPr>
        <w:t>When discussing the Johari</w:t>
      </w:r>
      <w:r w:rsidR="001E6C0B">
        <w:rPr>
          <w:rFonts w:ascii="Arial" w:hAnsi="Arial" w:cs="Arial"/>
        </w:rPr>
        <w:t>’s</w:t>
      </w:r>
      <w:r w:rsidR="00615FED">
        <w:rPr>
          <w:rFonts w:ascii="Arial" w:hAnsi="Arial" w:cs="Arial"/>
        </w:rPr>
        <w:t xml:space="preserve"> window </w:t>
      </w:r>
      <w:r w:rsidR="00607EDF">
        <w:rPr>
          <w:rFonts w:ascii="Arial" w:hAnsi="Arial" w:cs="Arial"/>
        </w:rPr>
        <w:t>(Luft &amp; Ingram, 19</w:t>
      </w:r>
      <w:r w:rsidR="001732D2">
        <w:rPr>
          <w:rFonts w:ascii="Arial" w:hAnsi="Arial" w:cs="Arial"/>
        </w:rPr>
        <w:t>5</w:t>
      </w:r>
      <w:r w:rsidR="00607EDF">
        <w:rPr>
          <w:rFonts w:ascii="Arial" w:hAnsi="Arial" w:cs="Arial"/>
        </w:rPr>
        <w:t>5;</w:t>
      </w:r>
      <w:r w:rsidR="00BB15BD">
        <w:rPr>
          <w:rFonts w:ascii="Arial" w:hAnsi="Arial" w:cs="Arial"/>
        </w:rPr>
        <w:t xml:space="preserve"> as cited in </w:t>
      </w:r>
      <w:r w:rsidR="00304B71">
        <w:rPr>
          <w:rFonts w:ascii="Arial" w:hAnsi="Arial" w:cs="Arial"/>
        </w:rPr>
        <w:t xml:space="preserve">Oelofsen, </w:t>
      </w:r>
      <w:r w:rsidR="001732D2">
        <w:rPr>
          <w:rFonts w:ascii="Arial" w:hAnsi="Arial" w:cs="Arial"/>
        </w:rPr>
        <w:t>2012)</w:t>
      </w:r>
      <w:r w:rsidR="00711987">
        <w:rPr>
          <w:rFonts w:ascii="Arial" w:hAnsi="Arial" w:cs="Arial"/>
        </w:rPr>
        <w:t xml:space="preserve"> </w:t>
      </w:r>
      <w:r w:rsidR="00615FED">
        <w:rPr>
          <w:rFonts w:ascii="Arial" w:hAnsi="Arial" w:cs="Arial"/>
        </w:rPr>
        <w:t xml:space="preserve">in particular, </w:t>
      </w:r>
      <w:r w:rsidR="00E374D5">
        <w:rPr>
          <w:rFonts w:ascii="Arial" w:hAnsi="Arial" w:cs="Arial"/>
        </w:rPr>
        <w:t>disclosure had allowed me to reveal a part of my hidden self and bring this to my open self</w:t>
      </w:r>
      <w:r w:rsidR="00D2275F">
        <w:rPr>
          <w:rFonts w:ascii="Arial" w:hAnsi="Arial" w:cs="Arial"/>
        </w:rPr>
        <w:t xml:space="preserve"> and also had allowed me to put my own self-care first</w:t>
      </w:r>
      <w:r w:rsidR="00E85FC3">
        <w:rPr>
          <w:rFonts w:ascii="Arial" w:hAnsi="Arial" w:cs="Arial"/>
        </w:rPr>
        <w:t>, as well as developing a rapport within the cohort</w:t>
      </w:r>
      <w:r w:rsidR="00D2275F">
        <w:rPr>
          <w:rFonts w:ascii="Arial" w:hAnsi="Arial" w:cs="Arial"/>
        </w:rPr>
        <w:t xml:space="preserve">. Looking back, </w:t>
      </w:r>
      <w:r w:rsidR="00B46215">
        <w:rPr>
          <w:rFonts w:ascii="Arial" w:hAnsi="Arial" w:cs="Arial"/>
        </w:rPr>
        <w:t xml:space="preserve">this had certainly aided me in the long run to have that empathy and understanding from the cohort </w:t>
      </w:r>
      <w:r w:rsidR="00F34AC0">
        <w:rPr>
          <w:rFonts w:ascii="Arial" w:hAnsi="Arial" w:cs="Arial"/>
        </w:rPr>
        <w:t xml:space="preserve">and would allow for </w:t>
      </w:r>
      <w:r w:rsidR="00EE3FB2">
        <w:rPr>
          <w:rFonts w:ascii="Arial" w:hAnsi="Arial" w:cs="Arial"/>
        </w:rPr>
        <w:t xml:space="preserve">an overall better understanding and professional skills development during my helper role. Literature has previously cited the importance of self-care </w:t>
      </w:r>
      <w:r w:rsidR="00A129E3">
        <w:rPr>
          <w:rFonts w:ascii="Arial" w:hAnsi="Arial" w:cs="Arial"/>
        </w:rPr>
        <w:t xml:space="preserve">can play within a helping role of any kind, </w:t>
      </w:r>
      <w:r w:rsidR="006218CD">
        <w:rPr>
          <w:rFonts w:ascii="Arial" w:hAnsi="Arial" w:cs="Arial"/>
        </w:rPr>
        <w:t xml:space="preserve">Barton (2019) discusses this from a counsellor perspective and found that participants developed self-care routines through </w:t>
      </w:r>
      <w:r w:rsidR="00D64297">
        <w:rPr>
          <w:rFonts w:ascii="Arial" w:hAnsi="Arial" w:cs="Arial"/>
        </w:rPr>
        <w:t>reflection,</w:t>
      </w:r>
      <w:r w:rsidR="006218CD">
        <w:rPr>
          <w:rFonts w:ascii="Arial" w:hAnsi="Arial" w:cs="Arial"/>
        </w:rPr>
        <w:t xml:space="preserve"> </w:t>
      </w:r>
      <w:r w:rsidR="00C414CC">
        <w:rPr>
          <w:rFonts w:ascii="Arial" w:hAnsi="Arial" w:cs="Arial"/>
        </w:rPr>
        <w:t xml:space="preserve">and this allowed for </w:t>
      </w:r>
      <w:r w:rsidR="00D64297">
        <w:rPr>
          <w:rFonts w:ascii="Arial" w:hAnsi="Arial" w:cs="Arial"/>
        </w:rPr>
        <w:t>growth not just as a therapist but through all aspects of life</w:t>
      </w:r>
      <w:r w:rsidR="00E374D5">
        <w:rPr>
          <w:rFonts w:ascii="Arial" w:hAnsi="Arial" w:cs="Arial"/>
        </w:rPr>
        <w:t>.</w:t>
      </w:r>
      <w:r w:rsidR="00214096">
        <w:rPr>
          <w:rFonts w:ascii="Arial" w:hAnsi="Arial" w:cs="Arial"/>
        </w:rPr>
        <w:t xml:space="preserve"> </w:t>
      </w:r>
      <w:r w:rsidR="00CE5F1E">
        <w:rPr>
          <w:rFonts w:ascii="Arial" w:hAnsi="Arial" w:cs="Arial"/>
        </w:rPr>
        <w:t xml:space="preserve">A way of which I applied self-care throughout the 10 weeks of learning was through the use of a journal, </w:t>
      </w:r>
      <w:r w:rsidR="0048632D">
        <w:rPr>
          <w:rFonts w:ascii="Arial" w:hAnsi="Arial" w:cs="Arial"/>
        </w:rPr>
        <w:t xml:space="preserve">a technique often used within a helper role in order to </w:t>
      </w:r>
      <w:r w:rsidR="005976C9">
        <w:rPr>
          <w:rFonts w:ascii="Arial" w:hAnsi="Arial" w:cs="Arial"/>
        </w:rPr>
        <w:t xml:space="preserve">increase mindfulness through </w:t>
      </w:r>
      <w:r w:rsidR="006A1D2E">
        <w:rPr>
          <w:rFonts w:ascii="Arial" w:hAnsi="Arial" w:cs="Arial"/>
        </w:rPr>
        <w:t>self-reflexivity</w:t>
      </w:r>
      <w:r w:rsidR="00232E00">
        <w:rPr>
          <w:rFonts w:ascii="Arial" w:hAnsi="Arial" w:cs="Arial"/>
        </w:rPr>
        <w:t xml:space="preserve"> </w:t>
      </w:r>
      <w:r w:rsidR="002328BC">
        <w:rPr>
          <w:rFonts w:ascii="Arial" w:hAnsi="Arial" w:cs="Arial"/>
        </w:rPr>
        <w:t xml:space="preserve">which in turn allows for a client to receive better support </w:t>
      </w:r>
      <w:sdt>
        <w:sdtPr>
          <w:rPr>
            <w:rFonts w:ascii="Arial" w:hAnsi="Arial" w:cs="Arial"/>
          </w:rPr>
          <w:id w:val="2115712186"/>
          <w:citation/>
        </w:sdtPr>
        <w:sdtContent>
          <w:r w:rsidR="00232E00">
            <w:rPr>
              <w:rFonts w:ascii="Arial" w:hAnsi="Arial" w:cs="Arial"/>
            </w:rPr>
            <w:fldChar w:fldCharType="begin"/>
          </w:r>
          <w:r w:rsidR="00232E00">
            <w:rPr>
              <w:rFonts w:ascii="Arial" w:hAnsi="Arial" w:cs="Arial"/>
            </w:rPr>
            <w:instrText xml:space="preserve"> CITATION Mar18 \l 2057 </w:instrText>
          </w:r>
          <w:r w:rsidR="00232E00">
            <w:rPr>
              <w:rFonts w:ascii="Arial" w:hAnsi="Arial" w:cs="Arial"/>
            </w:rPr>
            <w:fldChar w:fldCharType="separate"/>
          </w:r>
          <w:r w:rsidR="009C1BF1" w:rsidRPr="009C1BF1">
            <w:rPr>
              <w:rFonts w:ascii="Arial" w:hAnsi="Arial" w:cs="Arial"/>
              <w:noProof/>
            </w:rPr>
            <w:t>(Martin-Cuellar, 2018)</w:t>
          </w:r>
          <w:r w:rsidR="00232E00">
            <w:rPr>
              <w:rFonts w:ascii="Arial" w:hAnsi="Arial" w:cs="Arial"/>
            </w:rPr>
            <w:fldChar w:fldCharType="end"/>
          </w:r>
        </w:sdtContent>
      </w:sdt>
      <w:r w:rsidR="00232E00">
        <w:rPr>
          <w:rFonts w:ascii="Arial" w:hAnsi="Arial" w:cs="Arial"/>
        </w:rPr>
        <w:t xml:space="preserve">. </w:t>
      </w:r>
      <w:r w:rsidR="00A76753">
        <w:rPr>
          <w:rFonts w:ascii="Arial" w:hAnsi="Arial" w:cs="Arial"/>
        </w:rPr>
        <w:t xml:space="preserve">As a result, one difficulty I found I had applying theory to practice within lectures is </w:t>
      </w:r>
      <w:r w:rsidR="00FD5115">
        <w:rPr>
          <w:rFonts w:ascii="Arial" w:hAnsi="Arial" w:cs="Arial"/>
        </w:rPr>
        <w:t>the view of theory needing to be linear, and not adaptive. An example of this would be the understanding of K</w:t>
      </w:r>
      <w:r w:rsidR="00283589">
        <w:rPr>
          <w:rFonts w:ascii="Arial" w:hAnsi="Arial" w:cs="Arial"/>
        </w:rPr>
        <w:t>arpman Drama Triangle</w:t>
      </w:r>
      <w:r w:rsidR="00C958CA">
        <w:rPr>
          <w:rFonts w:ascii="Arial" w:hAnsi="Arial" w:cs="Arial"/>
        </w:rPr>
        <w:t xml:space="preserve">, a framework used to assign roles </w:t>
      </w:r>
      <w:r w:rsidR="00A61F52">
        <w:rPr>
          <w:rFonts w:ascii="Arial" w:hAnsi="Arial" w:cs="Arial"/>
        </w:rPr>
        <w:t xml:space="preserve">within our relationships </w:t>
      </w:r>
      <w:sdt>
        <w:sdtPr>
          <w:rPr>
            <w:rFonts w:ascii="Arial" w:hAnsi="Arial" w:cs="Arial"/>
          </w:rPr>
          <w:id w:val="-472139554"/>
          <w:citation/>
        </w:sdtPr>
        <w:sdtContent>
          <w:r w:rsidR="00A61F52">
            <w:rPr>
              <w:rFonts w:ascii="Arial" w:hAnsi="Arial" w:cs="Arial"/>
            </w:rPr>
            <w:fldChar w:fldCharType="begin"/>
          </w:r>
          <w:r w:rsidR="00A61F52">
            <w:rPr>
              <w:rFonts w:ascii="Arial" w:hAnsi="Arial" w:cs="Arial"/>
            </w:rPr>
            <w:instrText xml:space="preserve"> CITATION Lac22 \l 2057 </w:instrText>
          </w:r>
          <w:r w:rsidR="00A61F52">
            <w:rPr>
              <w:rFonts w:ascii="Arial" w:hAnsi="Arial" w:cs="Arial"/>
            </w:rPr>
            <w:fldChar w:fldCharType="separate"/>
          </w:r>
          <w:r w:rsidR="009C1BF1" w:rsidRPr="009C1BF1">
            <w:rPr>
              <w:rFonts w:ascii="Arial" w:hAnsi="Arial" w:cs="Arial"/>
              <w:noProof/>
            </w:rPr>
            <w:t>(Lac &amp; Donaldson, 2022)</w:t>
          </w:r>
          <w:r w:rsidR="00A61F52">
            <w:rPr>
              <w:rFonts w:ascii="Arial" w:hAnsi="Arial" w:cs="Arial"/>
            </w:rPr>
            <w:fldChar w:fldCharType="end"/>
          </w:r>
        </w:sdtContent>
      </w:sdt>
      <w:r w:rsidR="00A61F52">
        <w:rPr>
          <w:rFonts w:ascii="Arial" w:hAnsi="Arial" w:cs="Arial"/>
        </w:rPr>
        <w:t>.</w:t>
      </w:r>
      <w:r w:rsidR="0044371B">
        <w:rPr>
          <w:rFonts w:ascii="Arial" w:hAnsi="Arial" w:cs="Arial"/>
        </w:rPr>
        <w:t xml:space="preserve"> Applying this to practice seemed challenging, and although the theory was simple to understand</w:t>
      </w:r>
      <w:r w:rsidR="00AF58E9">
        <w:rPr>
          <w:rFonts w:ascii="Arial" w:hAnsi="Arial" w:cs="Arial"/>
        </w:rPr>
        <w:t xml:space="preserve">, being asked to recall examples was challenging. In </w:t>
      </w:r>
      <w:r w:rsidR="00AF58E9">
        <w:rPr>
          <w:rFonts w:ascii="Arial" w:hAnsi="Arial" w:cs="Arial"/>
        </w:rPr>
        <w:lastRenderedPageBreak/>
        <w:t xml:space="preserve">the future, </w:t>
      </w:r>
      <w:r w:rsidR="00CC5E27">
        <w:rPr>
          <w:rFonts w:ascii="Arial" w:hAnsi="Arial" w:cs="Arial"/>
        </w:rPr>
        <w:t>taking the opportunity to attempt to implement unfamiliar theory into practice where possible is something to explore to gain better understanding.</w:t>
      </w:r>
      <w:r w:rsidR="00A61F52">
        <w:rPr>
          <w:rFonts w:ascii="Arial" w:hAnsi="Arial" w:cs="Arial"/>
        </w:rPr>
        <w:t xml:space="preserve"> </w:t>
      </w:r>
    </w:p>
    <w:p w14:paraId="491F4A03" w14:textId="135D3068" w:rsidR="00BE18BF" w:rsidRDefault="00F35B7A" w:rsidP="002B2839">
      <w:pPr>
        <w:spacing w:line="360" w:lineRule="auto"/>
        <w:ind w:firstLine="851"/>
        <w:rPr>
          <w:rFonts w:ascii="Arial" w:hAnsi="Arial" w:cs="Arial"/>
        </w:rPr>
      </w:pPr>
      <w:r>
        <w:rPr>
          <w:rFonts w:ascii="Arial" w:hAnsi="Arial" w:cs="Arial"/>
        </w:rPr>
        <w:t xml:space="preserve">One </w:t>
      </w:r>
      <w:r w:rsidR="00E56D96">
        <w:rPr>
          <w:rFonts w:ascii="Arial" w:hAnsi="Arial" w:cs="Arial"/>
        </w:rPr>
        <w:t xml:space="preserve">thing noticed during practical sessions as well as recordings, was the need for development to determine when to provide solutions and when to provide information. Within my professional life at work, I can tie this back to being a strength given the nature of the signposting and empathetic listening required when an individual approaches. However, looking back on the assignment recording submitted I had noticed that </w:t>
      </w:r>
      <w:r w:rsidR="003F49FA">
        <w:rPr>
          <w:rFonts w:ascii="Arial" w:hAnsi="Arial" w:cs="Arial"/>
        </w:rPr>
        <w:t>there was still the tendency for myself to offer an opinion</w:t>
      </w:r>
      <w:r w:rsidR="00753E80">
        <w:rPr>
          <w:rFonts w:ascii="Arial" w:hAnsi="Arial" w:cs="Arial"/>
        </w:rPr>
        <w:t xml:space="preserve">, rather than suggestion. There </w:t>
      </w:r>
      <w:r w:rsidR="00D06FE9">
        <w:rPr>
          <w:rFonts w:ascii="Arial" w:hAnsi="Arial" w:cs="Arial"/>
        </w:rPr>
        <w:t>were</w:t>
      </w:r>
      <w:r w:rsidR="00753E80">
        <w:rPr>
          <w:rFonts w:ascii="Arial" w:hAnsi="Arial" w:cs="Arial"/>
        </w:rPr>
        <w:t xml:space="preserve"> instances of using ‘I think…’, which was also picked up during feedback from the assignment recording. </w:t>
      </w:r>
      <w:r w:rsidR="007C015C">
        <w:rPr>
          <w:rFonts w:ascii="Arial" w:hAnsi="Arial" w:cs="Arial"/>
        </w:rPr>
        <w:t xml:space="preserve">Although this can lead to </w:t>
      </w:r>
      <w:r w:rsidR="005B04CD">
        <w:rPr>
          <w:rFonts w:ascii="Arial" w:hAnsi="Arial" w:cs="Arial"/>
        </w:rPr>
        <w:t xml:space="preserve">conversations probing solutions, looking back the wording sounds more like </w:t>
      </w:r>
      <w:r w:rsidR="00251E75">
        <w:rPr>
          <w:rFonts w:ascii="Arial" w:hAnsi="Arial" w:cs="Arial"/>
        </w:rPr>
        <w:t>providing an opinion</w:t>
      </w:r>
      <w:r w:rsidR="00ED0D6E">
        <w:rPr>
          <w:rFonts w:ascii="Arial" w:hAnsi="Arial" w:cs="Arial"/>
        </w:rPr>
        <w:t>, as stated by Midwinter and Dickson (</w:t>
      </w:r>
      <w:r w:rsidR="00472242">
        <w:rPr>
          <w:rFonts w:ascii="Arial" w:hAnsi="Arial" w:cs="Arial"/>
        </w:rPr>
        <w:t>2015</w:t>
      </w:r>
      <w:r w:rsidR="00385DF3">
        <w:rPr>
          <w:rFonts w:ascii="Arial" w:hAnsi="Arial" w:cs="Arial"/>
        </w:rPr>
        <w:t>b</w:t>
      </w:r>
      <w:r w:rsidR="00ED0D6E">
        <w:rPr>
          <w:rFonts w:ascii="Arial" w:hAnsi="Arial" w:cs="Arial"/>
        </w:rPr>
        <w:t xml:space="preserve">), the language used within a counselling session can either </w:t>
      </w:r>
      <w:r w:rsidR="00472242">
        <w:rPr>
          <w:rFonts w:ascii="Arial" w:hAnsi="Arial" w:cs="Arial"/>
        </w:rPr>
        <w:t xml:space="preserve">help enable a conversation flow, or hinder </w:t>
      </w:r>
      <w:r w:rsidR="00385DF3">
        <w:rPr>
          <w:rFonts w:ascii="Arial" w:hAnsi="Arial" w:cs="Arial"/>
        </w:rPr>
        <w:t>its</w:t>
      </w:r>
      <w:r w:rsidR="00472242">
        <w:rPr>
          <w:rFonts w:ascii="Arial" w:hAnsi="Arial" w:cs="Arial"/>
        </w:rPr>
        <w:t xml:space="preserve"> natural progression.</w:t>
      </w:r>
      <w:r w:rsidR="007A40B8">
        <w:rPr>
          <w:rFonts w:ascii="Arial" w:hAnsi="Arial" w:cs="Arial"/>
        </w:rPr>
        <w:t xml:space="preserve"> Phrases such as ‘I’m wondering…’ and </w:t>
      </w:r>
      <w:r w:rsidR="00792540">
        <w:rPr>
          <w:rFonts w:ascii="Arial" w:hAnsi="Arial" w:cs="Arial"/>
        </w:rPr>
        <w:t xml:space="preserve">‘It seems as though…’ </w:t>
      </w:r>
      <w:r w:rsidR="000B6FE3">
        <w:rPr>
          <w:rFonts w:ascii="Arial" w:hAnsi="Arial" w:cs="Arial"/>
        </w:rPr>
        <w:t>help display the core conditions within a session and can aid with the natural flow of conversation,</w:t>
      </w:r>
      <w:r w:rsidR="007C0BB6">
        <w:rPr>
          <w:rFonts w:ascii="Arial" w:hAnsi="Arial" w:cs="Arial"/>
        </w:rPr>
        <w:t xml:space="preserve"> whereas utilising ‘I think…’ within this scenario had the opposite effect on the conversation. </w:t>
      </w:r>
      <w:r w:rsidR="00CC1B61">
        <w:rPr>
          <w:rFonts w:ascii="Arial" w:hAnsi="Arial" w:cs="Arial"/>
        </w:rPr>
        <w:t xml:space="preserve">Within this scenario, there was utilisations of </w:t>
      </w:r>
      <w:r w:rsidR="006B7AC2">
        <w:rPr>
          <w:rFonts w:ascii="Arial" w:hAnsi="Arial" w:cs="Arial"/>
        </w:rPr>
        <w:t xml:space="preserve">language that helped the conversation. One in particular was utilising the question ‘What would </w:t>
      </w:r>
      <w:r w:rsidR="00BE18BF">
        <w:rPr>
          <w:rFonts w:ascii="Arial" w:hAnsi="Arial" w:cs="Arial"/>
        </w:rPr>
        <w:t xml:space="preserve">you say to a friend experiencing this…?”. </w:t>
      </w:r>
      <w:r w:rsidR="00B72093">
        <w:rPr>
          <w:rFonts w:ascii="Arial" w:hAnsi="Arial" w:cs="Arial"/>
        </w:rPr>
        <w:t xml:space="preserve">Asking this question allowed for the utilisation of Compassion Focused Therapy, whereby </w:t>
      </w:r>
      <w:r w:rsidR="006A2FDD">
        <w:rPr>
          <w:rFonts w:ascii="Arial" w:hAnsi="Arial" w:cs="Arial"/>
        </w:rPr>
        <w:t xml:space="preserve">focus is directed toward a client that may be displaying </w:t>
      </w:r>
      <w:r w:rsidR="00690DA1">
        <w:rPr>
          <w:rFonts w:ascii="Arial" w:hAnsi="Arial" w:cs="Arial"/>
        </w:rPr>
        <w:t xml:space="preserve">a lack of compassion </w:t>
      </w:r>
      <w:r w:rsidR="00A61E23">
        <w:rPr>
          <w:rFonts w:ascii="Arial" w:hAnsi="Arial" w:cs="Arial"/>
        </w:rPr>
        <w:t>toward themselves or others with focus on developing the soothing system</w:t>
      </w:r>
      <w:r w:rsidR="00220B96">
        <w:rPr>
          <w:rFonts w:ascii="Arial" w:hAnsi="Arial" w:cs="Arial"/>
        </w:rPr>
        <w:t xml:space="preserve"> and</w:t>
      </w:r>
      <w:r w:rsidR="00A61E23">
        <w:rPr>
          <w:rFonts w:ascii="Arial" w:hAnsi="Arial" w:cs="Arial"/>
        </w:rPr>
        <w:t xml:space="preserve"> to reinstate </w:t>
      </w:r>
      <w:r w:rsidR="009945CA">
        <w:rPr>
          <w:rFonts w:ascii="Arial" w:hAnsi="Arial" w:cs="Arial"/>
        </w:rPr>
        <w:t xml:space="preserve">this compassion </w:t>
      </w:r>
      <w:r w:rsidR="00220B96">
        <w:rPr>
          <w:rFonts w:ascii="Arial" w:hAnsi="Arial" w:cs="Arial"/>
        </w:rPr>
        <w:t xml:space="preserve">and self-regulation </w:t>
      </w:r>
      <w:r w:rsidR="00BB27DB">
        <w:rPr>
          <w:rFonts w:ascii="Arial" w:hAnsi="Arial" w:cs="Arial"/>
        </w:rPr>
        <w:t xml:space="preserve">through various techniques, such as </w:t>
      </w:r>
      <w:r w:rsidR="004E0541">
        <w:rPr>
          <w:rFonts w:ascii="Arial" w:hAnsi="Arial" w:cs="Arial"/>
        </w:rPr>
        <w:t xml:space="preserve">letter writing and chair work </w:t>
      </w:r>
      <w:r w:rsidR="004E0541" w:rsidRPr="004E0541">
        <w:rPr>
          <w:rFonts w:ascii="Arial" w:hAnsi="Arial" w:cs="Arial"/>
          <w:noProof/>
        </w:rPr>
        <w:t>(Millard</w:t>
      </w:r>
      <w:r w:rsidR="004E0541">
        <w:rPr>
          <w:rFonts w:ascii="Arial" w:hAnsi="Arial" w:cs="Arial"/>
          <w:noProof/>
        </w:rPr>
        <w:t xml:space="preserve"> et al.</w:t>
      </w:r>
      <w:r w:rsidR="004E0541" w:rsidRPr="004E0541">
        <w:rPr>
          <w:rFonts w:ascii="Arial" w:hAnsi="Arial" w:cs="Arial"/>
          <w:noProof/>
        </w:rPr>
        <w:t>, 2023)</w:t>
      </w:r>
      <w:r w:rsidR="004E0541">
        <w:rPr>
          <w:rFonts w:ascii="Arial" w:hAnsi="Arial" w:cs="Arial"/>
          <w:noProof/>
        </w:rPr>
        <w:t xml:space="preserve">. </w:t>
      </w:r>
      <w:r w:rsidR="008D7B0B">
        <w:rPr>
          <w:rFonts w:ascii="Arial" w:hAnsi="Arial" w:cs="Arial"/>
          <w:noProof/>
        </w:rPr>
        <w:t xml:space="preserve">Compassion Focused Therapy also utilises </w:t>
      </w:r>
      <w:r w:rsidR="00EC7214">
        <w:rPr>
          <w:rFonts w:ascii="Arial" w:hAnsi="Arial" w:cs="Arial"/>
          <w:noProof/>
        </w:rPr>
        <w:t xml:space="preserve">discussion of the self in third-person, to distance an individual from </w:t>
      </w:r>
      <w:r w:rsidR="009570E1">
        <w:rPr>
          <w:rFonts w:ascii="Arial" w:hAnsi="Arial" w:cs="Arial"/>
          <w:noProof/>
        </w:rPr>
        <w:t xml:space="preserve">the experience as individual’s can often show more compassion </w:t>
      </w:r>
      <w:r w:rsidR="002E32CD">
        <w:rPr>
          <w:rFonts w:ascii="Arial" w:hAnsi="Arial" w:cs="Arial"/>
          <w:noProof/>
        </w:rPr>
        <w:t xml:space="preserve">for a friend than themselves </w:t>
      </w:r>
      <w:sdt>
        <w:sdtPr>
          <w:rPr>
            <w:rFonts w:ascii="Arial" w:hAnsi="Arial" w:cs="Arial"/>
            <w:noProof/>
          </w:rPr>
          <w:id w:val="-1145581130"/>
          <w:citation/>
        </w:sdtPr>
        <w:sdtContent>
          <w:r w:rsidR="002E32CD">
            <w:rPr>
              <w:rFonts w:ascii="Arial" w:hAnsi="Arial" w:cs="Arial"/>
              <w:noProof/>
            </w:rPr>
            <w:fldChar w:fldCharType="begin"/>
          </w:r>
          <w:r w:rsidR="002E32CD">
            <w:rPr>
              <w:rFonts w:ascii="Arial" w:hAnsi="Arial" w:cs="Arial"/>
              <w:noProof/>
            </w:rPr>
            <w:instrText xml:space="preserve"> CITATION Stu22 \l 2057 </w:instrText>
          </w:r>
          <w:r w:rsidR="002E32CD">
            <w:rPr>
              <w:rFonts w:ascii="Arial" w:hAnsi="Arial" w:cs="Arial"/>
              <w:noProof/>
            </w:rPr>
            <w:fldChar w:fldCharType="separate"/>
          </w:r>
          <w:r w:rsidR="009C1BF1" w:rsidRPr="009C1BF1">
            <w:rPr>
              <w:rFonts w:ascii="Arial" w:hAnsi="Arial" w:cs="Arial"/>
              <w:noProof/>
            </w:rPr>
            <w:t>(Stutts, 2022)</w:t>
          </w:r>
          <w:r w:rsidR="002E32CD">
            <w:rPr>
              <w:rFonts w:ascii="Arial" w:hAnsi="Arial" w:cs="Arial"/>
              <w:noProof/>
            </w:rPr>
            <w:fldChar w:fldCharType="end"/>
          </w:r>
        </w:sdtContent>
      </w:sdt>
      <w:r w:rsidR="006D67D5">
        <w:rPr>
          <w:rFonts w:ascii="Arial" w:hAnsi="Arial" w:cs="Arial"/>
          <w:noProof/>
        </w:rPr>
        <w:t xml:space="preserve"> and allowing for the client to experience </w:t>
      </w:r>
      <w:r w:rsidR="002E32CD">
        <w:rPr>
          <w:rFonts w:ascii="Arial" w:hAnsi="Arial" w:cs="Arial"/>
          <w:noProof/>
        </w:rPr>
        <w:t xml:space="preserve">. </w:t>
      </w:r>
      <w:r w:rsidR="00112DA6">
        <w:rPr>
          <w:rFonts w:ascii="Arial" w:hAnsi="Arial" w:cs="Arial"/>
          <w:noProof/>
        </w:rPr>
        <w:t xml:space="preserve">This approach had led the client to view their scenario differently, and instilled clarification of the situation </w:t>
      </w:r>
      <w:r w:rsidR="00D51EE7">
        <w:rPr>
          <w:rFonts w:ascii="Arial" w:hAnsi="Arial" w:cs="Arial"/>
          <w:noProof/>
        </w:rPr>
        <w:t xml:space="preserve">and allowed for a solution-focused conversation to take place. I feel as if this aspect of the recording had gone well, as this is an approach often used myself during </w:t>
      </w:r>
      <w:r w:rsidR="00356B07">
        <w:rPr>
          <w:rFonts w:ascii="Arial" w:hAnsi="Arial" w:cs="Arial"/>
          <w:noProof/>
        </w:rPr>
        <w:t xml:space="preserve">feelings of self-doubt. Through research, a interesting qualitative exploration highlighted that </w:t>
      </w:r>
      <w:r w:rsidR="007E67A8">
        <w:rPr>
          <w:rFonts w:ascii="Arial" w:hAnsi="Arial" w:cs="Arial"/>
          <w:noProof/>
        </w:rPr>
        <w:t xml:space="preserve">participants working with Compassion Focused Therapy who employed </w:t>
      </w:r>
      <w:r w:rsidR="003C5EE6">
        <w:rPr>
          <w:rFonts w:ascii="Arial" w:hAnsi="Arial" w:cs="Arial"/>
          <w:noProof/>
        </w:rPr>
        <w:t xml:space="preserve">this as personal practice were able to </w:t>
      </w:r>
      <w:r w:rsidR="00A303FD">
        <w:rPr>
          <w:rFonts w:ascii="Arial" w:hAnsi="Arial" w:cs="Arial"/>
          <w:noProof/>
        </w:rPr>
        <w:t xml:space="preserve">apply this more effectivley within practice and </w:t>
      </w:r>
      <w:r w:rsidR="00185581">
        <w:rPr>
          <w:rFonts w:ascii="Arial" w:hAnsi="Arial" w:cs="Arial"/>
          <w:noProof/>
        </w:rPr>
        <w:t xml:space="preserve">felt more present with their clients </w:t>
      </w:r>
      <w:sdt>
        <w:sdtPr>
          <w:rPr>
            <w:rFonts w:ascii="Arial" w:hAnsi="Arial" w:cs="Arial"/>
            <w:noProof/>
          </w:rPr>
          <w:id w:val="740213074"/>
          <w:citation/>
        </w:sdtPr>
        <w:sdtContent>
          <w:r w:rsidR="00185581">
            <w:rPr>
              <w:rFonts w:ascii="Arial" w:hAnsi="Arial" w:cs="Arial"/>
              <w:noProof/>
            </w:rPr>
            <w:fldChar w:fldCharType="begin"/>
          </w:r>
          <w:r w:rsidR="00185581">
            <w:rPr>
              <w:rFonts w:ascii="Arial" w:hAnsi="Arial" w:cs="Arial"/>
              <w:noProof/>
            </w:rPr>
            <w:instrText xml:space="preserve"> CITATION Gal15 \l 2057 </w:instrText>
          </w:r>
          <w:r w:rsidR="00185581">
            <w:rPr>
              <w:rFonts w:ascii="Arial" w:hAnsi="Arial" w:cs="Arial"/>
              <w:noProof/>
            </w:rPr>
            <w:fldChar w:fldCharType="separate"/>
          </w:r>
          <w:r w:rsidR="009C1BF1" w:rsidRPr="009C1BF1">
            <w:rPr>
              <w:rFonts w:ascii="Arial" w:hAnsi="Arial" w:cs="Arial"/>
              <w:noProof/>
            </w:rPr>
            <w:t>(Gale, Schröder, &amp; Gilbert, 2015)</w:t>
          </w:r>
          <w:r w:rsidR="00185581">
            <w:rPr>
              <w:rFonts w:ascii="Arial" w:hAnsi="Arial" w:cs="Arial"/>
              <w:noProof/>
            </w:rPr>
            <w:fldChar w:fldCharType="end"/>
          </w:r>
        </w:sdtContent>
      </w:sdt>
      <w:r w:rsidR="00185581">
        <w:rPr>
          <w:rFonts w:ascii="Arial" w:hAnsi="Arial" w:cs="Arial"/>
          <w:noProof/>
        </w:rPr>
        <w:t>.</w:t>
      </w:r>
      <w:r w:rsidR="005C5625">
        <w:rPr>
          <w:rFonts w:ascii="Arial" w:hAnsi="Arial" w:cs="Arial"/>
          <w:noProof/>
        </w:rPr>
        <w:t xml:space="preserve"> This approach also has roots within </w:t>
      </w:r>
      <w:r w:rsidR="005C5625">
        <w:rPr>
          <w:rFonts w:ascii="Arial" w:hAnsi="Arial" w:cs="Arial"/>
          <w:noProof/>
        </w:rPr>
        <w:lastRenderedPageBreak/>
        <w:t>Gestalt Emotion Focused Therapy, Elliott</w:t>
      </w:r>
      <w:r w:rsidR="00801980">
        <w:rPr>
          <w:rFonts w:ascii="Arial" w:hAnsi="Arial" w:cs="Arial"/>
          <w:noProof/>
        </w:rPr>
        <w:t xml:space="preserve"> (2013, as cited by</w:t>
      </w:r>
      <w:r w:rsidR="00785550">
        <w:rPr>
          <w:rFonts w:ascii="Arial" w:hAnsi="Arial" w:cs="Arial"/>
          <w:noProof/>
        </w:rPr>
        <w:t xml:space="preserve"> Sutherland, </w:t>
      </w:r>
      <w:r w:rsidR="00DA78A2" w:rsidRPr="00DA78A2">
        <w:rPr>
          <w:rFonts w:ascii="Arial" w:hAnsi="Arial" w:cs="Arial"/>
          <w:noProof/>
        </w:rPr>
        <w:t>Peräkylä</w:t>
      </w:r>
      <w:r w:rsidR="00DA78A2">
        <w:rPr>
          <w:rFonts w:ascii="Arial" w:hAnsi="Arial" w:cs="Arial"/>
          <w:noProof/>
        </w:rPr>
        <w:t xml:space="preserve"> &amp; Elliott, 2014</w:t>
      </w:r>
      <w:r w:rsidR="00801980">
        <w:rPr>
          <w:rFonts w:ascii="Arial" w:hAnsi="Arial" w:cs="Arial"/>
          <w:noProof/>
        </w:rPr>
        <w:t>)</w:t>
      </w:r>
      <w:r w:rsidR="00BA568D">
        <w:rPr>
          <w:rFonts w:ascii="Arial" w:hAnsi="Arial" w:cs="Arial"/>
          <w:noProof/>
        </w:rPr>
        <w:t xml:space="preserve"> utilised the use of a close friend as a self-other </w:t>
      </w:r>
      <w:r w:rsidR="00FC5026">
        <w:rPr>
          <w:rFonts w:ascii="Arial" w:hAnsi="Arial" w:cs="Arial"/>
          <w:noProof/>
        </w:rPr>
        <w:t>combination within self-soothing work</w:t>
      </w:r>
      <w:r w:rsidR="00F0154C">
        <w:rPr>
          <w:rFonts w:ascii="Arial" w:hAnsi="Arial" w:cs="Arial"/>
          <w:noProof/>
        </w:rPr>
        <w:t xml:space="preserve">. </w:t>
      </w:r>
    </w:p>
    <w:p w14:paraId="54894BB9" w14:textId="5B39631A" w:rsidR="00F35B7A" w:rsidRDefault="007C0BB6" w:rsidP="002B2839">
      <w:pPr>
        <w:spacing w:line="360" w:lineRule="auto"/>
        <w:ind w:firstLine="851"/>
        <w:rPr>
          <w:rFonts w:ascii="Arial" w:hAnsi="Arial" w:cs="Arial"/>
        </w:rPr>
      </w:pPr>
      <w:r>
        <w:rPr>
          <w:rFonts w:ascii="Arial" w:hAnsi="Arial" w:cs="Arial"/>
        </w:rPr>
        <w:t xml:space="preserve">Going forward, utilising phrases that allow for open and honest conversations appear to be </w:t>
      </w:r>
      <w:r w:rsidR="002B2839">
        <w:rPr>
          <w:rFonts w:ascii="Arial" w:hAnsi="Arial" w:cs="Arial"/>
        </w:rPr>
        <w:t xml:space="preserve">more effective and I will make more of an effort to implement this within practice to appropriately display relational depth. </w:t>
      </w:r>
      <w:r w:rsidR="007E30E0">
        <w:rPr>
          <w:rFonts w:ascii="Arial" w:hAnsi="Arial" w:cs="Arial"/>
        </w:rPr>
        <w:t xml:space="preserve">Relational depth is described within Carl Rodger’s </w:t>
      </w:r>
      <w:r w:rsidR="008D2845">
        <w:rPr>
          <w:rFonts w:ascii="Arial" w:hAnsi="Arial" w:cs="Arial"/>
        </w:rPr>
        <w:t>C</w:t>
      </w:r>
      <w:r w:rsidR="00B062A1">
        <w:rPr>
          <w:rFonts w:ascii="Arial" w:hAnsi="Arial" w:cs="Arial"/>
        </w:rPr>
        <w:t xml:space="preserve">ore </w:t>
      </w:r>
      <w:r w:rsidR="008D2845">
        <w:rPr>
          <w:rFonts w:ascii="Arial" w:hAnsi="Arial" w:cs="Arial"/>
        </w:rPr>
        <w:t>C</w:t>
      </w:r>
      <w:r w:rsidR="00B062A1">
        <w:rPr>
          <w:rFonts w:ascii="Arial" w:hAnsi="Arial" w:cs="Arial"/>
        </w:rPr>
        <w:t xml:space="preserve">onditions, following on from unconditional positive regard, congruence and empathy </w:t>
      </w:r>
      <w:sdt>
        <w:sdtPr>
          <w:rPr>
            <w:rFonts w:ascii="Arial" w:hAnsi="Arial" w:cs="Arial"/>
          </w:rPr>
          <w:id w:val="1815444576"/>
          <w:citation/>
        </w:sdtPr>
        <w:sdtContent>
          <w:r w:rsidR="00F96CE8">
            <w:rPr>
              <w:rFonts w:ascii="Arial" w:hAnsi="Arial" w:cs="Arial"/>
            </w:rPr>
            <w:fldChar w:fldCharType="begin"/>
          </w:r>
          <w:r w:rsidR="00F96CE8">
            <w:rPr>
              <w:rFonts w:ascii="Arial" w:hAnsi="Arial" w:cs="Arial"/>
            </w:rPr>
            <w:instrText xml:space="preserve"> CITATION Rod57 \l 2057 </w:instrText>
          </w:r>
          <w:r w:rsidR="00F96CE8">
            <w:rPr>
              <w:rFonts w:ascii="Arial" w:hAnsi="Arial" w:cs="Arial"/>
            </w:rPr>
            <w:fldChar w:fldCharType="separate"/>
          </w:r>
          <w:r w:rsidR="009C1BF1" w:rsidRPr="009C1BF1">
            <w:rPr>
              <w:rFonts w:ascii="Arial" w:hAnsi="Arial" w:cs="Arial"/>
              <w:noProof/>
            </w:rPr>
            <w:t>(Rodgers, 1957)</w:t>
          </w:r>
          <w:r w:rsidR="00F96CE8">
            <w:rPr>
              <w:rFonts w:ascii="Arial" w:hAnsi="Arial" w:cs="Arial"/>
            </w:rPr>
            <w:fldChar w:fldCharType="end"/>
          </w:r>
        </w:sdtContent>
      </w:sdt>
      <w:r w:rsidR="00F96CE8">
        <w:rPr>
          <w:rFonts w:ascii="Arial" w:hAnsi="Arial" w:cs="Arial"/>
        </w:rPr>
        <w:t xml:space="preserve"> </w:t>
      </w:r>
      <w:r w:rsidR="00B062A1">
        <w:rPr>
          <w:rFonts w:ascii="Arial" w:hAnsi="Arial" w:cs="Arial"/>
        </w:rPr>
        <w:t xml:space="preserve">and being added </w:t>
      </w:r>
      <w:r w:rsidR="0009646E">
        <w:rPr>
          <w:rFonts w:ascii="Arial" w:hAnsi="Arial" w:cs="Arial"/>
        </w:rPr>
        <w:t xml:space="preserve">as an extension from learning. </w:t>
      </w:r>
      <w:r w:rsidR="00757296">
        <w:rPr>
          <w:rFonts w:ascii="Arial" w:hAnsi="Arial" w:cs="Arial"/>
        </w:rPr>
        <w:t xml:space="preserve">Research into the importance of relational depth within counselling has shown that client’s that truly experienced relational depth </w:t>
      </w:r>
      <w:r w:rsidR="00E30D0C">
        <w:rPr>
          <w:rFonts w:ascii="Arial" w:hAnsi="Arial" w:cs="Arial"/>
        </w:rPr>
        <w:t xml:space="preserve">described their therapist as </w:t>
      </w:r>
      <w:r w:rsidR="004F5C45">
        <w:rPr>
          <w:rFonts w:ascii="Arial" w:hAnsi="Arial" w:cs="Arial"/>
        </w:rPr>
        <w:t xml:space="preserve">showing ‘realness’, being accepting </w:t>
      </w:r>
      <w:r w:rsidR="001A303F">
        <w:rPr>
          <w:rFonts w:ascii="Arial" w:hAnsi="Arial" w:cs="Arial"/>
        </w:rPr>
        <w:t xml:space="preserve">and were seen as highly significant moments during their sessions as well as </w:t>
      </w:r>
      <w:r w:rsidR="007F1DDC">
        <w:rPr>
          <w:rFonts w:ascii="Arial" w:hAnsi="Arial" w:cs="Arial"/>
        </w:rPr>
        <w:t xml:space="preserve">coming away and describing their therapeutic experience as positive </w:t>
      </w:r>
      <w:sdt>
        <w:sdtPr>
          <w:rPr>
            <w:rFonts w:ascii="Arial" w:hAnsi="Arial" w:cs="Arial"/>
          </w:rPr>
          <w:id w:val="-479457577"/>
          <w:citation/>
        </w:sdtPr>
        <w:sdtContent>
          <w:r w:rsidR="007F1DDC">
            <w:rPr>
              <w:rFonts w:ascii="Arial" w:hAnsi="Arial" w:cs="Arial"/>
            </w:rPr>
            <w:fldChar w:fldCharType="begin"/>
          </w:r>
          <w:r w:rsidR="007F1DDC">
            <w:rPr>
              <w:rFonts w:ascii="Arial" w:hAnsi="Arial" w:cs="Arial"/>
            </w:rPr>
            <w:instrText xml:space="preserve"> CITATION Kno08 \l 2057 </w:instrText>
          </w:r>
          <w:r w:rsidR="007F1DDC">
            <w:rPr>
              <w:rFonts w:ascii="Arial" w:hAnsi="Arial" w:cs="Arial"/>
            </w:rPr>
            <w:fldChar w:fldCharType="separate"/>
          </w:r>
          <w:r w:rsidR="009C1BF1" w:rsidRPr="009C1BF1">
            <w:rPr>
              <w:rFonts w:ascii="Arial" w:hAnsi="Arial" w:cs="Arial"/>
              <w:noProof/>
            </w:rPr>
            <w:t>(Knox, 2008)</w:t>
          </w:r>
          <w:r w:rsidR="007F1DDC">
            <w:rPr>
              <w:rFonts w:ascii="Arial" w:hAnsi="Arial" w:cs="Arial"/>
            </w:rPr>
            <w:fldChar w:fldCharType="end"/>
          </w:r>
        </w:sdtContent>
      </w:sdt>
      <w:r w:rsidR="00107125">
        <w:rPr>
          <w:rFonts w:ascii="Arial" w:hAnsi="Arial" w:cs="Arial"/>
        </w:rPr>
        <w:t xml:space="preserve">. More recently, further research by </w:t>
      </w:r>
      <w:r w:rsidR="00674CB5">
        <w:rPr>
          <w:rFonts w:ascii="Arial" w:hAnsi="Arial" w:cs="Arial"/>
        </w:rPr>
        <w:t xml:space="preserve">Kim, Joseph and Price (2020) has shown that participants </w:t>
      </w:r>
      <w:r w:rsidR="00DE7DDF">
        <w:rPr>
          <w:rFonts w:ascii="Arial" w:hAnsi="Arial" w:cs="Arial"/>
        </w:rPr>
        <w:t xml:space="preserve">reported higher scores on the </w:t>
      </w:r>
      <w:r w:rsidR="00DF2D38">
        <w:rPr>
          <w:rFonts w:ascii="Arial" w:hAnsi="Arial" w:cs="Arial"/>
        </w:rPr>
        <w:t>R</w:t>
      </w:r>
      <w:r w:rsidR="00DE7DDF">
        <w:rPr>
          <w:rFonts w:ascii="Arial" w:hAnsi="Arial" w:cs="Arial"/>
        </w:rPr>
        <w:t xml:space="preserve">elational </w:t>
      </w:r>
      <w:r w:rsidR="00DF2D38">
        <w:rPr>
          <w:rFonts w:ascii="Arial" w:hAnsi="Arial" w:cs="Arial"/>
        </w:rPr>
        <w:t>D</w:t>
      </w:r>
      <w:r w:rsidR="00DE7DDF">
        <w:rPr>
          <w:rFonts w:ascii="Arial" w:hAnsi="Arial" w:cs="Arial"/>
        </w:rPr>
        <w:t xml:space="preserve">epth </w:t>
      </w:r>
      <w:r w:rsidR="00DF2D38">
        <w:rPr>
          <w:rFonts w:ascii="Arial" w:hAnsi="Arial" w:cs="Arial"/>
        </w:rPr>
        <w:t>In</w:t>
      </w:r>
      <w:r w:rsidR="00DE7DDF">
        <w:rPr>
          <w:rFonts w:ascii="Arial" w:hAnsi="Arial" w:cs="Arial"/>
        </w:rPr>
        <w:t xml:space="preserve">ventory correlated with higher scores on both </w:t>
      </w:r>
      <w:r w:rsidR="00DF2D38">
        <w:rPr>
          <w:rFonts w:ascii="Arial" w:hAnsi="Arial" w:cs="Arial"/>
        </w:rPr>
        <w:t xml:space="preserve">the Unconditional Positive Self-Regard Scale and </w:t>
      </w:r>
      <w:r w:rsidR="00942265">
        <w:rPr>
          <w:rFonts w:ascii="Arial" w:hAnsi="Arial" w:cs="Arial"/>
        </w:rPr>
        <w:t>the Authenticity Scale, which only adds more significance to the role that Rodger</w:t>
      </w:r>
      <w:r w:rsidR="008D2845">
        <w:rPr>
          <w:rFonts w:ascii="Arial" w:hAnsi="Arial" w:cs="Arial"/>
        </w:rPr>
        <w:t xml:space="preserve">’s Core Conditions still play </w:t>
      </w:r>
      <w:r w:rsidR="00C77CA7">
        <w:rPr>
          <w:rFonts w:ascii="Arial" w:hAnsi="Arial" w:cs="Arial"/>
        </w:rPr>
        <w:t xml:space="preserve">in modern counselling. </w:t>
      </w:r>
    </w:p>
    <w:p w14:paraId="0EE72716" w14:textId="4ACFF744" w:rsidR="001E16D5" w:rsidRDefault="001E16D5" w:rsidP="002B2839">
      <w:pPr>
        <w:spacing w:line="360" w:lineRule="auto"/>
        <w:ind w:firstLine="851"/>
        <w:rPr>
          <w:rFonts w:ascii="Arial" w:hAnsi="Arial" w:cs="Arial"/>
        </w:rPr>
      </w:pPr>
      <w:r>
        <w:rPr>
          <w:rFonts w:ascii="Arial" w:hAnsi="Arial" w:cs="Arial"/>
        </w:rPr>
        <w:t>Positively however, f</w:t>
      </w:r>
      <w:r>
        <w:rPr>
          <w:rFonts w:ascii="Arial" w:hAnsi="Arial" w:cs="Arial"/>
        </w:rPr>
        <w:t xml:space="preserve">rom both my triad work as well as the recording, I can also identify that my basic counselling skills are a strong point. Although the initial desire was to explore beyond foundational skills and try something new, sticking to strengths is where my comfort zone lies. In particular, one such skill I have noticed that comes naturally is that of paraphrasing. Described as one of the skills needed for a counselling session by Fernando (2011), paraphrasing is described as taking what one has said to you in your own words, often for clarification and encouragements for further discussion. This is a skill which can particularly show understanding, and I feel as though through my profession has given me the opportunity to additionally develop. Although having the basic fundamentals of counselling skills is key, the opportunity to continue reflecting on these shows my understanding of theory. Looking back, through practice during triad work this has certainly aided with the strengthening of these micro skills, as highlighted in previous research on the importance of role-play scenarios undertaking the client, counsellor or observer can have and how each of these different roles can aid with the developing of different skills </w:t>
      </w:r>
      <w:sdt>
        <w:sdtPr>
          <w:rPr>
            <w:rFonts w:ascii="Arial" w:hAnsi="Arial" w:cs="Arial"/>
          </w:rPr>
          <w:id w:val="-1206336865"/>
          <w:citation/>
        </w:sdtPr>
        <w:sdtContent>
          <w:r>
            <w:rPr>
              <w:rFonts w:ascii="Arial" w:hAnsi="Arial" w:cs="Arial"/>
            </w:rPr>
            <w:fldChar w:fldCharType="begin"/>
          </w:r>
          <w:r>
            <w:rPr>
              <w:rFonts w:ascii="Arial" w:hAnsi="Arial" w:cs="Arial"/>
            </w:rPr>
            <w:instrText xml:space="preserve"> CITATION Osb13 \l 2057 </w:instrText>
          </w:r>
          <w:r>
            <w:rPr>
              <w:rFonts w:ascii="Arial" w:hAnsi="Arial" w:cs="Arial"/>
            </w:rPr>
            <w:fldChar w:fldCharType="separate"/>
          </w:r>
          <w:r w:rsidR="009C1BF1" w:rsidRPr="009C1BF1">
            <w:rPr>
              <w:rFonts w:ascii="Arial" w:hAnsi="Arial" w:cs="Arial"/>
              <w:noProof/>
            </w:rPr>
            <w:t>(Osborn &amp; Costas, 2013)</w:t>
          </w:r>
          <w:r>
            <w:rPr>
              <w:rFonts w:ascii="Arial" w:hAnsi="Arial" w:cs="Arial"/>
            </w:rPr>
            <w:fldChar w:fldCharType="end"/>
          </w:r>
        </w:sdtContent>
      </w:sdt>
      <w:r>
        <w:rPr>
          <w:rFonts w:ascii="Arial" w:hAnsi="Arial" w:cs="Arial"/>
        </w:rPr>
        <w:t>.</w:t>
      </w:r>
      <w:r w:rsidR="00745D26">
        <w:rPr>
          <w:rFonts w:ascii="Arial" w:hAnsi="Arial" w:cs="Arial"/>
        </w:rPr>
        <w:t xml:space="preserve"> An additional core condition </w:t>
      </w:r>
      <w:r w:rsidR="005045D9">
        <w:rPr>
          <w:rFonts w:ascii="Arial" w:hAnsi="Arial" w:cs="Arial"/>
        </w:rPr>
        <w:lastRenderedPageBreak/>
        <w:t xml:space="preserve">that I remain fairly confident with is that of empathy. </w:t>
      </w:r>
      <w:r w:rsidR="00EE410C">
        <w:rPr>
          <w:rFonts w:ascii="Arial" w:hAnsi="Arial" w:cs="Arial"/>
        </w:rPr>
        <w:t xml:space="preserve">Empathy within the counselling profession remains key, as it </w:t>
      </w:r>
      <w:r w:rsidR="00216BFE">
        <w:rPr>
          <w:rFonts w:ascii="Arial" w:hAnsi="Arial" w:cs="Arial"/>
        </w:rPr>
        <w:t xml:space="preserve">provides the basis for a truly </w:t>
      </w:r>
      <w:r w:rsidR="00DE7B3B">
        <w:rPr>
          <w:rFonts w:ascii="Arial" w:hAnsi="Arial" w:cs="Arial"/>
        </w:rPr>
        <w:t xml:space="preserve">safe environment whereby </w:t>
      </w:r>
      <w:r w:rsidR="00577BC2">
        <w:rPr>
          <w:rFonts w:ascii="Arial" w:hAnsi="Arial" w:cs="Arial"/>
        </w:rPr>
        <w:t xml:space="preserve">personal growth can develop </w:t>
      </w:r>
      <w:sdt>
        <w:sdtPr>
          <w:rPr>
            <w:rFonts w:ascii="Arial" w:hAnsi="Arial" w:cs="Arial"/>
          </w:rPr>
          <w:id w:val="2081009492"/>
          <w:citation/>
        </w:sdtPr>
        <w:sdtContent>
          <w:r w:rsidR="00577BC2">
            <w:rPr>
              <w:rFonts w:ascii="Arial" w:hAnsi="Arial" w:cs="Arial"/>
            </w:rPr>
            <w:fldChar w:fldCharType="begin"/>
          </w:r>
          <w:r w:rsidR="00577BC2">
            <w:rPr>
              <w:rFonts w:ascii="Arial" w:hAnsi="Arial" w:cs="Arial"/>
            </w:rPr>
            <w:instrText xml:space="preserve"> CITATION Abi23 \l 2057 </w:instrText>
          </w:r>
          <w:r w:rsidR="00577BC2">
            <w:rPr>
              <w:rFonts w:ascii="Arial" w:hAnsi="Arial" w:cs="Arial"/>
            </w:rPr>
            <w:fldChar w:fldCharType="separate"/>
          </w:r>
          <w:r w:rsidR="009C1BF1" w:rsidRPr="009C1BF1">
            <w:rPr>
              <w:rFonts w:ascii="Arial" w:hAnsi="Arial" w:cs="Arial"/>
              <w:noProof/>
            </w:rPr>
            <w:t>(Abidogun, Mumuni, &amp; Adetotun, 2023)</w:t>
          </w:r>
          <w:r w:rsidR="00577BC2">
            <w:rPr>
              <w:rFonts w:ascii="Arial" w:hAnsi="Arial" w:cs="Arial"/>
            </w:rPr>
            <w:fldChar w:fldCharType="end"/>
          </w:r>
        </w:sdtContent>
      </w:sdt>
      <w:r w:rsidR="004A5FB1">
        <w:rPr>
          <w:rFonts w:ascii="Arial" w:hAnsi="Arial" w:cs="Arial"/>
        </w:rPr>
        <w:t xml:space="preserve"> and allows for the development of rapport within the therapeutic relationship, </w:t>
      </w:r>
      <w:r w:rsidR="00495F70">
        <w:rPr>
          <w:rFonts w:ascii="Arial" w:hAnsi="Arial" w:cs="Arial"/>
        </w:rPr>
        <w:t xml:space="preserve">by showing understanding of a client’s perspective during sessions </w:t>
      </w:r>
      <w:sdt>
        <w:sdtPr>
          <w:rPr>
            <w:rFonts w:ascii="Arial" w:hAnsi="Arial" w:cs="Arial"/>
          </w:rPr>
          <w:id w:val="-805464548"/>
          <w:citation/>
        </w:sdtPr>
        <w:sdtContent>
          <w:r w:rsidR="00495F70">
            <w:rPr>
              <w:rFonts w:ascii="Arial" w:hAnsi="Arial" w:cs="Arial"/>
            </w:rPr>
            <w:fldChar w:fldCharType="begin"/>
          </w:r>
          <w:r w:rsidR="00495F70">
            <w:rPr>
              <w:rFonts w:ascii="Arial" w:hAnsi="Arial" w:cs="Arial"/>
            </w:rPr>
            <w:instrText xml:space="preserve"> CITATION Nor07 \l 2057 </w:instrText>
          </w:r>
          <w:r w:rsidR="00495F70">
            <w:rPr>
              <w:rFonts w:ascii="Arial" w:hAnsi="Arial" w:cs="Arial"/>
            </w:rPr>
            <w:fldChar w:fldCharType="separate"/>
          </w:r>
          <w:r w:rsidR="009C1BF1" w:rsidRPr="009C1BF1">
            <w:rPr>
              <w:rFonts w:ascii="Arial" w:hAnsi="Arial" w:cs="Arial"/>
              <w:noProof/>
            </w:rPr>
            <w:t>(Norfolk, Birdi, &amp; Walsh, 2007)</w:t>
          </w:r>
          <w:r w:rsidR="00495F70">
            <w:rPr>
              <w:rFonts w:ascii="Arial" w:hAnsi="Arial" w:cs="Arial"/>
            </w:rPr>
            <w:fldChar w:fldCharType="end"/>
          </w:r>
        </w:sdtContent>
      </w:sdt>
      <w:r w:rsidR="00577BC2">
        <w:rPr>
          <w:rFonts w:ascii="Arial" w:hAnsi="Arial" w:cs="Arial"/>
        </w:rPr>
        <w:t xml:space="preserve">. </w:t>
      </w:r>
      <w:r w:rsidR="00516759">
        <w:rPr>
          <w:rFonts w:ascii="Arial" w:hAnsi="Arial" w:cs="Arial"/>
        </w:rPr>
        <w:t>Showing empathy within triad sessions</w:t>
      </w:r>
      <w:r w:rsidR="009A285B">
        <w:rPr>
          <w:rFonts w:ascii="Arial" w:hAnsi="Arial" w:cs="Arial"/>
        </w:rPr>
        <w:t xml:space="preserve"> came naturally and was showcased through the use of basic skills, such as active listening and </w:t>
      </w:r>
      <w:r w:rsidR="00526BA1">
        <w:rPr>
          <w:rFonts w:ascii="Arial" w:hAnsi="Arial" w:cs="Arial"/>
        </w:rPr>
        <w:t>paraphrasing what has been said. After one particular triad session, I had been told by a cohort member that they felt really good after it which really did improve my own self confidence and self-esteem</w:t>
      </w:r>
      <w:r w:rsidR="0025422A">
        <w:rPr>
          <w:rFonts w:ascii="Arial" w:hAnsi="Arial" w:cs="Arial"/>
        </w:rPr>
        <w:t xml:space="preserve"> regardless of the scenario used being roleplay. </w:t>
      </w:r>
      <w:r w:rsidR="00B13AF5">
        <w:rPr>
          <w:rFonts w:ascii="Arial" w:hAnsi="Arial" w:cs="Arial"/>
        </w:rPr>
        <w:t xml:space="preserve">Although empathy can provide improved client satisfaction and experience of counselling </w:t>
      </w:r>
      <w:sdt>
        <w:sdtPr>
          <w:rPr>
            <w:rFonts w:ascii="Arial" w:hAnsi="Arial" w:cs="Arial"/>
          </w:rPr>
          <w:id w:val="1776595643"/>
          <w:citation/>
        </w:sdtPr>
        <w:sdtContent>
          <w:r w:rsidR="00064839">
            <w:rPr>
              <w:rFonts w:ascii="Arial" w:hAnsi="Arial" w:cs="Arial"/>
            </w:rPr>
            <w:fldChar w:fldCharType="begin"/>
          </w:r>
          <w:r w:rsidR="00064839">
            <w:rPr>
              <w:rFonts w:ascii="Arial" w:hAnsi="Arial" w:cs="Arial"/>
            </w:rPr>
            <w:instrText xml:space="preserve"> CITATION Ell18 \l 2057 </w:instrText>
          </w:r>
          <w:r w:rsidR="00064839">
            <w:rPr>
              <w:rFonts w:ascii="Arial" w:hAnsi="Arial" w:cs="Arial"/>
            </w:rPr>
            <w:fldChar w:fldCharType="separate"/>
          </w:r>
          <w:r w:rsidR="009C1BF1" w:rsidRPr="009C1BF1">
            <w:rPr>
              <w:rFonts w:ascii="Arial" w:hAnsi="Arial" w:cs="Arial"/>
              <w:noProof/>
            </w:rPr>
            <w:t>(Elliott, Bohart, Watson, &amp; Murphy, 2018)</w:t>
          </w:r>
          <w:r w:rsidR="00064839">
            <w:rPr>
              <w:rFonts w:ascii="Arial" w:hAnsi="Arial" w:cs="Arial"/>
            </w:rPr>
            <w:fldChar w:fldCharType="end"/>
          </w:r>
        </w:sdtContent>
      </w:sdt>
      <w:r w:rsidR="001A1C01">
        <w:rPr>
          <w:rFonts w:ascii="Arial" w:hAnsi="Arial" w:cs="Arial"/>
        </w:rPr>
        <w:t xml:space="preserve">, it is also important to note the impacts of displaying empathy </w:t>
      </w:r>
      <w:r w:rsidR="00A530ED">
        <w:rPr>
          <w:rFonts w:ascii="Arial" w:hAnsi="Arial" w:cs="Arial"/>
        </w:rPr>
        <w:t xml:space="preserve">on the helper. </w:t>
      </w:r>
      <w:r w:rsidR="007F46BA">
        <w:rPr>
          <w:rFonts w:ascii="Arial" w:hAnsi="Arial" w:cs="Arial"/>
        </w:rPr>
        <w:t>Displaying high levels of empathy within a helping role has also been associated wi</w:t>
      </w:r>
      <w:r w:rsidR="00196162">
        <w:rPr>
          <w:rFonts w:ascii="Arial" w:hAnsi="Arial" w:cs="Arial"/>
        </w:rPr>
        <w:t xml:space="preserve">th a high risk in the reduction of well-being </w:t>
      </w:r>
      <w:sdt>
        <w:sdtPr>
          <w:rPr>
            <w:rFonts w:ascii="Arial" w:hAnsi="Arial" w:cs="Arial"/>
          </w:rPr>
          <w:id w:val="617722610"/>
          <w:citation/>
        </w:sdtPr>
        <w:sdtContent>
          <w:r w:rsidR="00196162">
            <w:rPr>
              <w:rFonts w:ascii="Arial" w:hAnsi="Arial" w:cs="Arial"/>
            </w:rPr>
            <w:fldChar w:fldCharType="begin"/>
          </w:r>
          <w:r w:rsidR="00196162">
            <w:rPr>
              <w:rFonts w:ascii="Arial" w:hAnsi="Arial" w:cs="Arial"/>
            </w:rPr>
            <w:instrText xml:space="preserve"> CITATION Pal24 \l 2057 </w:instrText>
          </w:r>
          <w:r w:rsidR="00196162">
            <w:rPr>
              <w:rFonts w:ascii="Arial" w:hAnsi="Arial" w:cs="Arial"/>
            </w:rPr>
            <w:fldChar w:fldCharType="separate"/>
          </w:r>
          <w:r w:rsidR="009C1BF1" w:rsidRPr="009C1BF1">
            <w:rPr>
              <w:rFonts w:ascii="Arial" w:hAnsi="Arial" w:cs="Arial"/>
              <w:noProof/>
            </w:rPr>
            <w:t>(Palumbo, Wezyk, Woodward, &amp; Panourgia, 2024)</w:t>
          </w:r>
          <w:r w:rsidR="00196162">
            <w:rPr>
              <w:rFonts w:ascii="Arial" w:hAnsi="Arial" w:cs="Arial"/>
            </w:rPr>
            <w:fldChar w:fldCharType="end"/>
          </w:r>
        </w:sdtContent>
      </w:sdt>
      <w:r w:rsidR="00196162">
        <w:rPr>
          <w:rFonts w:ascii="Arial" w:hAnsi="Arial" w:cs="Arial"/>
        </w:rPr>
        <w:t xml:space="preserve">. </w:t>
      </w:r>
      <w:r w:rsidR="00C150B2">
        <w:rPr>
          <w:rFonts w:ascii="Arial" w:hAnsi="Arial" w:cs="Arial"/>
        </w:rPr>
        <w:t>Additionally, Barton (</w:t>
      </w:r>
      <w:r w:rsidR="00416882">
        <w:rPr>
          <w:rFonts w:ascii="Arial" w:hAnsi="Arial" w:cs="Arial"/>
        </w:rPr>
        <w:t>2020</w:t>
      </w:r>
      <w:r w:rsidR="00C150B2">
        <w:rPr>
          <w:rFonts w:ascii="Arial" w:hAnsi="Arial" w:cs="Arial"/>
        </w:rPr>
        <w:t xml:space="preserve">) found that at the beginning of their journeys as therapists, participants were </w:t>
      </w:r>
      <w:r w:rsidR="008253BD">
        <w:rPr>
          <w:rFonts w:ascii="Arial" w:hAnsi="Arial" w:cs="Arial"/>
        </w:rPr>
        <w:t xml:space="preserve">unprepared for the impact on well-being </w:t>
      </w:r>
      <w:r w:rsidR="001D131B">
        <w:rPr>
          <w:rFonts w:ascii="Arial" w:hAnsi="Arial" w:cs="Arial"/>
        </w:rPr>
        <w:t>would be for them in practice</w:t>
      </w:r>
      <w:r w:rsidR="001C1B1B">
        <w:rPr>
          <w:rFonts w:ascii="Arial" w:hAnsi="Arial" w:cs="Arial"/>
        </w:rPr>
        <w:t xml:space="preserve"> which highlights the importance of </w:t>
      </w:r>
      <w:r w:rsidR="00D52903">
        <w:rPr>
          <w:rFonts w:ascii="Arial" w:hAnsi="Arial" w:cs="Arial"/>
        </w:rPr>
        <w:t xml:space="preserve">understanding and recognising one’s own self-care needs. </w:t>
      </w:r>
      <w:r w:rsidR="00806717">
        <w:rPr>
          <w:rFonts w:ascii="Arial" w:hAnsi="Arial" w:cs="Arial"/>
        </w:rPr>
        <w:t xml:space="preserve">Upon rewatching the recording of my counselling session during my triad work, </w:t>
      </w:r>
      <w:r w:rsidR="00A31FB4">
        <w:rPr>
          <w:rFonts w:ascii="Arial" w:hAnsi="Arial" w:cs="Arial"/>
        </w:rPr>
        <w:t xml:space="preserve">there are instances whereby I could have further applied theory to explore and demonstrate these core conditions more effectively. </w:t>
      </w:r>
      <w:r w:rsidR="000F1EFA">
        <w:rPr>
          <w:rFonts w:ascii="Arial" w:hAnsi="Arial" w:cs="Arial"/>
        </w:rPr>
        <w:t>Reflecting back, there were times where emotions could have been explored more to best understand the impac</w:t>
      </w:r>
      <w:r w:rsidR="00375C34">
        <w:rPr>
          <w:rFonts w:ascii="Arial" w:hAnsi="Arial" w:cs="Arial"/>
        </w:rPr>
        <w:t xml:space="preserve">t they play within the scenario. </w:t>
      </w:r>
      <w:r w:rsidR="00F573AC">
        <w:rPr>
          <w:rFonts w:ascii="Arial" w:hAnsi="Arial" w:cs="Arial"/>
        </w:rPr>
        <w:t xml:space="preserve">This was a comment I had received in feedback, </w:t>
      </w:r>
      <w:r w:rsidR="00A76BEE">
        <w:rPr>
          <w:rFonts w:ascii="Arial" w:hAnsi="Arial" w:cs="Arial"/>
        </w:rPr>
        <w:t xml:space="preserve">whereby opportunities to undergo further depth attention were missed </w:t>
      </w:r>
      <w:r w:rsidR="002F5604">
        <w:rPr>
          <w:rFonts w:ascii="Arial" w:hAnsi="Arial" w:cs="Arial"/>
        </w:rPr>
        <w:t xml:space="preserve">with the words ‘lonely’ and ‘hurtful’ </w:t>
      </w:r>
      <w:r w:rsidR="00A61451">
        <w:rPr>
          <w:rFonts w:ascii="Arial" w:hAnsi="Arial" w:cs="Arial"/>
        </w:rPr>
        <w:t xml:space="preserve">being repeated. </w:t>
      </w:r>
      <w:r w:rsidR="00050AD0">
        <w:rPr>
          <w:rFonts w:ascii="Arial" w:hAnsi="Arial" w:cs="Arial"/>
        </w:rPr>
        <w:t xml:space="preserve">In hindsight, focusing on these and adopting an Emotion Focused Therapy approach </w:t>
      </w:r>
      <w:r w:rsidR="00140481">
        <w:rPr>
          <w:rFonts w:ascii="Arial" w:hAnsi="Arial" w:cs="Arial"/>
        </w:rPr>
        <w:t xml:space="preserve">to </w:t>
      </w:r>
      <w:r w:rsidR="00994FC7">
        <w:rPr>
          <w:rFonts w:ascii="Arial" w:hAnsi="Arial" w:cs="Arial"/>
        </w:rPr>
        <w:t xml:space="preserve">understand these complex emotions and work toward the acceptance </w:t>
      </w:r>
      <w:r w:rsidR="004C50AA">
        <w:rPr>
          <w:rFonts w:ascii="Arial" w:hAnsi="Arial" w:cs="Arial"/>
        </w:rPr>
        <w:t xml:space="preserve">of these emotions in order to </w:t>
      </w:r>
      <w:r w:rsidR="00BA3B24">
        <w:rPr>
          <w:rFonts w:ascii="Arial" w:hAnsi="Arial" w:cs="Arial"/>
        </w:rPr>
        <w:t xml:space="preserve">promote healing </w:t>
      </w:r>
      <w:sdt>
        <w:sdtPr>
          <w:rPr>
            <w:rFonts w:ascii="Arial" w:hAnsi="Arial" w:cs="Arial"/>
          </w:rPr>
          <w:id w:val="-1610651293"/>
          <w:citation/>
        </w:sdtPr>
        <w:sdtContent>
          <w:r w:rsidR="000D3F47">
            <w:rPr>
              <w:rFonts w:ascii="Arial" w:hAnsi="Arial" w:cs="Arial"/>
            </w:rPr>
            <w:fldChar w:fldCharType="begin"/>
          </w:r>
          <w:r w:rsidR="000D3F47">
            <w:rPr>
              <w:rFonts w:ascii="Arial" w:hAnsi="Arial" w:cs="Arial"/>
            </w:rPr>
            <w:instrText xml:space="preserve"> CITATION Gre16 \l 2057 </w:instrText>
          </w:r>
          <w:r w:rsidR="000D3F47">
            <w:rPr>
              <w:rFonts w:ascii="Arial" w:hAnsi="Arial" w:cs="Arial"/>
            </w:rPr>
            <w:fldChar w:fldCharType="separate"/>
          </w:r>
          <w:r w:rsidR="009C1BF1" w:rsidRPr="009C1BF1">
            <w:rPr>
              <w:rFonts w:ascii="Arial" w:hAnsi="Arial" w:cs="Arial"/>
              <w:noProof/>
            </w:rPr>
            <w:t>(Greenberg, 2016)</w:t>
          </w:r>
          <w:r w:rsidR="000D3F47">
            <w:rPr>
              <w:rFonts w:ascii="Arial" w:hAnsi="Arial" w:cs="Arial"/>
            </w:rPr>
            <w:fldChar w:fldCharType="end"/>
          </w:r>
        </w:sdtContent>
      </w:sdt>
      <w:r w:rsidR="000D3F47">
        <w:rPr>
          <w:rFonts w:ascii="Arial" w:hAnsi="Arial" w:cs="Arial"/>
        </w:rPr>
        <w:t xml:space="preserve">. </w:t>
      </w:r>
      <w:r w:rsidR="00802AD4">
        <w:rPr>
          <w:rFonts w:ascii="Arial" w:hAnsi="Arial" w:cs="Arial"/>
        </w:rPr>
        <w:t xml:space="preserve">This approach has proven successful in practice similar to the scenario presented, such as in </w:t>
      </w:r>
      <w:r w:rsidR="00922DCF">
        <w:rPr>
          <w:rFonts w:ascii="Arial" w:hAnsi="Arial" w:cs="Arial"/>
        </w:rPr>
        <w:t xml:space="preserve">increase in resilience in women who had </w:t>
      </w:r>
      <w:r w:rsidR="00A31A72">
        <w:rPr>
          <w:rFonts w:ascii="Arial" w:hAnsi="Arial" w:cs="Arial"/>
        </w:rPr>
        <w:t xml:space="preserve">expressed feelings of loneliness </w:t>
      </w:r>
      <w:sdt>
        <w:sdtPr>
          <w:rPr>
            <w:rFonts w:ascii="Arial" w:hAnsi="Arial" w:cs="Arial"/>
          </w:rPr>
          <w:id w:val="-1778793587"/>
          <w:citation/>
        </w:sdtPr>
        <w:sdtContent>
          <w:r w:rsidR="009C1BF1">
            <w:rPr>
              <w:rFonts w:ascii="Arial" w:hAnsi="Arial" w:cs="Arial"/>
            </w:rPr>
            <w:fldChar w:fldCharType="begin"/>
          </w:r>
          <w:r w:rsidR="009C1BF1">
            <w:rPr>
              <w:rFonts w:ascii="Arial" w:hAnsi="Arial" w:cs="Arial"/>
            </w:rPr>
            <w:instrText xml:space="preserve"> CITATION Moh22 \l 2057 </w:instrText>
          </w:r>
          <w:r w:rsidR="009C1BF1">
            <w:rPr>
              <w:rFonts w:ascii="Arial" w:hAnsi="Arial" w:cs="Arial"/>
            </w:rPr>
            <w:fldChar w:fldCharType="separate"/>
          </w:r>
          <w:r w:rsidR="009C1BF1" w:rsidRPr="009C1BF1">
            <w:rPr>
              <w:rFonts w:ascii="Arial" w:hAnsi="Arial" w:cs="Arial"/>
              <w:noProof/>
            </w:rPr>
            <w:t>(Mohammadi, Imani, &amp; Khoshkonesh, 2022)</w:t>
          </w:r>
          <w:r w:rsidR="009C1BF1">
            <w:rPr>
              <w:rFonts w:ascii="Arial" w:hAnsi="Arial" w:cs="Arial"/>
            </w:rPr>
            <w:fldChar w:fldCharType="end"/>
          </w:r>
        </w:sdtContent>
      </w:sdt>
      <w:r w:rsidR="009C1BF1">
        <w:rPr>
          <w:rFonts w:ascii="Arial" w:hAnsi="Arial" w:cs="Arial"/>
        </w:rPr>
        <w:t>.</w:t>
      </w:r>
      <w:r w:rsidR="00802AD4">
        <w:rPr>
          <w:rFonts w:ascii="Arial" w:hAnsi="Arial" w:cs="Arial"/>
        </w:rPr>
        <w:t xml:space="preserve"> </w:t>
      </w:r>
    </w:p>
    <w:p w14:paraId="761A5EF0" w14:textId="23F29241" w:rsidR="002B4A37" w:rsidRDefault="00C06679" w:rsidP="001E16D5">
      <w:pPr>
        <w:spacing w:line="360" w:lineRule="auto"/>
        <w:ind w:firstLine="851"/>
        <w:rPr>
          <w:rFonts w:ascii="Arial" w:hAnsi="Arial" w:cs="Arial"/>
        </w:rPr>
      </w:pPr>
      <w:r>
        <w:rPr>
          <w:rFonts w:ascii="Arial" w:hAnsi="Arial" w:cs="Arial"/>
        </w:rPr>
        <w:t xml:space="preserve">A particular skill I had enjoyed using in both </w:t>
      </w:r>
      <w:r w:rsidR="007E6105">
        <w:rPr>
          <w:rFonts w:ascii="Arial" w:hAnsi="Arial" w:cs="Arial"/>
        </w:rPr>
        <w:t xml:space="preserve">practice sessions and triad work was the use of metaphors. </w:t>
      </w:r>
      <w:r w:rsidR="006E2DE1">
        <w:rPr>
          <w:rFonts w:ascii="Arial" w:hAnsi="Arial" w:cs="Arial"/>
        </w:rPr>
        <w:t xml:space="preserve">From my own readings, I have come to find that metaphors can be a useful tool both within </w:t>
      </w:r>
      <w:r w:rsidR="0037026E">
        <w:rPr>
          <w:rFonts w:ascii="Arial" w:hAnsi="Arial" w:cs="Arial"/>
        </w:rPr>
        <w:t xml:space="preserve">counselling practice and reflection when used correctly. </w:t>
      </w:r>
      <w:r w:rsidR="00600BEF">
        <w:rPr>
          <w:rFonts w:ascii="Arial" w:hAnsi="Arial" w:cs="Arial"/>
        </w:rPr>
        <w:t>A metaphor can be described</w:t>
      </w:r>
      <w:r w:rsidR="007C4D07">
        <w:rPr>
          <w:rFonts w:ascii="Arial" w:hAnsi="Arial" w:cs="Arial"/>
        </w:rPr>
        <w:t xml:space="preserve"> ordinarily as figures of speech, </w:t>
      </w:r>
      <w:r w:rsidR="00600BEF">
        <w:rPr>
          <w:rFonts w:ascii="Arial" w:hAnsi="Arial" w:cs="Arial"/>
        </w:rPr>
        <w:t xml:space="preserve"> </w:t>
      </w:r>
      <w:r w:rsidR="007C4D07">
        <w:rPr>
          <w:rFonts w:ascii="Arial" w:hAnsi="Arial" w:cs="Arial"/>
        </w:rPr>
        <w:t>t</w:t>
      </w:r>
      <w:r w:rsidR="00AE450E">
        <w:rPr>
          <w:rFonts w:ascii="Arial" w:hAnsi="Arial" w:cs="Arial"/>
        </w:rPr>
        <w:t xml:space="preserve">he use </w:t>
      </w:r>
      <w:r w:rsidR="00AE450E">
        <w:rPr>
          <w:rFonts w:ascii="Arial" w:hAnsi="Arial" w:cs="Arial"/>
        </w:rPr>
        <w:lastRenderedPageBreak/>
        <w:t xml:space="preserve">of metaphors within counselling scenarios also allows for </w:t>
      </w:r>
      <w:r w:rsidR="001B2640">
        <w:rPr>
          <w:rFonts w:ascii="Arial" w:hAnsi="Arial" w:cs="Arial"/>
        </w:rPr>
        <w:t>the use of imagery to transform what may be a traumatic event or scenario into a non-traumatic expression</w:t>
      </w:r>
      <w:r w:rsidR="00516C24">
        <w:rPr>
          <w:rFonts w:ascii="Arial" w:hAnsi="Arial" w:cs="Arial"/>
        </w:rPr>
        <w:t xml:space="preserve"> </w:t>
      </w:r>
      <w:sdt>
        <w:sdtPr>
          <w:rPr>
            <w:rFonts w:ascii="Arial" w:hAnsi="Arial" w:cs="Arial"/>
          </w:rPr>
          <w:id w:val="-1057547589"/>
          <w:citation/>
        </w:sdtPr>
        <w:sdtContent>
          <w:r w:rsidR="00516C24">
            <w:rPr>
              <w:rFonts w:ascii="Arial" w:hAnsi="Arial" w:cs="Arial"/>
            </w:rPr>
            <w:fldChar w:fldCharType="begin"/>
          </w:r>
          <w:r w:rsidR="00516C24">
            <w:rPr>
              <w:rFonts w:ascii="Arial" w:hAnsi="Arial" w:cs="Arial"/>
            </w:rPr>
            <w:instrText xml:space="preserve"> CITATION Bol18 \l 2057 </w:instrText>
          </w:r>
          <w:r w:rsidR="00516C24">
            <w:rPr>
              <w:rFonts w:ascii="Arial" w:hAnsi="Arial" w:cs="Arial"/>
            </w:rPr>
            <w:fldChar w:fldCharType="separate"/>
          </w:r>
          <w:r w:rsidR="009C1BF1" w:rsidRPr="009C1BF1">
            <w:rPr>
              <w:rFonts w:ascii="Arial" w:hAnsi="Arial" w:cs="Arial"/>
              <w:noProof/>
            </w:rPr>
            <w:t>(Bolton &amp; Delderfield, 2018)</w:t>
          </w:r>
          <w:r w:rsidR="00516C24">
            <w:rPr>
              <w:rFonts w:ascii="Arial" w:hAnsi="Arial" w:cs="Arial"/>
            </w:rPr>
            <w:fldChar w:fldCharType="end"/>
          </w:r>
        </w:sdtContent>
      </w:sdt>
      <w:r w:rsidR="00516C24">
        <w:rPr>
          <w:rFonts w:ascii="Arial" w:hAnsi="Arial" w:cs="Arial"/>
        </w:rPr>
        <w:t>.</w:t>
      </w:r>
      <w:r w:rsidR="007106B9">
        <w:rPr>
          <w:rFonts w:ascii="Arial" w:hAnsi="Arial" w:cs="Arial"/>
        </w:rPr>
        <w:t xml:space="preserve"> </w:t>
      </w:r>
      <w:r w:rsidR="0099645C">
        <w:rPr>
          <w:rFonts w:ascii="Arial" w:hAnsi="Arial" w:cs="Arial"/>
        </w:rPr>
        <w:t xml:space="preserve">Research within psychotherapy and counselling has previously shown that the use of metaphors from both the client and therapist can allow for </w:t>
      </w:r>
      <w:r w:rsidR="00AA7A6B">
        <w:rPr>
          <w:rFonts w:ascii="Arial" w:hAnsi="Arial" w:cs="Arial"/>
        </w:rPr>
        <w:t>extended rapport building</w:t>
      </w:r>
      <w:r w:rsidR="005513B9">
        <w:rPr>
          <w:rFonts w:ascii="Arial" w:hAnsi="Arial" w:cs="Arial"/>
        </w:rPr>
        <w:t xml:space="preserve"> and improve therapeutic engagement</w:t>
      </w:r>
      <w:r w:rsidR="00077825">
        <w:rPr>
          <w:rFonts w:ascii="Arial" w:hAnsi="Arial" w:cs="Arial"/>
        </w:rPr>
        <w:t xml:space="preserve"> from the client</w:t>
      </w:r>
      <w:r w:rsidR="00AF3F5C">
        <w:rPr>
          <w:rFonts w:ascii="Arial" w:hAnsi="Arial" w:cs="Arial"/>
        </w:rPr>
        <w:t xml:space="preserve"> and reflectively by the therapist to clarify </w:t>
      </w:r>
      <w:r w:rsidR="000E2539">
        <w:rPr>
          <w:rFonts w:ascii="Arial" w:hAnsi="Arial" w:cs="Arial"/>
        </w:rPr>
        <w:t xml:space="preserve">relevant concepts </w:t>
      </w:r>
      <w:sdt>
        <w:sdtPr>
          <w:rPr>
            <w:rFonts w:ascii="Arial" w:hAnsi="Arial" w:cs="Arial"/>
          </w:rPr>
          <w:id w:val="-2073187600"/>
          <w:citation/>
        </w:sdtPr>
        <w:sdtContent>
          <w:r w:rsidR="000E2539">
            <w:rPr>
              <w:rFonts w:ascii="Arial" w:hAnsi="Arial" w:cs="Arial"/>
            </w:rPr>
            <w:fldChar w:fldCharType="begin"/>
          </w:r>
          <w:r w:rsidR="007106B9">
            <w:rPr>
              <w:rFonts w:ascii="Arial" w:hAnsi="Arial" w:cs="Arial"/>
            </w:rPr>
            <w:instrText xml:space="preserve">CITATION Gel12 \l 2057 </w:instrText>
          </w:r>
          <w:r w:rsidR="000E2539">
            <w:rPr>
              <w:rFonts w:ascii="Arial" w:hAnsi="Arial" w:cs="Arial"/>
            </w:rPr>
            <w:fldChar w:fldCharType="separate"/>
          </w:r>
          <w:r w:rsidR="009C1BF1" w:rsidRPr="009C1BF1">
            <w:rPr>
              <w:rFonts w:ascii="Arial" w:hAnsi="Arial" w:cs="Arial"/>
              <w:noProof/>
            </w:rPr>
            <w:t>(Gelo &amp; Mergenthaler, 2012)</w:t>
          </w:r>
          <w:r w:rsidR="000E2539">
            <w:rPr>
              <w:rFonts w:ascii="Arial" w:hAnsi="Arial" w:cs="Arial"/>
            </w:rPr>
            <w:fldChar w:fldCharType="end"/>
          </w:r>
        </w:sdtContent>
      </w:sdt>
      <w:r w:rsidR="000E2539">
        <w:rPr>
          <w:rFonts w:ascii="Arial" w:hAnsi="Arial" w:cs="Arial"/>
        </w:rPr>
        <w:t>.</w:t>
      </w:r>
      <w:r w:rsidR="00447F44">
        <w:rPr>
          <w:rFonts w:ascii="Arial" w:hAnsi="Arial" w:cs="Arial"/>
        </w:rPr>
        <w:t xml:space="preserve"> The first exploration of metaphors came through a practice session within triad work, </w:t>
      </w:r>
      <w:r w:rsidR="00C24124">
        <w:rPr>
          <w:rFonts w:ascii="Arial" w:hAnsi="Arial" w:cs="Arial"/>
        </w:rPr>
        <w:t>whereby the client had used the analogy of a ‘train</w:t>
      </w:r>
      <w:r w:rsidR="00506751">
        <w:rPr>
          <w:rFonts w:ascii="Arial" w:hAnsi="Arial" w:cs="Arial"/>
        </w:rPr>
        <w:t xml:space="preserve"> that doesn’t stop</w:t>
      </w:r>
      <w:r w:rsidR="00C24124">
        <w:rPr>
          <w:rFonts w:ascii="Arial" w:hAnsi="Arial" w:cs="Arial"/>
        </w:rPr>
        <w:t xml:space="preserve">’ to describe how they were feeling. Expanding on this, </w:t>
      </w:r>
      <w:r w:rsidR="00506751">
        <w:rPr>
          <w:rFonts w:ascii="Arial" w:hAnsi="Arial" w:cs="Arial"/>
        </w:rPr>
        <w:t xml:space="preserve">I was able to discuss with the client about </w:t>
      </w:r>
      <w:r w:rsidR="005E2115">
        <w:rPr>
          <w:rFonts w:ascii="Arial" w:hAnsi="Arial" w:cs="Arial"/>
        </w:rPr>
        <w:t xml:space="preserve">how this train had looked, </w:t>
      </w:r>
      <w:r w:rsidR="00006F5A">
        <w:rPr>
          <w:rFonts w:ascii="Arial" w:hAnsi="Arial" w:cs="Arial"/>
        </w:rPr>
        <w:t xml:space="preserve">as well as potential stops the train could make along the journey </w:t>
      </w:r>
      <w:r w:rsidR="004D7817">
        <w:rPr>
          <w:rFonts w:ascii="Arial" w:hAnsi="Arial" w:cs="Arial"/>
        </w:rPr>
        <w:t xml:space="preserve">to improve the client’s current wellbeing. </w:t>
      </w:r>
      <w:r w:rsidR="00960413">
        <w:rPr>
          <w:rFonts w:ascii="Arial" w:hAnsi="Arial" w:cs="Arial"/>
        </w:rPr>
        <w:t xml:space="preserve">This was well received </w:t>
      </w:r>
      <w:r w:rsidR="00E12F87">
        <w:rPr>
          <w:rFonts w:ascii="Arial" w:hAnsi="Arial" w:cs="Arial"/>
        </w:rPr>
        <w:t xml:space="preserve">by both observers present, with a few suggestions for expansion on the metaphor by perhaps </w:t>
      </w:r>
      <w:r w:rsidR="00BA1D2F">
        <w:rPr>
          <w:rFonts w:ascii="Arial" w:hAnsi="Arial" w:cs="Arial"/>
        </w:rPr>
        <w:t>adding in stations as goal points for the client to work towards.</w:t>
      </w:r>
      <w:r w:rsidR="00F6168B">
        <w:rPr>
          <w:rFonts w:ascii="Arial" w:hAnsi="Arial" w:cs="Arial"/>
        </w:rPr>
        <w:t xml:space="preserve"> </w:t>
      </w:r>
      <w:r w:rsidR="00674FAF">
        <w:rPr>
          <w:rFonts w:ascii="Arial" w:hAnsi="Arial" w:cs="Arial"/>
        </w:rPr>
        <w:t>After using this metaphor</w:t>
      </w:r>
      <w:r w:rsidR="00F31D98">
        <w:rPr>
          <w:rFonts w:ascii="Arial" w:hAnsi="Arial" w:cs="Arial"/>
        </w:rPr>
        <w:t xml:space="preserve"> successfully</w:t>
      </w:r>
      <w:r w:rsidR="00674FAF">
        <w:rPr>
          <w:rFonts w:ascii="Arial" w:hAnsi="Arial" w:cs="Arial"/>
        </w:rPr>
        <w:t xml:space="preserve">, I experimented with another for use in a different scenario, after the client had mentioned the use of a brick wall. When attempting to use this however, I had focused on the bricks and individually </w:t>
      </w:r>
      <w:r w:rsidR="007F6EAB">
        <w:rPr>
          <w:rFonts w:ascii="Arial" w:hAnsi="Arial" w:cs="Arial"/>
        </w:rPr>
        <w:t xml:space="preserve">removing the bricks to make the wall less daunting. </w:t>
      </w:r>
      <w:r w:rsidR="00F31D98">
        <w:rPr>
          <w:rFonts w:ascii="Arial" w:hAnsi="Arial" w:cs="Arial"/>
        </w:rPr>
        <w:t xml:space="preserve">I found that as the use of this didn’t come quite naturally, as I was waiting for the client to mention something that I could use led to the analogy feeling forced and not progressing </w:t>
      </w:r>
      <w:r w:rsidR="00AA2EB2">
        <w:rPr>
          <w:rFonts w:ascii="Arial" w:hAnsi="Arial" w:cs="Arial"/>
        </w:rPr>
        <w:t xml:space="preserve">the conversation meaningfully. </w:t>
      </w:r>
      <w:r w:rsidR="00AB5A05">
        <w:rPr>
          <w:rFonts w:ascii="Arial" w:hAnsi="Arial" w:cs="Arial"/>
        </w:rPr>
        <w:t>After u</w:t>
      </w:r>
      <w:r w:rsidR="007F6EAB">
        <w:rPr>
          <w:rFonts w:ascii="Arial" w:hAnsi="Arial" w:cs="Arial"/>
        </w:rPr>
        <w:t>sing Gibbs’ Reflective</w:t>
      </w:r>
      <w:r w:rsidR="00AA2EB2">
        <w:rPr>
          <w:rFonts w:ascii="Arial" w:hAnsi="Arial" w:cs="Arial"/>
        </w:rPr>
        <w:t xml:space="preserve"> Cycle </w:t>
      </w:r>
      <w:r w:rsidR="00A47302">
        <w:rPr>
          <w:rFonts w:ascii="Arial" w:hAnsi="Arial" w:cs="Arial"/>
        </w:rPr>
        <w:t xml:space="preserve">(1988) </w:t>
      </w:r>
      <w:r w:rsidR="007F6EAB">
        <w:rPr>
          <w:rFonts w:ascii="Arial" w:hAnsi="Arial" w:cs="Arial"/>
        </w:rPr>
        <w:t xml:space="preserve">to compare </w:t>
      </w:r>
      <w:r w:rsidR="00F31D98">
        <w:rPr>
          <w:rFonts w:ascii="Arial" w:hAnsi="Arial" w:cs="Arial"/>
        </w:rPr>
        <w:t>both</w:t>
      </w:r>
      <w:r w:rsidR="007F6EAB">
        <w:rPr>
          <w:rFonts w:ascii="Arial" w:hAnsi="Arial" w:cs="Arial"/>
        </w:rPr>
        <w:t xml:space="preserve"> of these scenarios,</w:t>
      </w:r>
      <w:r w:rsidR="001566FB">
        <w:rPr>
          <w:rFonts w:ascii="Arial" w:hAnsi="Arial" w:cs="Arial"/>
        </w:rPr>
        <w:t xml:space="preserve"> </w:t>
      </w:r>
      <w:r w:rsidR="00435C92">
        <w:rPr>
          <w:rFonts w:ascii="Arial" w:hAnsi="Arial" w:cs="Arial"/>
        </w:rPr>
        <w:t xml:space="preserve">going forward </w:t>
      </w:r>
      <w:r w:rsidR="00AB5A05">
        <w:rPr>
          <w:rFonts w:ascii="Arial" w:hAnsi="Arial" w:cs="Arial"/>
        </w:rPr>
        <w:t xml:space="preserve">implementing skills when the opportunity presents itself rather than trying to tick boxes </w:t>
      </w:r>
      <w:r w:rsidR="00782B4F">
        <w:rPr>
          <w:rFonts w:ascii="Arial" w:hAnsi="Arial" w:cs="Arial"/>
        </w:rPr>
        <w:t xml:space="preserve">and play to a strength allows for a much more natural and free flowing session. Contrasting both, conversation flew with ease during the first triad and </w:t>
      </w:r>
      <w:r w:rsidR="003E0CF5">
        <w:rPr>
          <w:rFonts w:ascii="Arial" w:hAnsi="Arial" w:cs="Arial"/>
        </w:rPr>
        <w:t>felt rewarding to discuss with the client versus the short answers received when using the brick wall analogy</w:t>
      </w:r>
      <w:r w:rsidR="00A733B2">
        <w:rPr>
          <w:rFonts w:ascii="Arial" w:hAnsi="Arial" w:cs="Arial"/>
        </w:rPr>
        <w:t xml:space="preserve"> and to further learn from readings such as </w:t>
      </w:r>
      <w:r w:rsidR="00B3078B">
        <w:rPr>
          <w:rFonts w:ascii="Arial" w:hAnsi="Arial" w:cs="Arial"/>
        </w:rPr>
        <w:t>Stubley (2024</w:t>
      </w:r>
      <w:r w:rsidR="00C4665B">
        <w:rPr>
          <w:rFonts w:ascii="Arial" w:hAnsi="Arial" w:cs="Arial"/>
        </w:rPr>
        <w:t xml:space="preserve">, p. </w:t>
      </w:r>
      <w:r w:rsidR="00D01CE6">
        <w:rPr>
          <w:rFonts w:ascii="Arial" w:hAnsi="Arial" w:cs="Arial"/>
        </w:rPr>
        <w:t>85</w:t>
      </w:r>
      <w:r w:rsidR="00B3078B">
        <w:rPr>
          <w:rFonts w:ascii="Arial" w:hAnsi="Arial" w:cs="Arial"/>
        </w:rPr>
        <w:t>), to quote “metaphor</w:t>
      </w:r>
      <w:r w:rsidR="005D3410">
        <w:rPr>
          <w:rFonts w:ascii="Arial" w:hAnsi="Arial" w:cs="Arial"/>
        </w:rPr>
        <w:t xml:space="preserve"> work </w:t>
      </w:r>
      <w:r w:rsidR="006F22F3">
        <w:rPr>
          <w:rFonts w:ascii="Arial" w:hAnsi="Arial" w:cs="Arial"/>
        </w:rPr>
        <w:t>taking place within therapy is therapist directed, but client generated</w:t>
      </w:r>
      <w:r w:rsidR="00B3078B">
        <w:rPr>
          <w:rFonts w:ascii="Arial" w:hAnsi="Arial" w:cs="Arial"/>
        </w:rPr>
        <w:t>”</w:t>
      </w:r>
      <w:r w:rsidR="003E0CF5">
        <w:rPr>
          <w:rFonts w:ascii="Arial" w:hAnsi="Arial" w:cs="Arial"/>
        </w:rPr>
        <w:t>.</w:t>
      </w:r>
    </w:p>
    <w:p w14:paraId="07651B42" w14:textId="7E8250CA" w:rsidR="0050760B" w:rsidRDefault="009244B5" w:rsidP="002B4A37">
      <w:pPr>
        <w:spacing w:line="360" w:lineRule="auto"/>
        <w:ind w:firstLine="851"/>
        <w:rPr>
          <w:rFonts w:ascii="Arial" w:hAnsi="Arial" w:cs="Arial"/>
        </w:rPr>
      </w:pPr>
      <w:r>
        <w:rPr>
          <w:rFonts w:ascii="Arial" w:hAnsi="Arial" w:cs="Arial"/>
        </w:rPr>
        <w:t xml:space="preserve">Reflecting is a particular skill used by a helper, in order to allow </w:t>
      </w:r>
      <w:r w:rsidR="00CA25FB">
        <w:rPr>
          <w:rFonts w:ascii="Arial" w:hAnsi="Arial" w:cs="Arial"/>
        </w:rPr>
        <w:t xml:space="preserve">a client to view </w:t>
      </w:r>
      <w:r w:rsidR="008825E4">
        <w:rPr>
          <w:rFonts w:ascii="Arial" w:hAnsi="Arial" w:cs="Arial"/>
        </w:rPr>
        <w:t xml:space="preserve">their experiences and responses from a viewpoint that may not be immediately </w:t>
      </w:r>
      <w:r w:rsidR="00DF1C8E">
        <w:rPr>
          <w:rFonts w:ascii="Arial" w:hAnsi="Arial" w:cs="Arial"/>
        </w:rPr>
        <w:t xml:space="preserve">aware of, to gain more insight on the situations at hand or to </w:t>
      </w:r>
      <w:r w:rsidR="001C0219">
        <w:rPr>
          <w:rFonts w:ascii="Arial" w:hAnsi="Arial" w:cs="Arial"/>
        </w:rPr>
        <w:t>further understand the experience</w:t>
      </w:r>
      <w:r w:rsidR="00B622A7">
        <w:rPr>
          <w:rFonts w:ascii="Arial" w:hAnsi="Arial" w:cs="Arial"/>
        </w:rPr>
        <w:t xml:space="preserve"> </w:t>
      </w:r>
      <w:r w:rsidR="00571C33" w:rsidRPr="00571C33">
        <w:rPr>
          <w:rFonts w:ascii="Arial" w:hAnsi="Arial" w:cs="Arial"/>
          <w:noProof/>
        </w:rPr>
        <w:t>(Midwinter &amp; Dickson, 2015</w:t>
      </w:r>
      <w:r w:rsidR="00571C33">
        <w:rPr>
          <w:rFonts w:ascii="Arial" w:hAnsi="Arial" w:cs="Arial"/>
          <w:noProof/>
        </w:rPr>
        <w:t>a</w:t>
      </w:r>
      <w:r w:rsidR="00571C33" w:rsidRPr="00571C33">
        <w:rPr>
          <w:rFonts w:ascii="Arial" w:hAnsi="Arial" w:cs="Arial"/>
          <w:noProof/>
        </w:rPr>
        <w:t>)</w:t>
      </w:r>
      <w:r w:rsidR="001C0219">
        <w:rPr>
          <w:rFonts w:ascii="Arial" w:hAnsi="Arial" w:cs="Arial"/>
        </w:rPr>
        <w:t xml:space="preserve">. </w:t>
      </w:r>
      <w:r w:rsidR="00A47698">
        <w:rPr>
          <w:rFonts w:ascii="Arial" w:hAnsi="Arial" w:cs="Arial"/>
        </w:rPr>
        <w:t>One p</w:t>
      </w:r>
      <w:r w:rsidR="0095500B">
        <w:rPr>
          <w:rFonts w:ascii="Arial" w:hAnsi="Arial" w:cs="Arial"/>
        </w:rPr>
        <w:t xml:space="preserve">rofound </w:t>
      </w:r>
      <w:r w:rsidR="00A47698">
        <w:rPr>
          <w:rFonts w:ascii="Arial" w:hAnsi="Arial" w:cs="Arial"/>
        </w:rPr>
        <w:t xml:space="preserve">comment received during triad work was </w:t>
      </w:r>
      <w:r w:rsidR="000A276F">
        <w:rPr>
          <w:rFonts w:ascii="Arial" w:hAnsi="Arial" w:cs="Arial"/>
        </w:rPr>
        <w:t>to ‘start to trust your skills’, which as writing this really resonates</w:t>
      </w:r>
      <w:r w:rsidR="0095500B">
        <w:rPr>
          <w:rFonts w:ascii="Arial" w:hAnsi="Arial" w:cs="Arial"/>
        </w:rPr>
        <w:t xml:space="preserve"> even more. Reflecting back and looking through the journal created throughout the 10 weeks of the module </w:t>
      </w:r>
      <w:r w:rsidR="00113679">
        <w:rPr>
          <w:rFonts w:ascii="Arial" w:hAnsi="Arial" w:cs="Arial"/>
        </w:rPr>
        <w:t xml:space="preserve">does show overly self-critical </w:t>
      </w:r>
      <w:r w:rsidR="00EC47EE">
        <w:rPr>
          <w:rFonts w:ascii="Arial" w:hAnsi="Arial" w:cs="Arial"/>
        </w:rPr>
        <w:t xml:space="preserve">thought. Although criticism is </w:t>
      </w:r>
      <w:r w:rsidR="008F4A09">
        <w:rPr>
          <w:rFonts w:ascii="Arial" w:hAnsi="Arial" w:cs="Arial"/>
        </w:rPr>
        <w:lastRenderedPageBreak/>
        <w:t xml:space="preserve">essential, although </w:t>
      </w:r>
      <w:r w:rsidR="00AA0141">
        <w:rPr>
          <w:rFonts w:ascii="Arial" w:hAnsi="Arial" w:cs="Arial"/>
        </w:rPr>
        <w:t xml:space="preserve">at times </w:t>
      </w:r>
      <w:r w:rsidR="008F4A09">
        <w:rPr>
          <w:rFonts w:ascii="Arial" w:hAnsi="Arial" w:cs="Arial"/>
        </w:rPr>
        <w:t xml:space="preserve">poignant, within self-reflective practices </w:t>
      </w:r>
      <w:r w:rsidR="00AA0141">
        <w:rPr>
          <w:rFonts w:ascii="Arial" w:hAnsi="Arial" w:cs="Arial"/>
        </w:rPr>
        <w:t xml:space="preserve">it is also important to note </w:t>
      </w:r>
      <w:r w:rsidR="00692E8F">
        <w:rPr>
          <w:rFonts w:ascii="Arial" w:hAnsi="Arial" w:cs="Arial"/>
        </w:rPr>
        <w:t>that it is equally and if not more important to consider the positives for self-improvement</w:t>
      </w:r>
      <w:r w:rsidR="008444A6">
        <w:rPr>
          <w:rFonts w:ascii="Arial" w:hAnsi="Arial" w:cs="Arial"/>
        </w:rPr>
        <w:t xml:space="preserve"> and the two do not have to necessarily remain exclusive to one another</w:t>
      </w:r>
      <w:r w:rsidR="00692E8F">
        <w:rPr>
          <w:rFonts w:ascii="Arial" w:hAnsi="Arial" w:cs="Arial"/>
        </w:rPr>
        <w:t xml:space="preserve">. </w:t>
      </w:r>
      <w:r w:rsidR="005B6F2E">
        <w:rPr>
          <w:rFonts w:ascii="Arial" w:hAnsi="Arial" w:cs="Arial"/>
        </w:rPr>
        <w:t xml:space="preserve">Through additional reading, </w:t>
      </w:r>
      <w:r w:rsidR="00D9160D">
        <w:rPr>
          <w:rFonts w:ascii="Arial" w:hAnsi="Arial" w:cs="Arial"/>
        </w:rPr>
        <w:t>the notion of reflection is often portrayed as positive</w:t>
      </w:r>
      <w:r w:rsidR="007A34FF">
        <w:rPr>
          <w:rFonts w:ascii="Arial" w:hAnsi="Arial" w:cs="Arial"/>
        </w:rPr>
        <w:t>. However, Leigh and Bailey (2012) highlight the</w:t>
      </w:r>
      <w:r w:rsidR="00A544B0">
        <w:rPr>
          <w:rFonts w:ascii="Arial" w:hAnsi="Arial" w:cs="Arial"/>
        </w:rPr>
        <w:t xml:space="preserve"> negative cycle of rumination that an individual can often fall into when engaging with reflective practice</w:t>
      </w:r>
      <w:r w:rsidR="00A22504">
        <w:rPr>
          <w:rFonts w:ascii="Arial" w:hAnsi="Arial" w:cs="Arial"/>
        </w:rPr>
        <w:t xml:space="preserve"> as a result of viewing the models too analytically. </w:t>
      </w:r>
      <w:r w:rsidR="00D662CB">
        <w:rPr>
          <w:rFonts w:ascii="Arial" w:hAnsi="Arial" w:cs="Arial"/>
        </w:rPr>
        <w:t xml:space="preserve">This is now something that I have realised upon reviewing my own reflections that I am guilty of, especially when looking at the </w:t>
      </w:r>
      <w:r w:rsidR="0050760B">
        <w:rPr>
          <w:rFonts w:ascii="Arial" w:hAnsi="Arial" w:cs="Arial"/>
        </w:rPr>
        <w:t xml:space="preserve">particular criticism of self-reflective models as a whole that stood out is that all imply </w:t>
      </w:r>
      <w:r w:rsidR="00693616">
        <w:rPr>
          <w:rFonts w:ascii="Arial" w:hAnsi="Arial" w:cs="Arial"/>
        </w:rPr>
        <w:t>a specific set model for success</w:t>
      </w:r>
      <w:r w:rsidR="0056131A">
        <w:rPr>
          <w:rFonts w:ascii="Arial" w:hAnsi="Arial" w:cs="Arial"/>
        </w:rPr>
        <w:t xml:space="preserve"> and </w:t>
      </w:r>
      <w:r w:rsidR="00FE7C62">
        <w:rPr>
          <w:rFonts w:ascii="Arial" w:hAnsi="Arial" w:cs="Arial"/>
        </w:rPr>
        <w:t xml:space="preserve">taking into consideration that each person is an individual and experiences things differently, as highlighted by </w:t>
      </w:r>
      <w:r w:rsidR="00BA5F99">
        <w:rPr>
          <w:rFonts w:ascii="Arial" w:hAnsi="Arial" w:cs="Arial"/>
        </w:rPr>
        <w:t>Brookfield (</w:t>
      </w:r>
      <w:r w:rsidR="000E6DDB">
        <w:rPr>
          <w:rFonts w:ascii="Arial" w:hAnsi="Arial" w:cs="Arial"/>
        </w:rPr>
        <w:t>1998</w:t>
      </w:r>
      <w:r w:rsidR="00BA5F99">
        <w:rPr>
          <w:rFonts w:ascii="Arial" w:hAnsi="Arial" w:cs="Arial"/>
        </w:rPr>
        <w:t>) when discussing critical reflection</w:t>
      </w:r>
      <w:r w:rsidR="00693616">
        <w:rPr>
          <w:rFonts w:ascii="Arial" w:hAnsi="Arial" w:cs="Arial"/>
        </w:rPr>
        <w:t xml:space="preserve">. </w:t>
      </w:r>
      <w:r w:rsidR="00D34592">
        <w:rPr>
          <w:rFonts w:ascii="Arial" w:hAnsi="Arial" w:cs="Arial"/>
        </w:rPr>
        <w:t xml:space="preserve">Aside from the development in my own </w:t>
      </w:r>
      <w:r w:rsidR="00EA0B1A">
        <w:rPr>
          <w:rFonts w:ascii="Arial" w:hAnsi="Arial" w:cs="Arial"/>
        </w:rPr>
        <w:t>therapeutic</w:t>
      </w:r>
      <w:r w:rsidR="00D34592">
        <w:rPr>
          <w:rFonts w:ascii="Arial" w:hAnsi="Arial" w:cs="Arial"/>
        </w:rPr>
        <w:t xml:space="preserve"> skills and the learning I have undergone during this time, this reflection </w:t>
      </w:r>
      <w:r w:rsidR="00EA0B1A">
        <w:rPr>
          <w:rFonts w:ascii="Arial" w:hAnsi="Arial" w:cs="Arial"/>
        </w:rPr>
        <w:t xml:space="preserve">has also allowed myself to take away that </w:t>
      </w:r>
      <w:r w:rsidR="008E4D06">
        <w:rPr>
          <w:rFonts w:ascii="Arial" w:hAnsi="Arial" w:cs="Arial"/>
        </w:rPr>
        <w:t xml:space="preserve">I do not have to fear the ways in which my own reflections will be judged, </w:t>
      </w:r>
      <w:r w:rsidR="00D83427">
        <w:rPr>
          <w:rFonts w:ascii="Arial" w:hAnsi="Arial" w:cs="Arial"/>
        </w:rPr>
        <w:t xml:space="preserve">which in turn does not mean that </w:t>
      </w:r>
      <w:r w:rsidR="00F84404">
        <w:rPr>
          <w:rFonts w:ascii="Arial" w:hAnsi="Arial" w:cs="Arial"/>
        </w:rPr>
        <w:t xml:space="preserve">reflection needs to focus so much on the negatives. By simply trusting my skills in future, </w:t>
      </w:r>
      <w:r w:rsidR="00D3100F">
        <w:rPr>
          <w:rFonts w:ascii="Arial" w:hAnsi="Arial" w:cs="Arial"/>
        </w:rPr>
        <w:t xml:space="preserve">this can have a much more meaningful impact on not just academia </w:t>
      </w:r>
      <w:r w:rsidR="00973BB7">
        <w:rPr>
          <w:rFonts w:ascii="Arial" w:hAnsi="Arial" w:cs="Arial"/>
        </w:rPr>
        <w:t xml:space="preserve">but trusting my skills </w:t>
      </w:r>
      <w:r w:rsidR="00D87DEF">
        <w:rPr>
          <w:rFonts w:ascii="Arial" w:hAnsi="Arial" w:cs="Arial"/>
        </w:rPr>
        <w:t>multi-dimensionally</w:t>
      </w:r>
      <w:r w:rsidR="00496C0A">
        <w:rPr>
          <w:rFonts w:ascii="Arial" w:hAnsi="Arial" w:cs="Arial"/>
        </w:rPr>
        <w:t xml:space="preserve"> and allowing myself to take a reflection-for-action </w:t>
      </w:r>
      <w:r w:rsidR="00C14610">
        <w:rPr>
          <w:rFonts w:ascii="Arial" w:hAnsi="Arial" w:cs="Arial"/>
        </w:rPr>
        <w:t xml:space="preserve">approach </w:t>
      </w:r>
      <w:sdt>
        <w:sdtPr>
          <w:rPr>
            <w:rFonts w:ascii="Arial" w:hAnsi="Arial" w:cs="Arial"/>
          </w:rPr>
          <w:id w:val="-1720817746"/>
          <w:citation/>
        </w:sdtPr>
        <w:sdtContent>
          <w:r w:rsidR="008762D1">
            <w:rPr>
              <w:rFonts w:ascii="Arial" w:hAnsi="Arial" w:cs="Arial"/>
            </w:rPr>
            <w:fldChar w:fldCharType="begin"/>
          </w:r>
          <w:r w:rsidR="008762D1">
            <w:rPr>
              <w:rFonts w:ascii="Arial" w:hAnsi="Arial" w:cs="Arial"/>
            </w:rPr>
            <w:instrText xml:space="preserve"> CITATION Ong11 \l 2057 </w:instrText>
          </w:r>
          <w:r w:rsidR="008762D1">
            <w:rPr>
              <w:rFonts w:ascii="Arial" w:hAnsi="Arial" w:cs="Arial"/>
            </w:rPr>
            <w:fldChar w:fldCharType="separate"/>
          </w:r>
          <w:r w:rsidR="009C1BF1" w:rsidRPr="009C1BF1">
            <w:rPr>
              <w:rFonts w:ascii="Arial" w:hAnsi="Arial" w:cs="Arial"/>
              <w:noProof/>
            </w:rPr>
            <w:t>(Ong, 2011)</w:t>
          </w:r>
          <w:r w:rsidR="008762D1">
            <w:rPr>
              <w:rFonts w:ascii="Arial" w:hAnsi="Arial" w:cs="Arial"/>
            </w:rPr>
            <w:fldChar w:fldCharType="end"/>
          </w:r>
        </w:sdtContent>
      </w:sdt>
      <w:r w:rsidR="008762D1">
        <w:rPr>
          <w:rFonts w:ascii="Arial" w:hAnsi="Arial" w:cs="Arial"/>
        </w:rPr>
        <w:t xml:space="preserve"> </w:t>
      </w:r>
      <w:r w:rsidR="00C14610">
        <w:rPr>
          <w:rFonts w:ascii="Arial" w:hAnsi="Arial" w:cs="Arial"/>
        </w:rPr>
        <w:t xml:space="preserve">as a result and allowing the lessons learned to </w:t>
      </w:r>
      <w:r w:rsidR="008762D1">
        <w:rPr>
          <w:rFonts w:ascii="Arial" w:hAnsi="Arial" w:cs="Arial"/>
        </w:rPr>
        <w:t>implement changes going forward</w:t>
      </w:r>
      <w:r w:rsidR="00D87DEF">
        <w:rPr>
          <w:rFonts w:ascii="Arial" w:hAnsi="Arial" w:cs="Arial"/>
        </w:rPr>
        <w:t xml:space="preserve">. </w:t>
      </w:r>
    </w:p>
    <w:p w14:paraId="03F77AE1" w14:textId="77777777" w:rsidR="00825A28" w:rsidRDefault="00825A28" w:rsidP="00516C24">
      <w:pPr>
        <w:spacing w:line="360" w:lineRule="auto"/>
        <w:rPr>
          <w:rFonts w:ascii="Arial" w:hAnsi="Arial" w:cs="Arial"/>
        </w:rPr>
      </w:pPr>
    </w:p>
    <w:p w14:paraId="2FC02ED3" w14:textId="77777777" w:rsidR="00516C24" w:rsidRDefault="00516C24" w:rsidP="00516C24">
      <w:pPr>
        <w:spacing w:line="360" w:lineRule="auto"/>
        <w:rPr>
          <w:rFonts w:ascii="Arial" w:hAnsi="Arial" w:cs="Arial"/>
        </w:rPr>
      </w:pPr>
    </w:p>
    <w:p w14:paraId="4501BE35" w14:textId="77777777" w:rsidR="009C1BF1" w:rsidRDefault="009C1BF1" w:rsidP="00516C24">
      <w:pPr>
        <w:spacing w:line="360" w:lineRule="auto"/>
        <w:rPr>
          <w:rFonts w:ascii="Arial" w:hAnsi="Arial" w:cs="Arial"/>
        </w:rPr>
      </w:pPr>
    </w:p>
    <w:p w14:paraId="41E2D1B3" w14:textId="77777777" w:rsidR="009C1BF1" w:rsidRDefault="009C1BF1" w:rsidP="00516C24">
      <w:pPr>
        <w:spacing w:line="360" w:lineRule="auto"/>
        <w:rPr>
          <w:rFonts w:ascii="Arial" w:hAnsi="Arial" w:cs="Arial"/>
        </w:rPr>
      </w:pPr>
    </w:p>
    <w:p w14:paraId="195CA9AF" w14:textId="77777777" w:rsidR="009C1BF1" w:rsidRDefault="009C1BF1" w:rsidP="00516C24">
      <w:pPr>
        <w:spacing w:line="360" w:lineRule="auto"/>
        <w:rPr>
          <w:rFonts w:ascii="Arial" w:hAnsi="Arial" w:cs="Arial"/>
        </w:rPr>
      </w:pPr>
    </w:p>
    <w:p w14:paraId="7443108A" w14:textId="77777777" w:rsidR="009C1BF1" w:rsidRDefault="009C1BF1" w:rsidP="00516C24">
      <w:pPr>
        <w:spacing w:line="360" w:lineRule="auto"/>
        <w:rPr>
          <w:rFonts w:ascii="Arial" w:hAnsi="Arial" w:cs="Arial"/>
        </w:rPr>
      </w:pPr>
    </w:p>
    <w:p w14:paraId="6F4EA5DD" w14:textId="77777777" w:rsidR="009C1BF1" w:rsidRDefault="009C1BF1" w:rsidP="00516C24">
      <w:pPr>
        <w:spacing w:line="360" w:lineRule="auto"/>
        <w:rPr>
          <w:rFonts w:ascii="Arial" w:hAnsi="Arial" w:cs="Arial"/>
        </w:rPr>
      </w:pPr>
    </w:p>
    <w:p w14:paraId="0CBF08A0" w14:textId="77777777" w:rsidR="009C1BF1" w:rsidRPr="009C1BF1" w:rsidRDefault="009C1BF1" w:rsidP="009C1BF1">
      <w:pPr>
        <w:spacing w:line="480" w:lineRule="auto"/>
        <w:rPr>
          <w:rFonts w:ascii="Arial" w:hAnsi="Arial" w:cs="Arial"/>
        </w:rPr>
      </w:pPr>
    </w:p>
    <w:sdt>
      <w:sdtPr>
        <w:rPr>
          <w:rFonts w:ascii="Arial" w:hAnsi="Arial" w:cs="Arial"/>
          <w:sz w:val="24"/>
          <w:szCs w:val="24"/>
        </w:rPr>
        <w:id w:val="1878661883"/>
        <w:docPartObj>
          <w:docPartGallery w:val="Bibliographies"/>
          <w:docPartUnique/>
        </w:docPartObj>
      </w:sdtPr>
      <w:sdtEndPr>
        <w:rPr>
          <w:rFonts w:eastAsiaTheme="minorHAnsi"/>
          <w:color w:val="auto"/>
        </w:rPr>
      </w:sdtEndPr>
      <w:sdtContent>
        <w:p w14:paraId="322FE938" w14:textId="6878DD06" w:rsidR="00516C24" w:rsidRPr="009C1BF1" w:rsidRDefault="009C1BF1" w:rsidP="009C1BF1">
          <w:pPr>
            <w:pStyle w:val="Heading1"/>
            <w:spacing w:line="480" w:lineRule="auto"/>
            <w:rPr>
              <w:rFonts w:ascii="Arial" w:hAnsi="Arial" w:cs="Arial"/>
              <w:color w:val="000000" w:themeColor="text1"/>
              <w:sz w:val="24"/>
              <w:szCs w:val="24"/>
              <w:u w:val="single"/>
            </w:rPr>
          </w:pPr>
          <w:r w:rsidRPr="009C1BF1">
            <w:rPr>
              <w:rFonts w:ascii="Arial" w:hAnsi="Arial" w:cs="Arial"/>
              <w:color w:val="000000" w:themeColor="text1"/>
              <w:sz w:val="24"/>
              <w:szCs w:val="24"/>
              <w:u w:val="single"/>
            </w:rPr>
            <w:t>Reference List</w:t>
          </w:r>
        </w:p>
        <w:p w14:paraId="76614699" w14:textId="7040F3C5" w:rsidR="009C1BF1" w:rsidRPr="009C1BF1" w:rsidRDefault="009C1BF1" w:rsidP="009C1BF1">
          <w:pPr>
            <w:pStyle w:val="Bibliography"/>
            <w:spacing w:line="480" w:lineRule="auto"/>
            <w:ind w:left="720" w:hanging="720"/>
            <w:rPr>
              <w:rFonts w:ascii="Arial" w:hAnsi="Arial" w:cs="Arial"/>
              <w:noProof/>
              <w:kern w:val="0"/>
              <w14:ligatures w14:val="none"/>
            </w:rPr>
          </w:pPr>
          <w:r w:rsidRPr="009C1BF1">
            <w:rPr>
              <w:rFonts w:ascii="Arial" w:hAnsi="Arial" w:cs="Arial"/>
              <w:noProof/>
            </w:rPr>
            <w:t xml:space="preserve">Abidogun, M., Mumuni, M., &amp; Adetotun, K. (2023). The significance of empathy in the counselling process on clients. </w:t>
          </w:r>
          <w:r w:rsidRPr="009C1BF1">
            <w:rPr>
              <w:rFonts w:ascii="Arial" w:hAnsi="Arial" w:cs="Arial"/>
              <w:i/>
              <w:iCs/>
              <w:noProof/>
            </w:rPr>
            <w:t>7th International Congress on Medical and Health Sciences</w:t>
          </w:r>
          <w:r w:rsidRPr="009C1BF1">
            <w:rPr>
              <w:rFonts w:ascii="Arial" w:hAnsi="Arial" w:cs="Arial"/>
              <w:noProof/>
            </w:rPr>
            <w:t>, 1-10.</w:t>
          </w:r>
        </w:p>
        <w:p w14:paraId="0CDE55A5"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Barton, H. (2020). An exploration of the experiences that counsellors have of taking care of their own mental, emotional and spiritual well-being. </w:t>
          </w:r>
          <w:r w:rsidRPr="009C1BF1">
            <w:rPr>
              <w:rFonts w:ascii="Arial" w:hAnsi="Arial" w:cs="Arial"/>
              <w:i/>
              <w:iCs/>
              <w:noProof/>
            </w:rPr>
            <w:t>Counselling &amp; Psychotherapy Research: Linking research with practice, 20</w:t>
          </w:r>
          <w:r w:rsidRPr="009C1BF1">
            <w:rPr>
              <w:rFonts w:ascii="Arial" w:hAnsi="Arial" w:cs="Arial"/>
              <w:noProof/>
            </w:rPr>
            <w:t>(3), 516-524.</w:t>
          </w:r>
        </w:p>
        <w:p w14:paraId="48884A5F"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Bolton, G., &amp; Delderfield, R. (2018). The Power of Metaphor. In G. Bolton, &amp; R. Delderfield, </w:t>
          </w:r>
          <w:r w:rsidRPr="009C1BF1">
            <w:rPr>
              <w:rFonts w:ascii="Arial" w:hAnsi="Arial" w:cs="Arial"/>
              <w:i/>
              <w:iCs/>
              <w:noProof/>
            </w:rPr>
            <w:t>Reflective Practice: Writing and Professional Development</w:t>
          </w:r>
          <w:r w:rsidRPr="009C1BF1">
            <w:rPr>
              <w:rFonts w:ascii="Arial" w:hAnsi="Arial" w:cs="Arial"/>
              <w:noProof/>
            </w:rPr>
            <w:t xml:space="preserve"> (Vol. 5, pp. 121-134). London: SAGE Publications.</w:t>
          </w:r>
        </w:p>
        <w:p w14:paraId="2F99F787"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Brookfield, S. (1998). Critically Reflective Practice. </w:t>
          </w:r>
          <w:r w:rsidRPr="009C1BF1">
            <w:rPr>
              <w:rFonts w:ascii="Arial" w:hAnsi="Arial" w:cs="Arial"/>
              <w:i/>
              <w:iCs/>
              <w:noProof/>
            </w:rPr>
            <w:t>The Journal of Continuing Education in the Health Professions, 18</w:t>
          </w:r>
          <w:r w:rsidRPr="009C1BF1">
            <w:rPr>
              <w:rFonts w:ascii="Arial" w:hAnsi="Arial" w:cs="Arial"/>
              <w:noProof/>
            </w:rPr>
            <w:t>, 197-205.</w:t>
          </w:r>
        </w:p>
        <w:p w14:paraId="40B9C7CA"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Elliott, R., Bohart, A., Watson, J., &amp; Murphy, D. (2018). Therapist empathy and client outcome: An updated meta-analysis. </w:t>
          </w:r>
          <w:r w:rsidRPr="009C1BF1">
            <w:rPr>
              <w:rFonts w:ascii="Arial" w:hAnsi="Arial" w:cs="Arial"/>
              <w:i/>
              <w:iCs/>
              <w:noProof/>
            </w:rPr>
            <w:t>Psychotherapy,, 55</w:t>
          </w:r>
          <w:r w:rsidRPr="009C1BF1">
            <w:rPr>
              <w:rFonts w:ascii="Arial" w:hAnsi="Arial" w:cs="Arial"/>
              <w:noProof/>
            </w:rPr>
            <w:t>(4), 399–410.</w:t>
          </w:r>
        </w:p>
        <w:p w14:paraId="323270BE"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Fernando, S. (2011). Communications Skills and Counselling. </w:t>
          </w:r>
          <w:r w:rsidRPr="009C1BF1">
            <w:rPr>
              <w:rFonts w:ascii="Arial" w:hAnsi="Arial" w:cs="Arial"/>
              <w:i/>
              <w:iCs/>
              <w:noProof/>
            </w:rPr>
            <w:t>Sri Lanka Journal of Obstetrics and Gynaecology</w:t>
          </w:r>
          <w:r w:rsidRPr="009C1BF1">
            <w:rPr>
              <w:rFonts w:ascii="Arial" w:hAnsi="Arial" w:cs="Arial"/>
              <w:noProof/>
            </w:rPr>
            <w:t>, 69-71.</w:t>
          </w:r>
        </w:p>
        <w:p w14:paraId="541BF320"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Gale, C., Schröder, T., &amp; Gilbert, P. (2015). ‘Do You Practice What You Preach?’ A Qualitative Exploration of Therapists' Personal Practice of Compassion Focused Therapy. </w:t>
          </w:r>
          <w:r w:rsidRPr="009C1BF1">
            <w:rPr>
              <w:rFonts w:ascii="Arial" w:hAnsi="Arial" w:cs="Arial"/>
              <w:i/>
              <w:iCs/>
              <w:noProof/>
            </w:rPr>
            <w:t>Clinical Psychology &amp; Psychotherapy</w:t>
          </w:r>
          <w:r w:rsidRPr="009C1BF1">
            <w:rPr>
              <w:rFonts w:ascii="Arial" w:hAnsi="Arial" w:cs="Arial"/>
              <w:noProof/>
            </w:rPr>
            <w:t>, 171-185.</w:t>
          </w:r>
        </w:p>
        <w:p w14:paraId="4F4B051D"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Gelo, O. C., &amp; Mergenthaler, E. (2012, March). Unconventional metaphors and emotional-cognitive regulation in a metacognitive interpersonal therapy. </w:t>
          </w:r>
          <w:r w:rsidRPr="009C1BF1">
            <w:rPr>
              <w:rFonts w:ascii="Arial" w:hAnsi="Arial" w:cs="Arial"/>
              <w:i/>
              <w:iCs/>
              <w:noProof/>
            </w:rPr>
            <w:t>Psychotherapy Research, 22</w:t>
          </w:r>
          <w:r w:rsidRPr="009C1BF1">
            <w:rPr>
              <w:rFonts w:ascii="Arial" w:hAnsi="Arial" w:cs="Arial"/>
              <w:noProof/>
            </w:rPr>
            <w:t>(2), 159-175.</w:t>
          </w:r>
        </w:p>
        <w:p w14:paraId="0C10185C"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Gibbs, G. (1988). </w:t>
          </w:r>
          <w:r w:rsidRPr="009C1BF1">
            <w:rPr>
              <w:rFonts w:ascii="Arial" w:hAnsi="Arial" w:cs="Arial"/>
              <w:i/>
              <w:iCs/>
              <w:noProof/>
            </w:rPr>
            <w:t>Learning by Doing: A Guide to Teaching and Learning Methods.</w:t>
          </w:r>
          <w:r w:rsidRPr="009C1BF1">
            <w:rPr>
              <w:rFonts w:ascii="Arial" w:hAnsi="Arial" w:cs="Arial"/>
              <w:noProof/>
            </w:rPr>
            <w:t xml:space="preserve"> Oxford: Creative Commons.</w:t>
          </w:r>
        </w:p>
        <w:p w14:paraId="60832755"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lastRenderedPageBreak/>
            <w:t xml:space="preserve">Greenberg, L. (2016). </w:t>
          </w:r>
          <w:r w:rsidRPr="009C1BF1">
            <w:rPr>
              <w:rFonts w:ascii="Arial" w:hAnsi="Arial" w:cs="Arial"/>
              <w:i/>
              <w:iCs/>
              <w:noProof/>
            </w:rPr>
            <w:t>Emotion-Focused Therapy, Revised Edition.</w:t>
          </w:r>
          <w:r w:rsidRPr="009C1BF1">
            <w:rPr>
              <w:rFonts w:ascii="Arial" w:hAnsi="Arial" w:cs="Arial"/>
              <w:noProof/>
            </w:rPr>
            <w:t xml:space="preserve"> Ontario: American Psychological Association.</w:t>
          </w:r>
        </w:p>
        <w:p w14:paraId="2288E4A3"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Kim, J., Joseph, S., &amp; Price, S. (2020). The positive psychology of relational depth and its association with unconditional positive self-regard and authenticity. </w:t>
          </w:r>
          <w:r w:rsidRPr="009C1BF1">
            <w:rPr>
              <w:rFonts w:ascii="Arial" w:hAnsi="Arial" w:cs="Arial"/>
              <w:i/>
              <w:iCs/>
              <w:noProof/>
            </w:rPr>
            <w:t>Person-Centered &amp; Experiential Psychotherapies</w:t>
          </w:r>
          <w:r w:rsidRPr="009C1BF1">
            <w:rPr>
              <w:rFonts w:ascii="Arial" w:hAnsi="Arial" w:cs="Arial"/>
              <w:noProof/>
            </w:rPr>
            <w:t>, 12-21.</w:t>
          </w:r>
        </w:p>
        <w:p w14:paraId="78B8053F"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Knox, R. (2008). Clients’ experiences of relational depth in person-centred counselling. </w:t>
          </w:r>
          <w:r w:rsidRPr="009C1BF1">
            <w:rPr>
              <w:rFonts w:ascii="Arial" w:hAnsi="Arial" w:cs="Arial"/>
              <w:i/>
              <w:iCs/>
              <w:noProof/>
            </w:rPr>
            <w:t>Counselling and Psychotherapy Research: Linking Research with Practice</w:t>
          </w:r>
          <w:r w:rsidRPr="009C1BF1">
            <w:rPr>
              <w:rFonts w:ascii="Arial" w:hAnsi="Arial" w:cs="Arial"/>
              <w:noProof/>
            </w:rPr>
            <w:t>, 182-188.</w:t>
          </w:r>
        </w:p>
        <w:p w14:paraId="46AE3F64"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Lac, A., &amp; Donaldson, C. (2022). Development and Validation of the Drama Triangle Scale: Are You a Victim, Rescuer, or Persecutor? </w:t>
          </w:r>
          <w:r w:rsidRPr="009C1BF1">
            <w:rPr>
              <w:rFonts w:ascii="Arial" w:hAnsi="Arial" w:cs="Arial"/>
              <w:i/>
              <w:iCs/>
              <w:noProof/>
            </w:rPr>
            <w:t>Journal of interpersonal violence</w:t>
          </w:r>
          <w:r w:rsidRPr="009C1BF1">
            <w:rPr>
              <w:rFonts w:ascii="Arial" w:hAnsi="Arial" w:cs="Arial"/>
              <w:noProof/>
            </w:rPr>
            <w:t>, 4057-4081.</w:t>
          </w:r>
        </w:p>
        <w:p w14:paraId="25C2C2C3"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Martin-Cuellar, A. (2018). Self-Reflexivity Through Journaling: An Imperative Process for the Practicing Clinician. </w:t>
          </w:r>
          <w:r w:rsidRPr="009C1BF1">
            <w:rPr>
              <w:rFonts w:ascii="Arial" w:hAnsi="Arial" w:cs="Arial"/>
              <w:i/>
              <w:iCs/>
              <w:noProof/>
            </w:rPr>
            <w:t>The William &amp; Mary Educational Review</w:t>
          </w:r>
          <w:r w:rsidRPr="009C1BF1">
            <w:rPr>
              <w:rFonts w:ascii="Arial" w:hAnsi="Arial" w:cs="Arial"/>
              <w:noProof/>
            </w:rPr>
            <w:t>, 69-82.</w:t>
          </w:r>
        </w:p>
        <w:p w14:paraId="3BB667BD"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Midwinter, R., &amp; Dickson, J. (2015). Becoming a reflexive practitioner. In R. Midwinter, &amp; J. Dickson, </w:t>
          </w:r>
          <w:r w:rsidRPr="009C1BF1">
            <w:rPr>
              <w:rFonts w:ascii="Arial" w:hAnsi="Arial" w:cs="Arial"/>
              <w:i/>
              <w:iCs/>
              <w:noProof/>
            </w:rPr>
            <w:t xml:space="preserve">Embedding Counselling and Communication Skills : A Relational Skills Model </w:t>
          </w:r>
          <w:r w:rsidRPr="009C1BF1">
            <w:rPr>
              <w:rFonts w:ascii="Arial" w:hAnsi="Arial" w:cs="Arial"/>
              <w:noProof/>
            </w:rPr>
            <w:t>(pp. 184-200). Routledge.</w:t>
          </w:r>
        </w:p>
        <w:p w14:paraId="5FB6A0A4"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Midwinter, R., &amp; Dickson, J. (2015). Developing the relationship. In R. Midwinter, &amp; J. Dickson, </w:t>
          </w:r>
          <w:r w:rsidRPr="009C1BF1">
            <w:rPr>
              <w:rFonts w:ascii="Arial" w:hAnsi="Arial" w:cs="Arial"/>
              <w:i/>
              <w:iCs/>
              <w:noProof/>
            </w:rPr>
            <w:t>Embedding counselling and communication skills : a relational skills model</w:t>
          </w:r>
          <w:r w:rsidRPr="009C1BF1">
            <w:rPr>
              <w:rFonts w:ascii="Arial" w:hAnsi="Arial" w:cs="Arial"/>
              <w:noProof/>
            </w:rPr>
            <w:t xml:space="preserve"> (pp. 47-63). Routledge.</w:t>
          </w:r>
        </w:p>
        <w:p w14:paraId="7C3D8B64"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Millard, L., Wan, M., Smith, D., &amp; Wittkowski, A. (2023). The effectiveness of compassion focused therapy with clinical populations: A systematic review and meta-analysis. </w:t>
          </w:r>
          <w:r w:rsidRPr="009C1BF1">
            <w:rPr>
              <w:rFonts w:ascii="Arial" w:hAnsi="Arial" w:cs="Arial"/>
              <w:i/>
              <w:iCs/>
              <w:noProof/>
            </w:rPr>
            <w:t>Journal of Affective Disorders</w:t>
          </w:r>
          <w:r w:rsidRPr="009C1BF1">
            <w:rPr>
              <w:rFonts w:ascii="Arial" w:hAnsi="Arial" w:cs="Arial"/>
              <w:noProof/>
            </w:rPr>
            <w:t>, 168-192.</w:t>
          </w:r>
        </w:p>
        <w:p w14:paraId="60197708"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Mohammadi, A., Imani, S., &amp; Khoshkonesh, A. (2022). The Comparing Effectiveness of Narrative Exposure Therapy and Emotion- Focused Couple Therapy on </w:t>
          </w:r>
          <w:r w:rsidRPr="009C1BF1">
            <w:rPr>
              <w:rFonts w:ascii="Arial" w:hAnsi="Arial" w:cs="Arial"/>
              <w:noProof/>
            </w:rPr>
            <w:lastRenderedPageBreak/>
            <w:t xml:space="preserve">Loneliness and Marital Intimacy among Women Affected Infidelity. </w:t>
          </w:r>
          <w:r w:rsidRPr="009C1BF1">
            <w:rPr>
              <w:rFonts w:ascii="Arial" w:hAnsi="Arial" w:cs="Arial"/>
              <w:i/>
              <w:iCs/>
              <w:noProof/>
            </w:rPr>
            <w:t>Iranian Journal of Psychiatric Nursing</w:t>
          </w:r>
          <w:r w:rsidRPr="009C1BF1">
            <w:rPr>
              <w:rFonts w:ascii="Arial" w:hAnsi="Arial" w:cs="Arial"/>
              <w:noProof/>
            </w:rPr>
            <w:t>, 70-81.</w:t>
          </w:r>
        </w:p>
        <w:p w14:paraId="4BF869EA"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Norfolk, T., Birdi, K., &amp; Walsh, D. (2007). The role of empathy in establishing rapport in the consultation: a new model. </w:t>
          </w:r>
          <w:r w:rsidRPr="009C1BF1">
            <w:rPr>
              <w:rFonts w:ascii="Arial" w:hAnsi="Arial" w:cs="Arial"/>
              <w:i/>
              <w:iCs/>
              <w:noProof/>
            </w:rPr>
            <w:t>Medical Education, 41</w:t>
          </w:r>
          <w:r w:rsidRPr="009C1BF1">
            <w:rPr>
              <w:rFonts w:ascii="Arial" w:hAnsi="Arial" w:cs="Arial"/>
              <w:noProof/>
            </w:rPr>
            <w:t>(7), 690-697.</w:t>
          </w:r>
        </w:p>
        <w:p w14:paraId="14040117"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Oleofsen, N. (2012). How to reflect: the reflective practicioner's toolkit. In N. Oleofsen, </w:t>
          </w:r>
          <w:r w:rsidRPr="009C1BF1">
            <w:rPr>
              <w:rFonts w:ascii="Arial" w:hAnsi="Arial" w:cs="Arial"/>
              <w:i/>
              <w:iCs/>
              <w:noProof/>
            </w:rPr>
            <w:t>Developing Reflective Practice: A Guide for Students and Practitioners of Health and Social Care</w:t>
          </w:r>
          <w:r w:rsidRPr="009C1BF1">
            <w:rPr>
              <w:rFonts w:ascii="Arial" w:hAnsi="Arial" w:cs="Arial"/>
              <w:noProof/>
            </w:rPr>
            <w:t xml:space="preserve"> (pp. 11-31). Lantern Publishing Ltd.</w:t>
          </w:r>
        </w:p>
        <w:p w14:paraId="78AA82FA"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Ong, K. (2011, June 14). Reflection for action in the medical field. </w:t>
          </w:r>
          <w:r w:rsidRPr="009C1BF1">
            <w:rPr>
              <w:rFonts w:ascii="Arial" w:hAnsi="Arial" w:cs="Arial"/>
              <w:i/>
              <w:iCs/>
              <w:noProof/>
            </w:rPr>
            <w:t>Reflective Practice: International and Multidisciplinary Perspectives, 12</w:t>
          </w:r>
          <w:r w:rsidRPr="009C1BF1">
            <w:rPr>
              <w:rFonts w:ascii="Arial" w:hAnsi="Arial" w:cs="Arial"/>
              <w:noProof/>
            </w:rPr>
            <w:t>(1), 144-149.</w:t>
          </w:r>
        </w:p>
        <w:p w14:paraId="406FB6CB"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Osborn, D. S., &amp; Costas, L. (2013). Role-Playing in Counselor Student Development. </w:t>
          </w:r>
          <w:r w:rsidRPr="009C1BF1">
            <w:rPr>
              <w:rFonts w:ascii="Arial" w:hAnsi="Arial" w:cs="Arial"/>
              <w:i/>
              <w:iCs/>
              <w:noProof/>
            </w:rPr>
            <w:t>Journal of Creativity in Mental Health, 8</w:t>
          </w:r>
          <w:r w:rsidRPr="009C1BF1">
            <w:rPr>
              <w:rFonts w:ascii="Arial" w:hAnsi="Arial" w:cs="Arial"/>
              <w:noProof/>
            </w:rPr>
            <w:t>(1), 92-103.</w:t>
          </w:r>
        </w:p>
        <w:p w14:paraId="18C45AE5"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Palumbo, A., Wezyk, A., Woodward, A., &amp; Panourgia, C. (2024). The empathetic landscape: Examining the role of empathy in the well-being of counsellors and psychotherapists working with trauma. </w:t>
          </w:r>
          <w:r w:rsidRPr="009C1BF1">
            <w:rPr>
              <w:rFonts w:ascii="Arial" w:hAnsi="Arial" w:cs="Arial"/>
              <w:i/>
              <w:iCs/>
              <w:noProof/>
            </w:rPr>
            <w:t>Counselling and Psychotherapy Research</w:t>
          </w:r>
          <w:r w:rsidRPr="009C1BF1">
            <w:rPr>
              <w:rFonts w:ascii="Arial" w:hAnsi="Arial" w:cs="Arial"/>
              <w:noProof/>
            </w:rPr>
            <w:t>, 1404–1414.</w:t>
          </w:r>
        </w:p>
        <w:p w14:paraId="3FDFD22B"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Rodgers, C. (1957). The necessary and sufficient conditions of therapeutic personality change. </w:t>
          </w:r>
          <w:r w:rsidRPr="009C1BF1">
            <w:rPr>
              <w:rFonts w:ascii="Arial" w:hAnsi="Arial" w:cs="Arial"/>
              <w:i/>
              <w:iCs/>
              <w:noProof/>
            </w:rPr>
            <w:t>Journal of Consulting Psychology</w:t>
          </w:r>
          <w:r w:rsidRPr="009C1BF1">
            <w:rPr>
              <w:rFonts w:ascii="Arial" w:hAnsi="Arial" w:cs="Arial"/>
              <w:noProof/>
            </w:rPr>
            <w:t>, 95-103.</w:t>
          </w:r>
        </w:p>
        <w:p w14:paraId="088E8056"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Stubley, J. (2024). Imagination and metaphor in narrative therapy and collective practice. </w:t>
          </w:r>
          <w:r w:rsidRPr="009C1BF1">
            <w:rPr>
              <w:rFonts w:ascii="Arial" w:hAnsi="Arial" w:cs="Arial"/>
              <w:i/>
              <w:iCs/>
              <w:noProof/>
            </w:rPr>
            <w:t>International Journal of Narrative Therapy and Community Work</w:t>
          </w:r>
          <w:r w:rsidRPr="009C1BF1">
            <w:rPr>
              <w:rFonts w:ascii="Arial" w:hAnsi="Arial" w:cs="Arial"/>
              <w:noProof/>
            </w:rPr>
            <w:t>, 84-95.</w:t>
          </w:r>
        </w:p>
        <w:p w14:paraId="5DDE0602"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t xml:space="preserve">Stutts, L. (2022). Increasing Self-Compassion: Review of the Literature and Recommendations. </w:t>
          </w:r>
          <w:r w:rsidRPr="009C1BF1">
            <w:rPr>
              <w:rFonts w:ascii="Arial" w:hAnsi="Arial" w:cs="Arial"/>
              <w:i/>
              <w:iCs/>
              <w:noProof/>
            </w:rPr>
            <w:t>Journal of undergraduate neuroscience education</w:t>
          </w:r>
          <w:r w:rsidRPr="009C1BF1">
            <w:rPr>
              <w:rFonts w:ascii="Arial" w:hAnsi="Arial" w:cs="Arial"/>
              <w:noProof/>
            </w:rPr>
            <w:t>, 115-119.</w:t>
          </w:r>
        </w:p>
        <w:p w14:paraId="29995F5B" w14:textId="77777777" w:rsidR="009C1BF1" w:rsidRPr="009C1BF1" w:rsidRDefault="009C1BF1" w:rsidP="009C1BF1">
          <w:pPr>
            <w:pStyle w:val="Bibliography"/>
            <w:spacing w:line="480" w:lineRule="auto"/>
            <w:ind w:left="720" w:hanging="720"/>
            <w:rPr>
              <w:rFonts w:ascii="Arial" w:hAnsi="Arial" w:cs="Arial"/>
              <w:noProof/>
            </w:rPr>
          </w:pPr>
          <w:r w:rsidRPr="009C1BF1">
            <w:rPr>
              <w:rFonts w:ascii="Arial" w:hAnsi="Arial" w:cs="Arial"/>
              <w:noProof/>
            </w:rPr>
            <w:lastRenderedPageBreak/>
            <w:t xml:space="preserve">Sutherland, O., Peräkylä, A., &amp; Elliott, R. (2014). Conversation analysis of the two-chair self-soothing task in emotion-focused therapy. </w:t>
          </w:r>
          <w:r w:rsidRPr="009C1BF1">
            <w:rPr>
              <w:rFonts w:ascii="Arial" w:hAnsi="Arial" w:cs="Arial"/>
              <w:i/>
              <w:iCs/>
              <w:noProof/>
            </w:rPr>
            <w:t>Psychotherapy Research</w:t>
          </w:r>
          <w:r w:rsidRPr="009C1BF1">
            <w:rPr>
              <w:rFonts w:ascii="Arial" w:hAnsi="Arial" w:cs="Arial"/>
              <w:noProof/>
            </w:rPr>
            <w:t>, 738-751.</w:t>
          </w:r>
        </w:p>
        <w:p w14:paraId="7312D864" w14:textId="1DAC262B" w:rsidR="00516C24" w:rsidRPr="009C1BF1" w:rsidRDefault="00516C24" w:rsidP="009C1BF1">
          <w:pPr>
            <w:spacing w:line="480" w:lineRule="auto"/>
            <w:rPr>
              <w:rFonts w:ascii="Arial" w:hAnsi="Arial" w:cs="Arial"/>
            </w:rPr>
          </w:pPr>
        </w:p>
      </w:sdtContent>
    </w:sdt>
    <w:p w14:paraId="42A72F57" w14:textId="77777777" w:rsidR="00516C24" w:rsidRPr="009C1BF1" w:rsidRDefault="00516C24" w:rsidP="009C1BF1">
      <w:pPr>
        <w:spacing w:line="480" w:lineRule="auto"/>
        <w:rPr>
          <w:rFonts w:ascii="Arial" w:hAnsi="Arial" w:cs="Arial"/>
        </w:rPr>
      </w:pPr>
    </w:p>
    <w:sectPr w:rsidR="00516C24" w:rsidRPr="009C1B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9DF"/>
    <w:rsid w:val="00006F5A"/>
    <w:rsid w:val="00032D0C"/>
    <w:rsid w:val="00033730"/>
    <w:rsid w:val="00050AD0"/>
    <w:rsid w:val="00064839"/>
    <w:rsid w:val="00077825"/>
    <w:rsid w:val="00095AA0"/>
    <w:rsid w:val="0009646E"/>
    <w:rsid w:val="000A276F"/>
    <w:rsid w:val="000B5C62"/>
    <w:rsid w:val="000B6FE3"/>
    <w:rsid w:val="000D3F47"/>
    <w:rsid w:val="000E2539"/>
    <w:rsid w:val="000E6DDB"/>
    <w:rsid w:val="000F1EFA"/>
    <w:rsid w:val="00107125"/>
    <w:rsid w:val="00112DA6"/>
    <w:rsid w:val="00113679"/>
    <w:rsid w:val="00140481"/>
    <w:rsid w:val="001566FB"/>
    <w:rsid w:val="001732D2"/>
    <w:rsid w:val="00185581"/>
    <w:rsid w:val="00196162"/>
    <w:rsid w:val="001A1C01"/>
    <w:rsid w:val="001A303F"/>
    <w:rsid w:val="001B2640"/>
    <w:rsid w:val="001C0219"/>
    <w:rsid w:val="001C1B1B"/>
    <w:rsid w:val="001D131B"/>
    <w:rsid w:val="001E16D5"/>
    <w:rsid w:val="001E6C0B"/>
    <w:rsid w:val="00214096"/>
    <w:rsid w:val="002145C2"/>
    <w:rsid w:val="00215F51"/>
    <w:rsid w:val="00216BFE"/>
    <w:rsid w:val="00220B96"/>
    <w:rsid w:val="002328BC"/>
    <w:rsid w:val="00232E00"/>
    <w:rsid w:val="00240C8B"/>
    <w:rsid w:val="00251E75"/>
    <w:rsid w:val="0025422A"/>
    <w:rsid w:val="00283589"/>
    <w:rsid w:val="002B2839"/>
    <w:rsid w:val="002B4A37"/>
    <w:rsid w:val="002E32CD"/>
    <w:rsid w:val="002F5604"/>
    <w:rsid w:val="003012CA"/>
    <w:rsid w:val="00304B71"/>
    <w:rsid w:val="003074A7"/>
    <w:rsid w:val="00356B07"/>
    <w:rsid w:val="0037026E"/>
    <w:rsid w:val="00375C34"/>
    <w:rsid w:val="003778B4"/>
    <w:rsid w:val="00385DF3"/>
    <w:rsid w:val="003A68B1"/>
    <w:rsid w:val="003B3025"/>
    <w:rsid w:val="003C5EE6"/>
    <w:rsid w:val="003E0CF5"/>
    <w:rsid w:val="003F49FA"/>
    <w:rsid w:val="00412D92"/>
    <w:rsid w:val="00416882"/>
    <w:rsid w:val="004345B0"/>
    <w:rsid w:val="00435C92"/>
    <w:rsid w:val="004364B0"/>
    <w:rsid w:val="0044371B"/>
    <w:rsid w:val="00447F44"/>
    <w:rsid w:val="00472242"/>
    <w:rsid w:val="0048632D"/>
    <w:rsid w:val="00493C42"/>
    <w:rsid w:val="00495F70"/>
    <w:rsid w:val="00496C0A"/>
    <w:rsid w:val="004A5FB1"/>
    <w:rsid w:val="004C50AA"/>
    <w:rsid w:val="004D7817"/>
    <w:rsid w:val="004E0541"/>
    <w:rsid w:val="004F5C45"/>
    <w:rsid w:val="005045D9"/>
    <w:rsid w:val="00506751"/>
    <w:rsid w:val="0050760B"/>
    <w:rsid w:val="00516759"/>
    <w:rsid w:val="00516C24"/>
    <w:rsid w:val="00526BA1"/>
    <w:rsid w:val="005513B9"/>
    <w:rsid w:val="0056131A"/>
    <w:rsid w:val="005625CF"/>
    <w:rsid w:val="00571C33"/>
    <w:rsid w:val="00577BC2"/>
    <w:rsid w:val="005976C9"/>
    <w:rsid w:val="005A7CB0"/>
    <w:rsid w:val="005B04CD"/>
    <w:rsid w:val="005B6F2E"/>
    <w:rsid w:val="005C5625"/>
    <w:rsid w:val="005D3410"/>
    <w:rsid w:val="005E2115"/>
    <w:rsid w:val="00600BEF"/>
    <w:rsid w:val="00607EDF"/>
    <w:rsid w:val="00615FED"/>
    <w:rsid w:val="006218CD"/>
    <w:rsid w:val="00674CB5"/>
    <w:rsid w:val="00674FAF"/>
    <w:rsid w:val="00690DA1"/>
    <w:rsid w:val="00692E8F"/>
    <w:rsid w:val="00693616"/>
    <w:rsid w:val="006A1D2E"/>
    <w:rsid w:val="006A2FDD"/>
    <w:rsid w:val="006B7AC2"/>
    <w:rsid w:val="006D67D5"/>
    <w:rsid w:val="006E2DE1"/>
    <w:rsid w:val="006F22F3"/>
    <w:rsid w:val="006F3086"/>
    <w:rsid w:val="006F6221"/>
    <w:rsid w:val="007106B9"/>
    <w:rsid w:val="00711987"/>
    <w:rsid w:val="00740832"/>
    <w:rsid w:val="00745D26"/>
    <w:rsid w:val="00753E80"/>
    <w:rsid w:val="0075407A"/>
    <w:rsid w:val="00757296"/>
    <w:rsid w:val="00782B4F"/>
    <w:rsid w:val="00785550"/>
    <w:rsid w:val="00792540"/>
    <w:rsid w:val="00794715"/>
    <w:rsid w:val="007A34FF"/>
    <w:rsid w:val="007A40B8"/>
    <w:rsid w:val="007C015C"/>
    <w:rsid w:val="007C0B8C"/>
    <w:rsid w:val="007C0BB6"/>
    <w:rsid w:val="007C4D07"/>
    <w:rsid w:val="007E30E0"/>
    <w:rsid w:val="007E6105"/>
    <w:rsid w:val="007E67A8"/>
    <w:rsid w:val="007F1DDC"/>
    <w:rsid w:val="007F46BA"/>
    <w:rsid w:val="007F6EAB"/>
    <w:rsid w:val="00801980"/>
    <w:rsid w:val="00802AD4"/>
    <w:rsid w:val="00806717"/>
    <w:rsid w:val="008109DF"/>
    <w:rsid w:val="008253BD"/>
    <w:rsid w:val="00825A28"/>
    <w:rsid w:val="00832360"/>
    <w:rsid w:val="00833D62"/>
    <w:rsid w:val="008444A6"/>
    <w:rsid w:val="00876280"/>
    <w:rsid w:val="008762D1"/>
    <w:rsid w:val="008825E4"/>
    <w:rsid w:val="008C510C"/>
    <w:rsid w:val="008D2845"/>
    <w:rsid w:val="008D7B0B"/>
    <w:rsid w:val="008E1AE0"/>
    <w:rsid w:val="008E4D06"/>
    <w:rsid w:val="008F4A09"/>
    <w:rsid w:val="00922DCF"/>
    <w:rsid w:val="009244B5"/>
    <w:rsid w:val="00925BBD"/>
    <w:rsid w:val="0093010B"/>
    <w:rsid w:val="00942265"/>
    <w:rsid w:val="009476A6"/>
    <w:rsid w:val="0095500B"/>
    <w:rsid w:val="009570E1"/>
    <w:rsid w:val="00960413"/>
    <w:rsid w:val="00973BB7"/>
    <w:rsid w:val="009764FA"/>
    <w:rsid w:val="009945CA"/>
    <w:rsid w:val="00994FC7"/>
    <w:rsid w:val="0099645C"/>
    <w:rsid w:val="009A285B"/>
    <w:rsid w:val="009C1BF1"/>
    <w:rsid w:val="009C5959"/>
    <w:rsid w:val="009D400E"/>
    <w:rsid w:val="00A129E3"/>
    <w:rsid w:val="00A22504"/>
    <w:rsid w:val="00A23BF4"/>
    <w:rsid w:val="00A303FD"/>
    <w:rsid w:val="00A31A72"/>
    <w:rsid w:val="00A31FB4"/>
    <w:rsid w:val="00A4354E"/>
    <w:rsid w:val="00A47302"/>
    <w:rsid w:val="00A47698"/>
    <w:rsid w:val="00A530ED"/>
    <w:rsid w:val="00A544B0"/>
    <w:rsid w:val="00A5784C"/>
    <w:rsid w:val="00A61451"/>
    <w:rsid w:val="00A61E23"/>
    <w:rsid w:val="00A61F52"/>
    <w:rsid w:val="00A733B2"/>
    <w:rsid w:val="00A76753"/>
    <w:rsid w:val="00A76BEE"/>
    <w:rsid w:val="00A93F24"/>
    <w:rsid w:val="00A96ABE"/>
    <w:rsid w:val="00AA0141"/>
    <w:rsid w:val="00AA2EB2"/>
    <w:rsid w:val="00AA7A6B"/>
    <w:rsid w:val="00AB5A05"/>
    <w:rsid w:val="00AE450E"/>
    <w:rsid w:val="00AF3F5C"/>
    <w:rsid w:val="00AF58E9"/>
    <w:rsid w:val="00B062A1"/>
    <w:rsid w:val="00B13AF5"/>
    <w:rsid w:val="00B1734C"/>
    <w:rsid w:val="00B3078B"/>
    <w:rsid w:val="00B46215"/>
    <w:rsid w:val="00B622A7"/>
    <w:rsid w:val="00B63DF9"/>
    <w:rsid w:val="00B72093"/>
    <w:rsid w:val="00B903CA"/>
    <w:rsid w:val="00BA1D2F"/>
    <w:rsid w:val="00BA3B24"/>
    <w:rsid w:val="00BA568D"/>
    <w:rsid w:val="00BA5F99"/>
    <w:rsid w:val="00BB15BD"/>
    <w:rsid w:val="00BB27DB"/>
    <w:rsid w:val="00BC173D"/>
    <w:rsid w:val="00BD516F"/>
    <w:rsid w:val="00BE18BF"/>
    <w:rsid w:val="00BE2678"/>
    <w:rsid w:val="00BE356A"/>
    <w:rsid w:val="00BE75FE"/>
    <w:rsid w:val="00C06679"/>
    <w:rsid w:val="00C14610"/>
    <w:rsid w:val="00C150B2"/>
    <w:rsid w:val="00C24124"/>
    <w:rsid w:val="00C414CC"/>
    <w:rsid w:val="00C4665B"/>
    <w:rsid w:val="00C77CA7"/>
    <w:rsid w:val="00C958CA"/>
    <w:rsid w:val="00CA25FB"/>
    <w:rsid w:val="00CB5A3A"/>
    <w:rsid w:val="00CC1B61"/>
    <w:rsid w:val="00CC5E27"/>
    <w:rsid w:val="00CE5F1E"/>
    <w:rsid w:val="00D01CE6"/>
    <w:rsid w:val="00D06FE9"/>
    <w:rsid w:val="00D17545"/>
    <w:rsid w:val="00D2275F"/>
    <w:rsid w:val="00D3100F"/>
    <w:rsid w:val="00D34592"/>
    <w:rsid w:val="00D51EE7"/>
    <w:rsid w:val="00D52260"/>
    <w:rsid w:val="00D52903"/>
    <w:rsid w:val="00D64297"/>
    <w:rsid w:val="00D662CB"/>
    <w:rsid w:val="00D83427"/>
    <w:rsid w:val="00D87DEF"/>
    <w:rsid w:val="00D9160D"/>
    <w:rsid w:val="00D925C2"/>
    <w:rsid w:val="00DA78A2"/>
    <w:rsid w:val="00DE493E"/>
    <w:rsid w:val="00DE7B3B"/>
    <w:rsid w:val="00DE7DDF"/>
    <w:rsid w:val="00DF1A09"/>
    <w:rsid w:val="00DF1C8E"/>
    <w:rsid w:val="00DF2D38"/>
    <w:rsid w:val="00E12F87"/>
    <w:rsid w:val="00E27350"/>
    <w:rsid w:val="00E30D0C"/>
    <w:rsid w:val="00E374D5"/>
    <w:rsid w:val="00E52F1A"/>
    <w:rsid w:val="00E56D96"/>
    <w:rsid w:val="00E85FC3"/>
    <w:rsid w:val="00EA0B1A"/>
    <w:rsid w:val="00EC47EE"/>
    <w:rsid w:val="00EC7214"/>
    <w:rsid w:val="00ED0D6E"/>
    <w:rsid w:val="00EE3FB2"/>
    <w:rsid w:val="00EE410C"/>
    <w:rsid w:val="00F0154C"/>
    <w:rsid w:val="00F15EC7"/>
    <w:rsid w:val="00F25182"/>
    <w:rsid w:val="00F31632"/>
    <w:rsid w:val="00F31D98"/>
    <w:rsid w:val="00F34AC0"/>
    <w:rsid w:val="00F34E3C"/>
    <w:rsid w:val="00F35B7A"/>
    <w:rsid w:val="00F573AC"/>
    <w:rsid w:val="00F6168B"/>
    <w:rsid w:val="00F84404"/>
    <w:rsid w:val="00F96CE8"/>
    <w:rsid w:val="00FA6AA1"/>
    <w:rsid w:val="00FC5026"/>
    <w:rsid w:val="00FD5115"/>
    <w:rsid w:val="00FE7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57FF5"/>
  <w15:chartTrackingRefBased/>
  <w15:docId w15:val="{F854441B-41E3-324D-B79D-5E447CCF4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9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9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9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9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9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9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9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9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9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9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9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9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9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9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9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9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9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9DF"/>
    <w:rPr>
      <w:rFonts w:eastAsiaTheme="majorEastAsia" w:cstheme="majorBidi"/>
      <w:color w:val="272727" w:themeColor="text1" w:themeTint="D8"/>
    </w:rPr>
  </w:style>
  <w:style w:type="paragraph" w:styleId="Title">
    <w:name w:val="Title"/>
    <w:basedOn w:val="Normal"/>
    <w:next w:val="Normal"/>
    <w:link w:val="TitleChar"/>
    <w:uiPriority w:val="10"/>
    <w:qFormat/>
    <w:rsid w:val="008109D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9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9D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9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9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09DF"/>
    <w:rPr>
      <w:i/>
      <w:iCs/>
      <w:color w:val="404040" w:themeColor="text1" w:themeTint="BF"/>
    </w:rPr>
  </w:style>
  <w:style w:type="paragraph" w:styleId="ListParagraph">
    <w:name w:val="List Paragraph"/>
    <w:basedOn w:val="Normal"/>
    <w:uiPriority w:val="34"/>
    <w:qFormat/>
    <w:rsid w:val="008109DF"/>
    <w:pPr>
      <w:ind w:left="720"/>
      <w:contextualSpacing/>
    </w:pPr>
  </w:style>
  <w:style w:type="character" w:styleId="IntenseEmphasis">
    <w:name w:val="Intense Emphasis"/>
    <w:basedOn w:val="DefaultParagraphFont"/>
    <w:uiPriority w:val="21"/>
    <w:qFormat/>
    <w:rsid w:val="008109DF"/>
    <w:rPr>
      <w:i/>
      <w:iCs/>
      <w:color w:val="0F4761" w:themeColor="accent1" w:themeShade="BF"/>
    </w:rPr>
  </w:style>
  <w:style w:type="paragraph" w:styleId="IntenseQuote">
    <w:name w:val="Intense Quote"/>
    <w:basedOn w:val="Normal"/>
    <w:next w:val="Normal"/>
    <w:link w:val="IntenseQuoteChar"/>
    <w:uiPriority w:val="30"/>
    <w:qFormat/>
    <w:rsid w:val="008109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9DF"/>
    <w:rPr>
      <w:i/>
      <w:iCs/>
      <w:color w:val="0F4761" w:themeColor="accent1" w:themeShade="BF"/>
    </w:rPr>
  </w:style>
  <w:style w:type="character" w:styleId="IntenseReference">
    <w:name w:val="Intense Reference"/>
    <w:basedOn w:val="DefaultParagraphFont"/>
    <w:uiPriority w:val="32"/>
    <w:qFormat/>
    <w:rsid w:val="008109DF"/>
    <w:rPr>
      <w:b/>
      <w:bCs/>
      <w:smallCaps/>
      <w:color w:val="0F4761" w:themeColor="accent1" w:themeShade="BF"/>
      <w:spacing w:val="5"/>
    </w:rPr>
  </w:style>
  <w:style w:type="paragraph" w:styleId="Bibliography">
    <w:name w:val="Bibliography"/>
    <w:basedOn w:val="Normal"/>
    <w:next w:val="Normal"/>
    <w:uiPriority w:val="37"/>
    <w:unhideWhenUsed/>
    <w:rsid w:val="00516C24"/>
  </w:style>
  <w:style w:type="character" w:customStyle="1" w:styleId="normaltextrun">
    <w:name w:val="normaltextrun"/>
    <w:basedOn w:val="DefaultParagraphFont"/>
    <w:rsid w:val="00E85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5579">
      <w:bodyDiv w:val="1"/>
      <w:marLeft w:val="0"/>
      <w:marRight w:val="0"/>
      <w:marTop w:val="0"/>
      <w:marBottom w:val="0"/>
      <w:divBdr>
        <w:top w:val="none" w:sz="0" w:space="0" w:color="auto"/>
        <w:left w:val="none" w:sz="0" w:space="0" w:color="auto"/>
        <w:bottom w:val="none" w:sz="0" w:space="0" w:color="auto"/>
        <w:right w:val="none" w:sz="0" w:space="0" w:color="auto"/>
      </w:divBdr>
    </w:div>
    <w:div w:id="7681448">
      <w:bodyDiv w:val="1"/>
      <w:marLeft w:val="0"/>
      <w:marRight w:val="0"/>
      <w:marTop w:val="0"/>
      <w:marBottom w:val="0"/>
      <w:divBdr>
        <w:top w:val="none" w:sz="0" w:space="0" w:color="auto"/>
        <w:left w:val="none" w:sz="0" w:space="0" w:color="auto"/>
        <w:bottom w:val="none" w:sz="0" w:space="0" w:color="auto"/>
        <w:right w:val="none" w:sz="0" w:space="0" w:color="auto"/>
      </w:divBdr>
    </w:div>
    <w:div w:id="46802279">
      <w:bodyDiv w:val="1"/>
      <w:marLeft w:val="0"/>
      <w:marRight w:val="0"/>
      <w:marTop w:val="0"/>
      <w:marBottom w:val="0"/>
      <w:divBdr>
        <w:top w:val="none" w:sz="0" w:space="0" w:color="auto"/>
        <w:left w:val="none" w:sz="0" w:space="0" w:color="auto"/>
        <w:bottom w:val="none" w:sz="0" w:space="0" w:color="auto"/>
        <w:right w:val="none" w:sz="0" w:space="0" w:color="auto"/>
      </w:divBdr>
    </w:div>
    <w:div w:id="65500937">
      <w:bodyDiv w:val="1"/>
      <w:marLeft w:val="0"/>
      <w:marRight w:val="0"/>
      <w:marTop w:val="0"/>
      <w:marBottom w:val="0"/>
      <w:divBdr>
        <w:top w:val="none" w:sz="0" w:space="0" w:color="auto"/>
        <w:left w:val="none" w:sz="0" w:space="0" w:color="auto"/>
        <w:bottom w:val="none" w:sz="0" w:space="0" w:color="auto"/>
        <w:right w:val="none" w:sz="0" w:space="0" w:color="auto"/>
      </w:divBdr>
    </w:div>
    <w:div w:id="84037504">
      <w:bodyDiv w:val="1"/>
      <w:marLeft w:val="0"/>
      <w:marRight w:val="0"/>
      <w:marTop w:val="0"/>
      <w:marBottom w:val="0"/>
      <w:divBdr>
        <w:top w:val="none" w:sz="0" w:space="0" w:color="auto"/>
        <w:left w:val="none" w:sz="0" w:space="0" w:color="auto"/>
        <w:bottom w:val="none" w:sz="0" w:space="0" w:color="auto"/>
        <w:right w:val="none" w:sz="0" w:space="0" w:color="auto"/>
      </w:divBdr>
    </w:div>
    <w:div w:id="125395053">
      <w:bodyDiv w:val="1"/>
      <w:marLeft w:val="0"/>
      <w:marRight w:val="0"/>
      <w:marTop w:val="0"/>
      <w:marBottom w:val="0"/>
      <w:divBdr>
        <w:top w:val="none" w:sz="0" w:space="0" w:color="auto"/>
        <w:left w:val="none" w:sz="0" w:space="0" w:color="auto"/>
        <w:bottom w:val="none" w:sz="0" w:space="0" w:color="auto"/>
        <w:right w:val="none" w:sz="0" w:space="0" w:color="auto"/>
      </w:divBdr>
    </w:div>
    <w:div w:id="168297079">
      <w:bodyDiv w:val="1"/>
      <w:marLeft w:val="0"/>
      <w:marRight w:val="0"/>
      <w:marTop w:val="0"/>
      <w:marBottom w:val="0"/>
      <w:divBdr>
        <w:top w:val="none" w:sz="0" w:space="0" w:color="auto"/>
        <w:left w:val="none" w:sz="0" w:space="0" w:color="auto"/>
        <w:bottom w:val="none" w:sz="0" w:space="0" w:color="auto"/>
        <w:right w:val="none" w:sz="0" w:space="0" w:color="auto"/>
      </w:divBdr>
    </w:div>
    <w:div w:id="171529236">
      <w:bodyDiv w:val="1"/>
      <w:marLeft w:val="0"/>
      <w:marRight w:val="0"/>
      <w:marTop w:val="0"/>
      <w:marBottom w:val="0"/>
      <w:divBdr>
        <w:top w:val="none" w:sz="0" w:space="0" w:color="auto"/>
        <w:left w:val="none" w:sz="0" w:space="0" w:color="auto"/>
        <w:bottom w:val="none" w:sz="0" w:space="0" w:color="auto"/>
        <w:right w:val="none" w:sz="0" w:space="0" w:color="auto"/>
      </w:divBdr>
    </w:div>
    <w:div w:id="206338403">
      <w:bodyDiv w:val="1"/>
      <w:marLeft w:val="0"/>
      <w:marRight w:val="0"/>
      <w:marTop w:val="0"/>
      <w:marBottom w:val="0"/>
      <w:divBdr>
        <w:top w:val="none" w:sz="0" w:space="0" w:color="auto"/>
        <w:left w:val="none" w:sz="0" w:space="0" w:color="auto"/>
        <w:bottom w:val="none" w:sz="0" w:space="0" w:color="auto"/>
        <w:right w:val="none" w:sz="0" w:space="0" w:color="auto"/>
      </w:divBdr>
    </w:div>
    <w:div w:id="217716568">
      <w:bodyDiv w:val="1"/>
      <w:marLeft w:val="0"/>
      <w:marRight w:val="0"/>
      <w:marTop w:val="0"/>
      <w:marBottom w:val="0"/>
      <w:divBdr>
        <w:top w:val="none" w:sz="0" w:space="0" w:color="auto"/>
        <w:left w:val="none" w:sz="0" w:space="0" w:color="auto"/>
        <w:bottom w:val="none" w:sz="0" w:space="0" w:color="auto"/>
        <w:right w:val="none" w:sz="0" w:space="0" w:color="auto"/>
      </w:divBdr>
    </w:div>
    <w:div w:id="357511426">
      <w:bodyDiv w:val="1"/>
      <w:marLeft w:val="0"/>
      <w:marRight w:val="0"/>
      <w:marTop w:val="0"/>
      <w:marBottom w:val="0"/>
      <w:divBdr>
        <w:top w:val="none" w:sz="0" w:space="0" w:color="auto"/>
        <w:left w:val="none" w:sz="0" w:space="0" w:color="auto"/>
        <w:bottom w:val="none" w:sz="0" w:space="0" w:color="auto"/>
        <w:right w:val="none" w:sz="0" w:space="0" w:color="auto"/>
      </w:divBdr>
    </w:div>
    <w:div w:id="403839244">
      <w:bodyDiv w:val="1"/>
      <w:marLeft w:val="0"/>
      <w:marRight w:val="0"/>
      <w:marTop w:val="0"/>
      <w:marBottom w:val="0"/>
      <w:divBdr>
        <w:top w:val="none" w:sz="0" w:space="0" w:color="auto"/>
        <w:left w:val="none" w:sz="0" w:space="0" w:color="auto"/>
        <w:bottom w:val="none" w:sz="0" w:space="0" w:color="auto"/>
        <w:right w:val="none" w:sz="0" w:space="0" w:color="auto"/>
      </w:divBdr>
    </w:div>
    <w:div w:id="419718114">
      <w:bodyDiv w:val="1"/>
      <w:marLeft w:val="0"/>
      <w:marRight w:val="0"/>
      <w:marTop w:val="0"/>
      <w:marBottom w:val="0"/>
      <w:divBdr>
        <w:top w:val="none" w:sz="0" w:space="0" w:color="auto"/>
        <w:left w:val="none" w:sz="0" w:space="0" w:color="auto"/>
        <w:bottom w:val="none" w:sz="0" w:space="0" w:color="auto"/>
        <w:right w:val="none" w:sz="0" w:space="0" w:color="auto"/>
      </w:divBdr>
    </w:div>
    <w:div w:id="421074775">
      <w:bodyDiv w:val="1"/>
      <w:marLeft w:val="0"/>
      <w:marRight w:val="0"/>
      <w:marTop w:val="0"/>
      <w:marBottom w:val="0"/>
      <w:divBdr>
        <w:top w:val="none" w:sz="0" w:space="0" w:color="auto"/>
        <w:left w:val="none" w:sz="0" w:space="0" w:color="auto"/>
        <w:bottom w:val="none" w:sz="0" w:space="0" w:color="auto"/>
        <w:right w:val="none" w:sz="0" w:space="0" w:color="auto"/>
      </w:divBdr>
    </w:div>
    <w:div w:id="491995595">
      <w:bodyDiv w:val="1"/>
      <w:marLeft w:val="0"/>
      <w:marRight w:val="0"/>
      <w:marTop w:val="0"/>
      <w:marBottom w:val="0"/>
      <w:divBdr>
        <w:top w:val="none" w:sz="0" w:space="0" w:color="auto"/>
        <w:left w:val="none" w:sz="0" w:space="0" w:color="auto"/>
        <w:bottom w:val="none" w:sz="0" w:space="0" w:color="auto"/>
        <w:right w:val="none" w:sz="0" w:space="0" w:color="auto"/>
      </w:divBdr>
    </w:div>
    <w:div w:id="512112300">
      <w:bodyDiv w:val="1"/>
      <w:marLeft w:val="0"/>
      <w:marRight w:val="0"/>
      <w:marTop w:val="0"/>
      <w:marBottom w:val="0"/>
      <w:divBdr>
        <w:top w:val="none" w:sz="0" w:space="0" w:color="auto"/>
        <w:left w:val="none" w:sz="0" w:space="0" w:color="auto"/>
        <w:bottom w:val="none" w:sz="0" w:space="0" w:color="auto"/>
        <w:right w:val="none" w:sz="0" w:space="0" w:color="auto"/>
      </w:divBdr>
    </w:div>
    <w:div w:id="536741738">
      <w:bodyDiv w:val="1"/>
      <w:marLeft w:val="0"/>
      <w:marRight w:val="0"/>
      <w:marTop w:val="0"/>
      <w:marBottom w:val="0"/>
      <w:divBdr>
        <w:top w:val="none" w:sz="0" w:space="0" w:color="auto"/>
        <w:left w:val="none" w:sz="0" w:space="0" w:color="auto"/>
        <w:bottom w:val="none" w:sz="0" w:space="0" w:color="auto"/>
        <w:right w:val="none" w:sz="0" w:space="0" w:color="auto"/>
      </w:divBdr>
    </w:div>
    <w:div w:id="610557063">
      <w:bodyDiv w:val="1"/>
      <w:marLeft w:val="0"/>
      <w:marRight w:val="0"/>
      <w:marTop w:val="0"/>
      <w:marBottom w:val="0"/>
      <w:divBdr>
        <w:top w:val="none" w:sz="0" w:space="0" w:color="auto"/>
        <w:left w:val="none" w:sz="0" w:space="0" w:color="auto"/>
        <w:bottom w:val="none" w:sz="0" w:space="0" w:color="auto"/>
        <w:right w:val="none" w:sz="0" w:space="0" w:color="auto"/>
      </w:divBdr>
    </w:div>
    <w:div w:id="612323011">
      <w:bodyDiv w:val="1"/>
      <w:marLeft w:val="0"/>
      <w:marRight w:val="0"/>
      <w:marTop w:val="0"/>
      <w:marBottom w:val="0"/>
      <w:divBdr>
        <w:top w:val="none" w:sz="0" w:space="0" w:color="auto"/>
        <w:left w:val="none" w:sz="0" w:space="0" w:color="auto"/>
        <w:bottom w:val="none" w:sz="0" w:space="0" w:color="auto"/>
        <w:right w:val="none" w:sz="0" w:space="0" w:color="auto"/>
      </w:divBdr>
    </w:div>
    <w:div w:id="636450733">
      <w:bodyDiv w:val="1"/>
      <w:marLeft w:val="0"/>
      <w:marRight w:val="0"/>
      <w:marTop w:val="0"/>
      <w:marBottom w:val="0"/>
      <w:divBdr>
        <w:top w:val="none" w:sz="0" w:space="0" w:color="auto"/>
        <w:left w:val="none" w:sz="0" w:space="0" w:color="auto"/>
        <w:bottom w:val="none" w:sz="0" w:space="0" w:color="auto"/>
        <w:right w:val="none" w:sz="0" w:space="0" w:color="auto"/>
      </w:divBdr>
    </w:div>
    <w:div w:id="638730837">
      <w:bodyDiv w:val="1"/>
      <w:marLeft w:val="0"/>
      <w:marRight w:val="0"/>
      <w:marTop w:val="0"/>
      <w:marBottom w:val="0"/>
      <w:divBdr>
        <w:top w:val="none" w:sz="0" w:space="0" w:color="auto"/>
        <w:left w:val="none" w:sz="0" w:space="0" w:color="auto"/>
        <w:bottom w:val="none" w:sz="0" w:space="0" w:color="auto"/>
        <w:right w:val="none" w:sz="0" w:space="0" w:color="auto"/>
      </w:divBdr>
    </w:div>
    <w:div w:id="641077825">
      <w:bodyDiv w:val="1"/>
      <w:marLeft w:val="0"/>
      <w:marRight w:val="0"/>
      <w:marTop w:val="0"/>
      <w:marBottom w:val="0"/>
      <w:divBdr>
        <w:top w:val="none" w:sz="0" w:space="0" w:color="auto"/>
        <w:left w:val="none" w:sz="0" w:space="0" w:color="auto"/>
        <w:bottom w:val="none" w:sz="0" w:space="0" w:color="auto"/>
        <w:right w:val="none" w:sz="0" w:space="0" w:color="auto"/>
      </w:divBdr>
    </w:div>
    <w:div w:id="659386174">
      <w:bodyDiv w:val="1"/>
      <w:marLeft w:val="0"/>
      <w:marRight w:val="0"/>
      <w:marTop w:val="0"/>
      <w:marBottom w:val="0"/>
      <w:divBdr>
        <w:top w:val="none" w:sz="0" w:space="0" w:color="auto"/>
        <w:left w:val="none" w:sz="0" w:space="0" w:color="auto"/>
        <w:bottom w:val="none" w:sz="0" w:space="0" w:color="auto"/>
        <w:right w:val="none" w:sz="0" w:space="0" w:color="auto"/>
      </w:divBdr>
    </w:div>
    <w:div w:id="667291476">
      <w:bodyDiv w:val="1"/>
      <w:marLeft w:val="0"/>
      <w:marRight w:val="0"/>
      <w:marTop w:val="0"/>
      <w:marBottom w:val="0"/>
      <w:divBdr>
        <w:top w:val="none" w:sz="0" w:space="0" w:color="auto"/>
        <w:left w:val="none" w:sz="0" w:space="0" w:color="auto"/>
        <w:bottom w:val="none" w:sz="0" w:space="0" w:color="auto"/>
        <w:right w:val="none" w:sz="0" w:space="0" w:color="auto"/>
      </w:divBdr>
    </w:div>
    <w:div w:id="681322194">
      <w:bodyDiv w:val="1"/>
      <w:marLeft w:val="0"/>
      <w:marRight w:val="0"/>
      <w:marTop w:val="0"/>
      <w:marBottom w:val="0"/>
      <w:divBdr>
        <w:top w:val="none" w:sz="0" w:space="0" w:color="auto"/>
        <w:left w:val="none" w:sz="0" w:space="0" w:color="auto"/>
        <w:bottom w:val="none" w:sz="0" w:space="0" w:color="auto"/>
        <w:right w:val="none" w:sz="0" w:space="0" w:color="auto"/>
      </w:divBdr>
    </w:div>
    <w:div w:id="707492689">
      <w:bodyDiv w:val="1"/>
      <w:marLeft w:val="0"/>
      <w:marRight w:val="0"/>
      <w:marTop w:val="0"/>
      <w:marBottom w:val="0"/>
      <w:divBdr>
        <w:top w:val="none" w:sz="0" w:space="0" w:color="auto"/>
        <w:left w:val="none" w:sz="0" w:space="0" w:color="auto"/>
        <w:bottom w:val="none" w:sz="0" w:space="0" w:color="auto"/>
        <w:right w:val="none" w:sz="0" w:space="0" w:color="auto"/>
      </w:divBdr>
    </w:div>
    <w:div w:id="720134836">
      <w:bodyDiv w:val="1"/>
      <w:marLeft w:val="0"/>
      <w:marRight w:val="0"/>
      <w:marTop w:val="0"/>
      <w:marBottom w:val="0"/>
      <w:divBdr>
        <w:top w:val="none" w:sz="0" w:space="0" w:color="auto"/>
        <w:left w:val="none" w:sz="0" w:space="0" w:color="auto"/>
        <w:bottom w:val="none" w:sz="0" w:space="0" w:color="auto"/>
        <w:right w:val="none" w:sz="0" w:space="0" w:color="auto"/>
      </w:divBdr>
    </w:div>
    <w:div w:id="721750999">
      <w:bodyDiv w:val="1"/>
      <w:marLeft w:val="0"/>
      <w:marRight w:val="0"/>
      <w:marTop w:val="0"/>
      <w:marBottom w:val="0"/>
      <w:divBdr>
        <w:top w:val="none" w:sz="0" w:space="0" w:color="auto"/>
        <w:left w:val="none" w:sz="0" w:space="0" w:color="auto"/>
        <w:bottom w:val="none" w:sz="0" w:space="0" w:color="auto"/>
        <w:right w:val="none" w:sz="0" w:space="0" w:color="auto"/>
      </w:divBdr>
    </w:div>
    <w:div w:id="722678588">
      <w:bodyDiv w:val="1"/>
      <w:marLeft w:val="0"/>
      <w:marRight w:val="0"/>
      <w:marTop w:val="0"/>
      <w:marBottom w:val="0"/>
      <w:divBdr>
        <w:top w:val="none" w:sz="0" w:space="0" w:color="auto"/>
        <w:left w:val="none" w:sz="0" w:space="0" w:color="auto"/>
        <w:bottom w:val="none" w:sz="0" w:space="0" w:color="auto"/>
        <w:right w:val="none" w:sz="0" w:space="0" w:color="auto"/>
      </w:divBdr>
    </w:div>
    <w:div w:id="731199310">
      <w:bodyDiv w:val="1"/>
      <w:marLeft w:val="0"/>
      <w:marRight w:val="0"/>
      <w:marTop w:val="0"/>
      <w:marBottom w:val="0"/>
      <w:divBdr>
        <w:top w:val="none" w:sz="0" w:space="0" w:color="auto"/>
        <w:left w:val="none" w:sz="0" w:space="0" w:color="auto"/>
        <w:bottom w:val="none" w:sz="0" w:space="0" w:color="auto"/>
        <w:right w:val="none" w:sz="0" w:space="0" w:color="auto"/>
      </w:divBdr>
    </w:div>
    <w:div w:id="733313526">
      <w:bodyDiv w:val="1"/>
      <w:marLeft w:val="0"/>
      <w:marRight w:val="0"/>
      <w:marTop w:val="0"/>
      <w:marBottom w:val="0"/>
      <w:divBdr>
        <w:top w:val="none" w:sz="0" w:space="0" w:color="auto"/>
        <w:left w:val="none" w:sz="0" w:space="0" w:color="auto"/>
        <w:bottom w:val="none" w:sz="0" w:space="0" w:color="auto"/>
        <w:right w:val="none" w:sz="0" w:space="0" w:color="auto"/>
      </w:divBdr>
    </w:div>
    <w:div w:id="736167809">
      <w:bodyDiv w:val="1"/>
      <w:marLeft w:val="0"/>
      <w:marRight w:val="0"/>
      <w:marTop w:val="0"/>
      <w:marBottom w:val="0"/>
      <w:divBdr>
        <w:top w:val="none" w:sz="0" w:space="0" w:color="auto"/>
        <w:left w:val="none" w:sz="0" w:space="0" w:color="auto"/>
        <w:bottom w:val="none" w:sz="0" w:space="0" w:color="auto"/>
        <w:right w:val="none" w:sz="0" w:space="0" w:color="auto"/>
      </w:divBdr>
    </w:div>
    <w:div w:id="764106697">
      <w:bodyDiv w:val="1"/>
      <w:marLeft w:val="0"/>
      <w:marRight w:val="0"/>
      <w:marTop w:val="0"/>
      <w:marBottom w:val="0"/>
      <w:divBdr>
        <w:top w:val="none" w:sz="0" w:space="0" w:color="auto"/>
        <w:left w:val="none" w:sz="0" w:space="0" w:color="auto"/>
        <w:bottom w:val="none" w:sz="0" w:space="0" w:color="auto"/>
        <w:right w:val="none" w:sz="0" w:space="0" w:color="auto"/>
      </w:divBdr>
    </w:div>
    <w:div w:id="860553827">
      <w:bodyDiv w:val="1"/>
      <w:marLeft w:val="0"/>
      <w:marRight w:val="0"/>
      <w:marTop w:val="0"/>
      <w:marBottom w:val="0"/>
      <w:divBdr>
        <w:top w:val="none" w:sz="0" w:space="0" w:color="auto"/>
        <w:left w:val="none" w:sz="0" w:space="0" w:color="auto"/>
        <w:bottom w:val="none" w:sz="0" w:space="0" w:color="auto"/>
        <w:right w:val="none" w:sz="0" w:space="0" w:color="auto"/>
      </w:divBdr>
    </w:div>
    <w:div w:id="876968453">
      <w:bodyDiv w:val="1"/>
      <w:marLeft w:val="0"/>
      <w:marRight w:val="0"/>
      <w:marTop w:val="0"/>
      <w:marBottom w:val="0"/>
      <w:divBdr>
        <w:top w:val="none" w:sz="0" w:space="0" w:color="auto"/>
        <w:left w:val="none" w:sz="0" w:space="0" w:color="auto"/>
        <w:bottom w:val="none" w:sz="0" w:space="0" w:color="auto"/>
        <w:right w:val="none" w:sz="0" w:space="0" w:color="auto"/>
      </w:divBdr>
    </w:div>
    <w:div w:id="877165820">
      <w:bodyDiv w:val="1"/>
      <w:marLeft w:val="0"/>
      <w:marRight w:val="0"/>
      <w:marTop w:val="0"/>
      <w:marBottom w:val="0"/>
      <w:divBdr>
        <w:top w:val="none" w:sz="0" w:space="0" w:color="auto"/>
        <w:left w:val="none" w:sz="0" w:space="0" w:color="auto"/>
        <w:bottom w:val="none" w:sz="0" w:space="0" w:color="auto"/>
        <w:right w:val="none" w:sz="0" w:space="0" w:color="auto"/>
      </w:divBdr>
    </w:div>
    <w:div w:id="889390297">
      <w:bodyDiv w:val="1"/>
      <w:marLeft w:val="0"/>
      <w:marRight w:val="0"/>
      <w:marTop w:val="0"/>
      <w:marBottom w:val="0"/>
      <w:divBdr>
        <w:top w:val="none" w:sz="0" w:space="0" w:color="auto"/>
        <w:left w:val="none" w:sz="0" w:space="0" w:color="auto"/>
        <w:bottom w:val="none" w:sz="0" w:space="0" w:color="auto"/>
        <w:right w:val="none" w:sz="0" w:space="0" w:color="auto"/>
      </w:divBdr>
    </w:div>
    <w:div w:id="929974031">
      <w:bodyDiv w:val="1"/>
      <w:marLeft w:val="0"/>
      <w:marRight w:val="0"/>
      <w:marTop w:val="0"/>
      <w:marBottom w:val="0"/>
      <w:divBdr>
        <w:top w:val="none" w:sz="0" w:space="0" w:color="auto"/>
        <w:left w:val="none" w:sz="0" w:space="0" w:color="auto"/>
        <w:bottom w:val="none" w:sz="0" w:space="0" w:color="auto"/>
        <w:right w:val="none" w:sz="0" w:space="0" w:color="auto"/>
      </w:divBdr>
    </w:div>
    <w:div w:id="984159412">
      <w:bodyDiv w:val="1"/>
      <w:marLeft w:val="0"/>
      <w:marRight w:val="0"/>
      <w:marTop w:val="0"/>
      <w:marBottom w:val="0"/>
      <w:divBdr>
        <w:top w:val="none" w:sz="0" w:space="0" w:color="auto"/>
        <w:left w:val="none" w:sz="0" w:space="0" w:color="auto"/>
        <w:bottom w:val="none" w:sz="0" w:space="0" w:color="auto"/>
        <w:right w:val="none" w:sz="0" w:space="0" w:color="auto"/>
      </w:divBdr>
    </w:div>
    <w:div w:id="992955263">
      <w:bodyDiv w:val="1"/>
      <w:marLeft w:val="0"/>
      <w:marRight w:val="0"/>
      <w:marTop w:val="0"/>
      <w:marBottom w:val="0"/>
      <w:divBdr>
        <w:top w:val="none" w:sz="0" w:space="0" w:color="auto"/>
        <w:left w:val="none" w:sz="0" w:space="0" w:color="auto"/>
        <w:bottom w:val="none" w:sz="0" w:space="0" w:color="auto"/>
        <w:right w:val="none" w:sz="0" w:space="0" w:color="auto"/>
      </w:divBdr>
    </w:div>
    <w:div w:id="1060321569">
      <w:bodyDiv w:val="1"/>
      <w:marLeft w:val="0"/>
      <w:marRight w:val="0"/>
      <w:marTop w:val="0"/>
      <w:marBottom w:val="0"/>
      <w:divBdr>
        <w:top w:val="none" w:sz="0" w:space="0" w:color="auto"/>
        <w:left w:val="none" w:sz="0" w:space="0" w:color="auto"/>
        <w:bottom w:val="none" w:sz="0" w:space="0" w:color="auto"/>
        <w:right w:val="none" w:sz="0" w:space="0" w:color="auto"/>
      </w:divBdr>
    </w:div>
    <w:div w:id="1113940712">
      <w:bodyDiv w:val="1"/>
      <w:marLeft w:val="0"/>
      <w:marRight w:val="0"/>
      <w:marTop w:val="0"/>
      <w:marBottom w:val="0"/>
      <w:divBdr>
        <w:top w:val="none" w:sz="0" w:space="0" w:color="auto"/>
        <w:left w:val="none" w:sz="0" w:space="0" w:color="auto"/>
        <w:bottom w:val="none" w:sz="0" w:space="0" w:color="auto"/>
        <w:right w:val="none" w:sz="0" w:space="0" w:color="auto"/>
      </w:divBdr>
    </w:div>
    <w:div w:id="1134250835">
      <w:bodyDiv w:val="1"/>
      <w:marLeft w:val="0"/>
      <w:marRight w:val="0"/>
      <w:marTop w:val="0"/>
      <w:marBottom w:val="0"/>
      <w:divBdr>
        <w:top w:val="none" w:sz="0" w:space="0" w:color="auto"/>
        <w:left w:val="none" w:sz="0" w:space="0" w:color="auto"/>
        <w:bottom w:val="none" w:sz="0" w:space="0" w:color="auto"/>
        <w:right w:val="none" w:sz="0" w:space="0" w:color="auto"/>
      </w:divBdr>
    </w:div>
    <w:div w:id="1145581207">
      <w:bodyDiv w:val="1"/>
      <w:marLeft w:val="0"/>
      <w:marRight w:val="0"/>
      <w:marTop w:val="0"/>
      <w:marBottom w:val="0"/>
      <w:divBdr>
        <w:top w:val="none" w:sz="0" w:space="0" w:color="auto"/>
        <w:left w:val="none" w:sz="0" w:space="0" w:color="auto"/>
        <w:bottom w:val="none" w:sz="0" w:space="0" w:color="auto"/>
        <w:right w:val="none" w:sz="0" w:space="0" w:color="auto"/>
      </w:divBdr>
    </w:div>
    <w:div w:id="1186165692">
      <w:bodyDiv w:val="1"/>
      <w:marLeft w:val="0"/>
      <w:marRight w:val="0"/>
      <w:marTop w:val="0"/>
      <w:marBottom w:val="0"/>
      <w:divBdr>
        <w:top w:val="none" w:sz="0" w:space="0" w:color="auto"/>
        <w:left w:val="none" w:sz="0" w:space="0" w:color="auto"/>
        <w:bottom w:val="none" w:sz="0" w:space="0" w:color="auto"/>
        <w:right w:val="none" w:sz="0" w:space="0" w:color="auto"/>
      </w:divBdr>
    </w:div>
    <w:div w:id="1244072404">
      <w:bodyDiv w:val="1"/>
      <w:marLeft w:val="0"/>
      <w:marRight w:val="0"/>
      <w:marTop w:val="0"/>
      <w:marBottom w:val="0"/>
      <w:divBdr>
        <w:top w:val="none" w:sz="0" w:space="0" w:color="auto"/>
        <w:left w:val="none" w:sz="0" w:space="0" w:color="auto"/>
        <w:bottom w:val="none" w:sz="0" w:space="0" w:color="auto"/>
        <w:right w:val="none" w:sz="0" w:space="0" w:color="auto"/>
      </w:divBdr>
    </w:div>
    <w:div w:id="1251230964">
      <w:bodyDiv w:val="1"/>
      <w:marLeft w:val="0"/>
      <w:marRight w:val="0"/>
      <w:marTop w:val="0"/>
      <w:marBottom w:val="0"/>
      <w:divBdr>
        <w:top w:val="none" w:sz="0" w:space="0" w:color="auto"/>
        <w:left w:val="none" w:sz="0" w:space="0" w:color="auto"/>
        <w:bottom w:val="none" w:sz="0" w:space="0" w:color="auto"/>
        <w:right w:val="none" w:sz="0" w:space="0" w:color="auto"/>
      </w:divBdr>
    </w:div>
    <w:div w:id="1258100842">
      <w:bodyDiv w:val="1"/>
      <w:marLeft w:val="0"/>
      <w:marRight w:val="0"/>
      <w:marTop w:val="0"/>
      <w:marBottom w:val="0"/>
      <w:divBdr>
        <w:top w:val="none" w:sz="0" w:space="0" w:color="auto"/>
        <w:left w:val="none" w:sz="0" w:space="0" w:color="auto"/>
        <w:bottom w:val="none" w:sz="0" w:space="0" w:color="auto"/>
        <w:right w:val="none" w:sz="0" w:space="0" w:color="auto"/>
      </w:divBdr>
    </w:div>
    <w:div w:id="1260675168">
      <w:bodyDiv w:val="1"/>
      <w:marLeft w:val="0"/>
      <w:marRight w:val="0"/>
      <w:marTop w:val="0"/>
      <w:marBottom w:val="0"/>
      <w:divBdr>
        <w:top w:val="none" w:sz="0" w:space="0" w:color="auto"/>
        <w:left w:val="none" w:sz="0" w:space="0" w:color="auto"/>
        <w:bottom w:val="none" w:sz="0" w:space="0" w:color="auto"/>
        <w:right w:val="none" w:sz="0" w:space="0" w:color="auto"/>
      </w:divBdr>
    </w:div>
    <w:div w:id="1278100342">
      <w:bodyDiv w:val="1"/>
      <w:marLeft w:val="0"/>
      <w:marRight w:val="0"/>
      <w:marTop w:val="0"/>
      <w:marBottom w:val="0"/>
      <w:divBdr>
        <w:top w:val="none" w:sz="0" w:space="0" w:color="auto"/>
        <w:left w:val="none" w:sz="0" w:space="0" w:color="auto"/>
        <w:bottom w:val="none" w:sz="0" w:space="0" w:color="auto"/>
        <w:right w:val="none" w:sz="0" w:space="0" w:color="auto"/>
      </w:divBdr>
    </w:div>
    <w:div w:id="1283925867">
      <w:bodyDiv w:val="1"/>
      <w:marLeft w:val="0"/>
      <w:marRight w:val="0"/>
      <w:marTop w:val="0"/>
      <w:marBottom w:val="0"/>
      <w:divBdr>
        <w:top w:val="none" w:sz="0" w:space="0" w:color="auto"/>
        <w:left w:val="none" w:sz="0" w:space="0" w:color="auto"/>
        <w:bottom w:val="none" w:sz="0" w:space="0" w:color="auto"/>
        <w:right w:val="none" w:sz="0" w:space="0" w:color="auto"/>
      </w:divBdr>
    </w:div>
    <w:div w:id="1288780525">
      <w:bodyDiv w:val="1"/>
      <w:marLeft w:val="0"/>
      <w:marRight w:val="0"/>
      <w:marTop w:val="0"/>
      <w:marBottom w:val="0"/>
      <w:divBdr>
        <w:top w:val="none" w:sz="0" w:space="0" w:color="auto"/>
        <w:left w:val="none" w:sz="0" w:space="0" w:color="auto"/>
        <w:bottom w:val="none" w:sz="0" w:space="0" w:color="auto"/>
        <w:right w:val="none" w:sz="0" w:space="0" w:color="auto"/>
      </w:divBdr>
    </w:div>
    <w:div w:id="1354722839">
      <w:bodyDiv w:val="1"/>
      <w:marLeft w:val="0"/>
      <w:marRight w:val="0"/>
      <w:marTop w:val="0"/>
      <w:marBottom w:val="0"/>
      <w:divBdr>
        <w:top w:val="none" w:sz="0" w:space="0" w:color="auto"/>
        <w:left w:val="none" w:sz="0" w:space="0" w:color="auto"/>
        <w:bottom w:val="none" w:sz="0" w:space="0" w:color="auto"/>
        <w:right w:val="none" w:sz="0" w:space="0" w:color="auto"/>
      </w:divBdr>
    </w:div>
    <w:div w:id="1441759194">
      <w:bodyDiv w:val="1"/>
      <w:marLeft w:val="0"/>
      <w:marRight w:val="0"/>
      <w:marTop w:val="0"/>
      <w:marBottom w:val="0"/>
      <w:divBdr>
        <w:top w:val="none" w:sz="0" w:space="0" w:color="auto"/>
        <w:left w:val="none" w:sz="0" w:space="0" w:color="auto"/>
        <w:bottom w:val="none" w:sz="0" w:space="0" w:color="auto"/>
        <w:right w:val="none" w:sz="0" w:space="0" w:color="auto"/>
      </w:divBdr>
    </w:div>
    <w:div w:id="1474373411">
      <w:bodyDiv w:val="1"/>
      <w:marLeft w:val="0"/>
      <w:marRight w:val="0"/>
      <w:marTop w:val="0"/>
      <w:marBottom w:val="0"/>
      <w:divBdr>
        <w:top w:val="none" w:sz="0" w:space="0" w:color="auto"/>
        <w:left w:val="none" w:sz="0" w:space="0" w:color="auto"/>
        <w:bottom w:val="none" w:sz="0" w:space="0" w:color="auto"/>
        <w:right w:val="none" w:sz="0" w:space="0" w:color="auto"/>
      </w:divBdr>
    </w:div>
    <w:div w:id="1474373537">
      <w:bodyDiv w:val="1"/>
      <w:marLeft w:val="0"/>
      <w:marRight w:val="0"/>
      <w:marTop w:val="0"/>
      <w:marBottom w:val="0"/>
      <w:divBdr>
        <w:top w:val="none" w:sz="0" w:space="0" w:color="auto"/>
        <w:left w:val="none" w:sz="0" w:space="0" w:color="auto"/>
        <w:bottom w:val="none" w:sz="0" w:space="0" w:color="auto"/>
        <w:right w:val="none" w:sz="0" w:space="0" w:color="auto"/>
      </w:divBdr>
    </w:div>
    <w:div w:id="1488403932">
      <w:bodyDiv w:val="1"/>
      <w:marLeft w:val="0"/>
      <w:marRight w:val="0"/>
      <w:marTop w:val="0"/>
      <w:marBottom w:val="0"/>
      <w:divBdr>
        <w:top w:val="none" w:sz="0" w:space="0" w:color="auto"/>
        <w:left w:val="none" w:sz="0" w:space="0" w:color="auto"/>
        <w:bottom w:val="none" w:sz="0" w:space="0" w:color="auto"/>
        <w:right w:val="none" w:sz="0" w:space="0" w:color="auto"/>
      </w:divBdr>
    </w:div>
    <w:div w:id="1508792326">
      <w:bodyDiv w:val="1"/>
      <w:marLeft w:val="0"/>
      <w:marRight w:val="0"/>
      <w:marTop w:val="0"/>
      <w:marBottom w:val="0"/>
      <w:divBdr>
        <w:top w:val="none" w:sz="0" w:space="0" w:color="auto"/>
        <w:left w:val="none" w:sz="0" w:space="0" w:color="auto"/>
        <w:bottom w:val="none" w:sz="0" w:space="0" w:color="auto"/>
        <w:right w:val="none" w:sz="0" w:space="0" w:color="auto"/>
      </w:divBdr>
    </w:div>
    <w:div w:id="1528257384">
      <w:bodyDiv w:val="1"/>
      <w:marLeft w:val="0"/>
      <w:marRight w:val="0"/>
      <w:marTop w:val="0"/>
      <w:marBottom w:val="0"/>
      <w:divBdr>
        <w:top w:val="none" w:sz="0" w:space="0" w:color="auto"/>
        <w:left w:val="none" w:sz="0" w:space="0" w:color="auto"/>
        <w:bottom w:val="none" w:sz="0" w:space="0" w:color="auto"/>
        <w:right w:val="none" w:sz="0" w:space="0" w:color="auto"/>
      </w:divBdr>
    </w:div>
    <w:div w:id="1530678881">
      <w:bodyDiv w:val="1"/>
      <w:marLeft w:val="0"/>
      <w:marRight w:val="0"/>
      <w:marTop w:val="0"/>
      <w:marBottom w:val="0"/>
      <w:divBdr>
        <w:top w:val="none" w:sz="0" w:space="0" w:color="auto"/>
        <w:left w:val="none" w:sz="0" w:space="0" w:color="auto"/>
        <w:bottom w:val="none" w:sz="0" w:space="0" w:color="auto"/>
        <w:right w:val="none" w:sz="0" w:space="0" w:color="auto"/>
      </w:divBdr>
    </w:div>
    <w:div w:id="1541285813">
      <w:bodyDiv w:val="1"/>
      <w:marLeft w:val="0"/>
      <w:marRight w:val="0"/>
      <w:marTop w:val="0"/>
      <w:marBottom w:val="0"/>
      <w:divBdr>
        <w:top w:val="none" w:sz="0" w:space="0" w:color="auto"/>
        <w:left w:val="none" w:sz="0" w:space="0" w:color="auto"/>
        <w:bottom w:val="none" w:sz="0" w:space="0" w:color="auto"/>
        <w:right w:val="none" w:sz="0" w:space="0" w:color="auto"/>
      </w:divBdr>
    </w:div>
    <w:div w:id="1544290367">
      <w:bodyDiv w:val="1"/>
      <w:marLeft w:val="0"/>
      <w:marRight w:val="0"/>
      <w:marTop w:val="0"/>
      <w:marBottom w:val="0"/>
      <w:divBdr>
        <w:top w:val="none" w:sz="0" w:space="0" w:color="auto"/>
        <w:left w:val="none" w:sz="0" w:space="0" w:color="auto"/>
        <w:bottom w:val="none" w:sz="0" w:space="0" w:color="auto"/>
        <w:right w:val="none" w:sz="0" w:space="0" w:color="auto"/>
      </w:divBdr>
    </w:div>
    <w:div w:id="1594782989">
      <w:bodyDiv w:val="1"/>
      <w:marLeft w:val="0"/>
      <w:marRight w:val="0"/>
      <w:marTop w:val="0"/>
      <w:marBottom w:val="0"/>
      <w:divBdr>
        <w:top w:val="none" w:sz="0" w:space="0" w:color="auto"/>
        <w:left w:val="none" w:sz="0" w:space="0" w:color="auto"/>
        <w:bottom w:val="none" w:sz="0" w:space="0" w:color="auto"/>
        <w:right w:val="none" w:sz="0" w:space="0" w:color="auto"/>
      </w:divBdr>
    </w:div>
    <w:div w:id="1657606780">
      <w:bodyDiv w:val="1"/>
      <w:marLeft w:val="0"/>
      <w:marRight w:val="0"/>
      <w:marTop w:val="0"/>
      <w:marBottom w:val="0"/>
      <w:divBdr>
        <w:top w:val="none" w:sz="0" w:space="0" w:color="auto"/>
        <w:left w:val="none" w:sz="0" w:space="0" w:color="auto"/>
        <w:bottom w:val="none" w:sz="0" w:space="0" w:color="auto"/>
        <w:right w:val="none" w:sz="0" w:space="0" w:color="auto"/>
      </w:divBdr>
    </w:div>
    <w:div w:id="1685938306">
      <w:bodyDiv w:val="1"/>
      <w:marLeft w:val="0"/>
      <w:marRight w:val="0"/>
      <w:marTop w:val="0"/>
      <w:marBottom w:val="0"/>
      <w:divBdr>
        <w:top w:val="none" w:sz="0" w:space="0" w:color="auto"/>
        <w:left w:val="none" w:sz="0" w:space="0" w:color="auto"/>
        <w:bottom w:val="none" w:sz="0" w:space="0" w:color="auto"/>
        <w:right w:val="none" w:sz="0" w:space="0" w:color="auto"/>
      </w:divBdr>
    </w:div>
    <w:div w:id="1737513386">
      <w:bodyDiv w:val="1"/>
      <w:marLeft w:val="0"/>
      <w:marRight w:val="0"/>
      <w:marTop w:val="0"/>
      <w:marBottom w:val="0"/>
      <w:divBdr>
        <w:top w:val="none" w:sz="0" w:space="0" w:color="auto"/>
        <w:left w:val="none" w:sz="0" w:space="0" w:color="auto"/>
        <w:bottom w:val="none" w:sz="0" w:space="0" w:color="auto"/>
        <w:right w:val="none" w:sz="0" w:space="0" w:color="auto"/>
      </w:divBdr>
    </w:div>
    <w:div w:id="1744377774">
      <w:bodyDiv w:val="1"/>
      <w:marLeft w:val="0"/>
      <w:marRight w:val="0"/>
      <w:marTop w:val="0"/>
      <w:marBottom w:val="0"/>
      <w:divBdr>
        <w:top w:val="none" w:sz="0" w:space="0" w:color="auto"/>
        <w:left w:val="none" w:sz="0" w:space="0" w:color="auto"/>
        <w:bottom w:val="none" w:sz="0" w:space="0" w:color="auto"/>
        <w:right w:val="none" w:sz="0" w:space="0" w:color="auto"/>
      </w:divBdr>
    </w:div>
    <w:div w:id="1750498091">
      <w:bodyDiv w:val="1"/>
      <w:marLeft w:val="0"/>
      <w:marRight w:val="0"/>
      <w:marTop w:val="0"/>
      <w:marBottom w:val="0"/>
      <w:divBdr>
        <w:top w:val="none" w:sz="0" w:space="0" w:color="auto"/>
        <w:left w:val="none" w:sz="0" w:space="0" w:color="auto"/>
        <w:bottom w:val="none" w:sz="0" w:space="0" w:color="auto"/>
        <w:right w:val="none" w:sz="0" w:space="0" w:color="auto"/>
      </w:divBdr>
    </w:div>
    <w:div w:id="1751195868">
      <w:bodyDiv w:val="1"/>
      <w:marLeft w:val="0"/>
      <w:marRight w:val="0"/>
      <w:marTop w:val="0"/>
      <w:marBottom w:val="0"/>
      <w:divBdr>
        <w:top w:val="none" w:sz="0" w:space="0" w:color="auto"/>
        <w:left w:val="none" w:sz="0" w:space="0" w:color="auto"/>
        <w:bottom w:val="none" w:sz="0" w:space="0" w:color="auto"/>
        <w:right w:val="none" w:sz="0" w:space="0" w:color="auto"/>
      </w:divBdr>
    </w:div>
    <w:div w:id="1779792311">
      <w:bodyDiv w:val="1"/>
      <w:marLeft w:val="0"/>
      <w:marRight w:val="0"/>
      <w:marTop w:val="0"/>
      <w:marBottom w:val="0"/>
      <w:divBdr>
        <w:top w:val="none" w:sz="0" w:space="0" w:color="auto"/>
        <w:left w:val="none" w:sz="0" w:space="0" w:color="auto"/>
        <w:bottom w:val="none" w:sz="0" w:space="0" w:color="auto"/>
        <w:right w:val="none" w:sz="0" w:space="0" w:color="auto"/>
      </w:divBdr>
    </w:div>
    <w:div w:id="1831943438">
      <w:bodyDiv w:val="1"/>
      <w:marLeft w:val="0"/>
      <w:marRight w:val="0"/>
      <w:marTop w:val="0"/>
      <w:marBottom w:val="0"/>
      <w:divBdr>
        <w:top w:val="none" w:sz="0" w:space="0" w:color="auto"/>
        <w:left w:val="none" w:sz="0" w:space="0" w:color="auto"/>
        <w:bottom w:val="none" w:sz="0" w:space="0" w:color="auto"/>
        <w:right w:val="none" w:sz="0" w:space="0" w:color="auto"/>
      </w:divBdr>
    </w:div>
    <w:div w:id="1921673560">
      <w:bodyDiv w:val="1"/>
      <w:marLeft w:val="0"/>
      <w:marRight w:val="0"/>
      <w:marTop w:val="0"/>
      <w:marBottom w:val="0"/>
      <w:divBdr>
        <w:top w:val="none" w:sz="0" w:space="0" w:color="auto"/>
        <w:left w:val="none" w:sz="0" w:space="0" w:color="auto"/>
        <w:bottom w:val="none" w:sz="0" w:space="0" w:color="auto"/>
        <w:right w:val="none" w:sz="0" w:space="0" w:color="auto"/>
      </w:divBdr>
    </w:div>
    <w:div w:id="1998072866">
      <w:bodyDiv w:val="1"/>
      <w:marLeft w:val="0"/>
      <w:marRight w:val="0"/>
      <w:marTop w:val="0"/>
      <w:marBottom w:val="0"/>
      <w:divBdr>
        <w:top w:val="none" w:sz="0" w:space="0" w:color="auto"/>
        <w:left w:val="none" w:sz="0" w:space="0" w:color="auto"/>
        <w:bottom w:val="none" w:sz="0" w:space="0" w:color="auto"/>
        <w:right w:val="none" w:sz="0" w:space="0" w:color="auto"/>
      </w:divBdr>
    </w:div>
    <w:div w:id="2006475899">
      <w:bodyDiv w:val="1"/>
      <w:marLeft w:val="0"/>
      <w:marRight w:val="0"/>
      <w:marTop w:val="0"/>
      <w:marBottom w:val="0"/>
      <w:divBdr>
        <w:top w:val="none" w:sz="0" w:space="0" w:color="auto"/>
        <w:left w:val="none" w:sz="0" w:space="0" w:color="auto"/>
        <w:bottom w:val="none" w:sz="0" w:space="0" w:color="auto"/>
        <w:right w:val="none" w:sz="0" w:space="0" w:color="auto"/>
      </w:divBdr>
    </w:div>
    <w:div w:id="2010714269">
      <w:bodyDiv w:val="1"/>
      <w:marLeft w:val="0"/>
      <w:marRight w:val="0"/>
      <w:marTop w:val="0"/>
      <w:marBottom w:val="0"/>
      <w:divBdr>
        <w:top w:val="none" w:sz="0" w:space="0" w:color="auto"/>
        <w:left w:val="none" w:sz="0" w:space="0" w:color="auto"/>
        <w:bottom w:val="none" w:sz="0" w:space="0" w:color="auto"/>
        <w:right w:val="none" w:sz="0" w:space="0" w:color="auto"/>
      </w:divBdr>
    </w:div>
    <w:div w:id="2031450194">
      <w:bodyDiv w:val="1"/>
      <w:marLeft w:val="0"/>
      <w:marRight w:val="0"/>
      <w:marTop w:val="0"/>
      <w:marBottom w:val="0"/>
      <w:divBdr>
        <w:top w:val="none" w:sz="0" w:space="0" w:color="auto"/>
        <w:left w:val="none" w:sz="0" w:space="0" w:color="auto"/>
        <w:bottom w:val="none" w:sz="0" w:space="0" w:color="auto"/>
        <w:right w:val="none" w:sz="0" w:space="0" w:color="auto"/>
      </w:divBdr>
    </w:div>
    <w:div w:id="2074549003">
      <w:bodyDiv w:val="1"/>
      <w:marLeft w:val="0"/>
      <w:marRight w:val="0"/>
      <w:marTop w:val="0"/>
      <w:marBottom w:val="0"/>
      <w:divBdr>
        <w:top w:val="none" w:sz="0" w:space="0" w:color="auto"/>
        <w:left w:val="none" w:sz="0" w:space="0" w:color="auto"/>
        <w:bottom w:val="none" w:sz="0" w:space="0" w:color="auto"/>
        <w:right w:val="none" w:sz="0" w:space="0" w:color="auto"/>
      </w:divBdr>
    </w:div>
    <w:div w:id="2076658299">
      <w:bodyDiv w:val="1"/>
      <w:marLeft w:val="0"/>
      <w:marRight w:val="0"/>
      <w:marTop w:val="0"/>
      <w:marBottom w:val="0"/>
      <w:divBdr>
        <w:top w:val="none" w:sz="0" w:space="0" w:color="auto"/>
        <w:left w:val="none" w:sz="0" w:space="0" w:color="auto"/>
        <w:bottom w:val="none" w:sz="0" w:space="0" w:color="auto"/>
        <w:right w:val="none" w:sz="0" w:space="0" w:color="auto"/>
      </w:divBdr>
    </w:div>
    <w:div w:id="212592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Bol18</b:Tag>
    <b:SourceType>BookSection</b:SourceType>
    <b:Guid>{A5B66851-0A52-5843-900F-84DB7EC1E4B2}</b:Guid>
    <b:Title>The Power of Metaphor</b:Title>
    <b:City>London</b:City>
    <b:Publisher>SAGE Publications</b:Publisher>
    <b:Year>2018</b:Year>
    <b:Author>
      <b:BookAuthor>
        <b:NameList>
          <b:Person>
            <b:Last>Bolton</b:Last>
            <b:First>Gillie</b:First>
          </b:Person>
          <b:Person>
            <b:Last>Delderfield</b:Last>
            <b:First>Russell</b:First>
          </b:Person>
        </b:NameList>
      </b:BookAuthor>
      <b:Author>
        <b:NameList>
          <b:Person>
            <b:Last>Bolton</b:Last>
            <b:First>Gillie</b:First>
          </b:Person>
          <b:Person>
            <b:Last>Delderfield</b:Last>
            <b:First>Russell</b:First>
          </b:Person>
        </b:NameList>
      </b:Author>
    </b:Author>
    <b:BookTitle>Reflective Practice: Writing and Professional Development</b:BookTitle>
    <b:Pages>121-134</b:Pages>
    <b:Volume>5</b:Volume>
    <b:RefOrder>14</b:RefOrder>
  </b:Source>
  <b:Source>
    <b:Tag>Gel12</b:Tag>
    <b:SourceType>JournalArticle</b:SourceType>
    <b:Guid>{47C0912C-910B-4B40-ADC1-1C02EDD9B97C}</b:Guid>
    <b:Title>Unconventional metaphors and emotional-cognitive regulation in a metacognitive interpersonal therapy</b:Title>
    <b:Year>2012</b:Year>
    <b:Pages>159-175</b:Pages>
    <b:JournalName>Psychotherapy Research</b:JournalName>
    <b:Month>March</b:Month>
    <b:Volume>22</b:Volume>
    <b:Issue>2</b:Issue>
    <b:Author>
      <b:Author>
        <b:NameList>
          <b:Person>
            <b:Last>Gelo</b:Last>
            <b:First>Omar</b:First>
            <b:Middle>Carlo Gioacchino</b:Middle>
          </b:Person>
          <b:Person>
            <b:Last>Mergenthaler</b:Last>
            <b:First>Erhard</b:First>
          </b:Person>
        </b:NameList>
      </b:Author>
    </b:Author>
    <b:RefOrder>15</b:RefOrder>
  </b:Source>
  <b:Source>
    <b:Tag>Bro98</b:Tag>
    <b:SourceType>JournalArticle</b:SourceType>
    <b:Guid>{6A164A82-EF9D-2A45-8F72-4314C4389814}</b:Guid>
    <b:Author>
      <b:Author>
        <b:NameList>
          <b:Person>
            <b:Last>Brookfield</b:Last>
            <b:First>Stephen</b:First>
          </b:Person>
        </b:NameList>
      </b:Author>
    </b:Author>
    <b:Title>Critically Reflective Practice</b:Title>
    <b:JournalName>The Journal of Continuing Education in the Health Professions</b:JournalName>
    <b:Year>1998</b:Year>
    <b:Pages>197-205</b:Pages>
    <b:Volume>18</b:Volume>
    <b:RefOrder>17</b:RefOrder>
  </b:Source>
  <b:Source>
    <b:Tag>Ole12</b:Tag>
    <b:SourceType>BookSection</b:SourceType>
    <b:Guid>{7B3B3CD8-2A91-1241-A522-88EB6456743A}</b:Guid>
    <b:Title>How to reflect: the reflective practicioner's toolkit</b:Title>
    <b:Year>2012</b:Year>
    <b:Pages>11-31</b:Pages>
    <b:Author>
      <b:Author>
        <b:NameList>
          <b:Person>
            <b:Last>Oleofsen</b:Last>
            <b:First>Natius</b:First>
          </b:Person>
        </b:NameList>
      </b:Author>
      <b:BookAuthor>
        <b:NameList>
          <b:Person>
            <b:Last>Oleofsen</b:Last>
            <b:First>Natius</b:First>
          </b:Person>
        </b:NameList>
      </b:BookAuthor>
    </b:Author>
    <b:BookTitle>Developing Reflective Practice: A Guide for Students and Practitioners of Health and Social Care</b:BookTitle>
    <b:Publisher>Lantern Publishing Ltd</b:Publisher>
    <b:RefOrder>18</b:RefOrder>
  </b:Source>
  <b:Source>
    <b:Tag>Ong11</b:Tag>
    <b:SourceType>JournalArticle</b:SourceType>
    <b:Guid>{549D4EF7-8472-A149-8F13-4B76E744F71B}</b:Guid>
    <b:Author>
      <b:Author>
        <b:NameList>
          <b:Person>
            <b:Last>Ong</b:Last>
            <b:First>Keith</b:First>
          </b:Person>
        </b:NameList>
      </b:Author>
    </b:Author>
    <b:Title>Reflection for action in the medical field</b:Title>
    <b:Year>2011</b:Year>
    <b:Pages>144-149</b:Pages>
    <b:JournalName>Reflective Practice: International and Multidisciplinary Perspectives</b:JournalName>
    <b:Month>June</b:Month>
    <b:Day>14</b:Day>
    <b:Volume>12</b:Volume>
    <b:Issue>1</b:Issue>
    <b:RefOrder>16</b:RefOrder>
  </b:Source>
  <b:Source>
    <b:Tag>Fer11</b:Tag>
    <b:SourceType>JournalArticle</b:SourceType>
    <b:Guid>{F9FF7C20-AE64-6C49-BCB1-B84EA4F8D514}</b:Guid>
    <b:Author>
      <b:Author>
        <b:NameList>
          <b:Person>
            <b:Last>Fernando</b:Last>
            <b:First>Sunera</b:First>
          </b:Person>
        </b:NameList>
      </b:Author>
    </b:Author>
    <b:Title>Communications Skills and Counselling</b:Title>
    <b:JournalName>Sri Lanka Journal of Obstetrics and Gynaecology</b:JournalName>
    <b:Year>2011</b:Year>
    <b:Pages>69-71</b:Pages>
    <b:RefOrder>19</b:RefOrder>
  </b:Source>
  <b:Source>
    <b:Tag>Osb13</b:Tag>
    <b:SourceType>JournalArticle</b:SourceType>
    <b:Guid>{954C642F-A5FA-8C44-A16B-1EA8F06252B2}</b:Guid>
    <b:Author>
      <b:Author>
        <b:NameList>
          <b:Person>
            <b:Last>Osborn</b:Last>
            <b:First>D.</b:First>
            <b:Middle>S.</b:Middle>
          </b:Person>
          <b:Person>
            <b:Last>Costas</b:Last>
            <b:First>L.</b:First>
          </b:Person>
        </b:NameList>
      </b:Author>
    </b:Author>
    <b:Title>Role-Playing in Counselor Student Development</b:Title>
    <b:JournalName>Journal of Creativity in Mental Health</b:JournalName>
    <b:Year>2013</b:Year>
    <b:Pages>92-103</b:Pages>
    <b:Volume>8</b:Volume>
    <b:Issue>1</b:Issue>
    <b:RefOrder>7</b:RefOrder>
  </b:Source>
  <b:Source>
    <b:Tag>Gib88</b:Tag>
    <b:SourceType>Book</b:SourceType>
    <b:Guid>{76514B32-E80B-964A-A6DD-69676813D569}</b:Guid>
    <b:Author>
      <b:Author>
        <b:NameList>
          <b:Person>
            <b:Last>Gibbs</b:Last>
            <b:First>Graham</b:First>
          </b:Person>
        </b:NameList>
      </b:Author>
    </b:Author>
    <b:Title>Learning by Doing: A Guide to Teaching and Learning Methods</b:Title>
    <b:Year>1988</b:Year>
    <b:City>Oxford</b:City>
    <b:Publisher>Creative Commons</b:Publisher>
    <b:RefOrder>20</b:RefOrder>
  </b:Source>
  <b:Source>
    <b:Tag>Stu24</b:Tag>
    <b:SourceType>JournalArticle</b:SourceType>
    <b:Guid>{4F9B36CB-96E5-8D4C-AEE1-D18CB4F93B48}</b:Guid>
    <b:Title>Imagination and metaphor in narrative therapy and collective practice</b:Title>
    <b:Year>2024</b:Year>
    <b:Author>
      <b:Author>
        <b:NameList>
          <b:Person>
            <b:Last>Stubley</b:Last>
            <b:First>John.</b:First>
          </b:Person>
        </b:NameList>
      </b:Author>
    </b:Author>
    <b:JournalName>International Journal of Narrative Therapy and Community Work</b:JournalName>
    <b:Pages>84-95</b:Pages>
    <b:RefOrder>21</b:RefOrder>
  </b:Source>
  <b:Source>
    <b:Tag>Mid15</b:Tag>
    <b:SourceType>BookSection</b:SourceType>
    <b:Guid>{558EF253-D9C4-6B4C-A658-33C5DFF6637E}</b:Guid>
    <b:Title>Developing the relationship</b:Title>
    <b:Year>2015</b:Year>
    <b:Pages>47-63</b:Pages>
    <b:Author>
      <b:Author>
        <b:NameList>
          <b:Person>
            <b:Last>Midwinter</b:Last>
            <b:First>R.</b:First>
          </b:Person>
          <b:Person>
            <b:Last>Dickson</b:Last>
            <b:First>J.</b:First>
          </b:Person>
        </b:NameList>
      </b:Author>
      <b:BookAuthor>
        <b:NameList>
          <b:Person>
            <b:Last>Midwinter</b:Last>
            <b:First>R.</b:First>
          </b:Person>
          <b:Person>
            <b:Last>Dickson</b:Last>
            <b:First>J.</b:First>
          </b:Person>
        </b:NameList>
      </b:BookAuthor>
    </b:Author>
    <b:BookTitle>Embedding counselling and communication skills : a relational skills model</b:BookTitle>
    <b:Publisher>Routledge</b:Publisher>
    <b:RefOrder>22</b:RefOrder>
  </b:Source>
  <b:Source>
    <b:Tag>Kno08</b:Tag>
    <b:SourceType>JournalArticle</b:SourceType>
    <b:Guid>{07F11AD7-7EA5-9E4F-B756-619F9E914647}</b:Guid>
    <b:Title>Clients’ experiences of relational depth in person-centred counselling</b:Title>
    <b:Year>2008</b:Year>
    <b:Pages>182-188</b:Pages>
    <b:Author>
      <b:Author>
        <b:NameList>
          <b:Person>
            <b:Last>Knox</b:Last>
            <b:First>Rosanne</b:First>
          </b:Person>
        </b:NameList>
      </b:Author>
    </b:Author>
    <b:JournalName>Counselling and Psychotherapy Research: Linking Research with Practice</b:JournalName>
    <b:RefOrder>6</b:RefOrder>
  </b:Source>
  <b:Source>
    <b:Tag>Kim20</b:Tag>
    <b:SourceType>JournalArticle</b:SourceType>
    <b:Guid>{2BF512A8-3E21-EF42-A311-76AFAB31AA2B}</b:Guid>
    <b:Author>
      <b:Author>
        <b:NameList>
          <b:Person>
            <b:Last>Kim</b:Last>
            <b:First>J.</b:First>
          </b:Person>
          <b:Person>
            <b:Last>Joseph</b:Last>
            <b:First>S.</b:First>
          </b:Person>
          <b:Person>
            <b:Last>Price</b:Last>
            <b:First>S.</b:First>
          </b:Person>
        </b:NameList>
      </b:Author>
    </b:Author>
    <b:Title>The positive psychology of relational depth and its association with unconditional positive self-regard and authenticity</b:Title>
    <b:JournalName>Person-Centered &amp; Experiential Psychotherapies</b:JournalName>
    <b:Year>2020</b:Year>
    <b:Pages>12-21</b:Pages>
    <b:RefOrder>23</b:RefOrder>
  </b:Source>
  <b:Source>
    <b:Tag>Rod57</b:Tag>
    <b:SourceType>JournalArticle</b:SourceType>
    <b:Guid>{79A6533E-2CD1-E34F-BEEB-C11241D27903}</b:Guid>
    <b:Author>
      <b:Author>
        <b:NameList>
          <b:Person>
            <b:Last>Rodgers</b:Last>
            <b:First>C.</b:First>
          </b:Person>
        </b:NameList>
      </b:Author>
    </b:Author>
    <b:Title>The necessary and sufficient conditions of therapeutic personality change</b:Title>
    <b:JournalName>Journal of Consulting Psychology</b:JournalName>
    <b:Year>1957</b:Year>
    <b:Pages>95-103</b:Pages>
    <b:RefOrder>5</b:RefOrder>
  </b:Source>
  <b:Source>
    <b:Tag>Mid151</b:Tag>
    <b:SourceType>BookSection</b:SourceType>
    <b:Guid>{FFBD6757-A567-2F42-B0B0-0D74CC01AFF5}</b:Guid>
    <b:Title>Becoming a reflexive practitioner</b:Title>
    <b:Year>2015</b:Year>
    <b:Pages>184-200</b:Pages>
    <b:Author>
      <b:Author>
        <b:NameList>
          <b:Person>
            <b:Last>Midwinter</b:Last>
            <b:First>R</b:First>
          </b:Person>
          <b:Person>
            <b:Last>Dickson</b:Last>
            <b:First>J.</b:First>
          </b:Person>
        </b:NameList>
      </b:Author>
      <b:BookAuthor>
        <b:NameList>
          <b:Person>
            <b:Last>Midwinter</b:Last>
            <b:First>R</b:First>
          </b:Person>
          <b:Person>
            <b:Last>Dickson</b:Last>
            <b:First>J.</b:First>
          </b:Person>
        </b:NameList>
      </b:BookAuthor>
    </b:Author>
    <b:BookTitle>Embedding Counselling and Communication Skills : A Relational Skills Model </b:BookTitle>
    <b:Publisher>Routledge</b:Publisher>
    <b:RefOrder>24</b:RefOrder>
  </b:Source>
  <b:Source>
    <b:Tag>Abi23</b:Tag>
    <b:SourceType>JournalArticle</b:SourceType>
    <b:Guid>{F273C68A-30F5-E44B-9E54-8A71D95C4665}</b:Guid>
    <b:Title>The significance of empathy in the counselling process on clients</b:Title>
    <b:City>Turkey</b:City>
    <b:Year>2023</b:Year>
    <b:Pages>1-10</b:Pages>
    <b:JournalName>7th International Congress on Medical and Health Sciences</b:JournalName>
    <b:ConferenceName>7th International Congress on Medical and Health Sciences</b:ConferenceName>
    <b:Author>
      <b:Author>
        <b:NameList>
          <b:Person>
            <b:Last>Abidogun</b:Last>
            <b:First>M</b:First>
          </b:Person>
          <b:Person>
            <b:Last>Mumuni</b:Last>
            <b:First>M</b:First>
          </b:Person>
          <b:Person>
            <b:Last>Adetotun</b:Last>
            <b:First>K</b:First>
          </b:Person>
        </b:NameList>
      </b:Author>
    </b:Author>
    <b:RefOrder>8</b:RefOrder>
  </b:Source>
  <b:Source>
    <b:Tag>Nor07</b:Tag>
    <b:SourceType>JournalArticle</b:SourceType>
    <b:Guid>{97974BB0-EE11-C24F-8FE4-42A58C55BD96}</b:Guid>
    <b:Author>
      <b:Author>
        <b:NameList>
          <b:Person>
            <b:Last>Norfolk</b:Last>
            <b:First>T.</b:First>
          </b:Person>
          <b:Person>
            <b:Last>Birdi</b:Last>
            <b:First>K.</b:First>
          </b:Person>
          <b:Person>
            <b:Last>Walsh</b:Last>
            <b:First>D.</b:First>
          </b:Person>
        </b:NameList>
      </b:Author>
    </b:Author>
    <b:Title>The role of empathy in establishing rapport in the consultation: a new model</b:Title>
    <b:JournalName>Medical Education</b:JournalName>
    <b:Year>2007</b:Year>
    <b:Pages>690-697</b:Pages>
    <b:Volume>41</b:Volume>
    <b:Issue>7</b:Issue>
    <b:RefOrder>9</b:RefOrder>
  </b:Source>
  <b:Source>
    <b:Tag>Ell18</b:Tag>
    <b:SourceType>JournalArticle</b:SourceType>
    <b:Guid>{894003D9-9966-1643-99F8-B76285629B24}</b:Guid>
    <b:Author>
      <b:Author>
        <b:NameList>
          <b:Person>
            <b:Last>Elliott</b:Last>
            <b:First>R.</b:First>
          </b:Person>
          <b:Person>
            <b:Last>Bohart</b:Last>
            <b:First>A.</b:First>
          </b:Person>
          <b:Person>
            <b:Last>Watson</b:Last>
            <b:First>J.</b:First>
          </b:Person>
          <b:Person>
            <b:Last>Murphy</b:Last>
            <b:First>D.</b:First>
          </b:Person>
        </b:NameList>
      </b:Author>
    </b:Author>
    <b:Title>Therapist empathy and client outcome: An updated meta-analysis.</b:Title>
    <b:JournalName>Psychotherapy,</b:JournalName>
    <b:Year>2018</b:Year>
    <b:Pages>399–410</b:Pages>
    <b:Volume>55</b:Volume>
    <b:Issue>4</b:Issue>
    <b:RefOrder>10</b:RefOrder>
  </b:Source>
  <b:Source>
    <b:Tag>Pal24</b:Tag>
    <b:SourceType>JournalArticle</b:SourceType>
    <b:Guid>{47D7E6FE-54B0-9440-8ED8-941A3FBD5F88}</b:Guid>
    <b:Author>
      <b:Author>
        <b:NameList>
          <b:Person>
            <b:Last>Palumbo</b:Last>
            <b:First>A.</b:First>
          </b:Person>
          <b:Person>
            <b:Last>Wezyk</b:Last>
            <b:First>A.</b:First>
          </b:Person>
          <b:Person>
            <b:Last>Woodward</b:Last>
            <b:First>A.</b:First>
          </b:Person>
          <b:Person>
            <b:Last>Panourgia</b:Last>
            <b:First>C.</b:First>
          </b:Person>
        </b:NameList>
      </b:Author>
    </b:Author>
    <b:Title>The empathetic landscape: Examining the role of empathy in the well-being of counsellors and psychotherapists working with trauma</b:Title>
    <b:JournalName>Counselling and Psychotherapy Research</b:JournalName>
    <b:Year>2024</b:Year>
    <b:Pages>1404–1414</b:Pages>
    <b:RefOrder>11</b:RefOrder>
  </b:Source>
  <b:Source>
    <b:Tag>Bar20</b:Tag>
    <b:SourceType>JournalArticle</b:SourceType>
    <b:Guid>{68280040-3F15-084D-A972-9040289474BB}</b:Guid>
    <b:Author>
      <b:Author>
        <b:NameList>
          <b:Person>
            <b:Last>Barton</b:Last>
            <b:First>H.</b:First>
          </b:Person>
        </b:NameList>
      </b:Author>
    </b:Author>
    <b:Title>An exploration of the experiences that counsellors have of taking care of their own mental, emotional and spiritual well-being</b:Title>
    <b:JournalName>Counselling &amp; Psychotherapy Research: Linking research with practice</b:JournalName>
    <b:Year>2020</b:Year>
    <b:Pages>516-524</b:Pages>
    <b:Volume>20</b:Volume>
    <b:Issue>3</b:Issue>
    <b:RefOrder>25</b:RefOrder>
  </b:Source>
  <b:Source>
    <b:Tag>Mar18</b:Tag>
    <b:SourceType>JournalArticle</b:SourceType>
    <b:Guid>{13E39F2E-9923-C54B-8D93-6892167F9CFB}</b:Guid>
    <b:Author>
      <b:Author>
        <b:NameList>
          <b:Person>
            <b:Last>Martin-Cuellar</b:Last>
            <b:First>A.</b:First>
          </b:Person>
        </b:NameList>
      </b:Author>
    </b:Author>
    <b:Title>Self-Reflexivity Through Journaling: An Imperative Process for the Practicing Clinician</b:Title>
    <b:JournalName>The William &amp; Mary Educational Review</b:JournalName>
    <b:Year>2018</b:Year>
    <b:Pages>69-82</b:Pages>
    <b:RefOrder>1</b:RefOrder>
  </b:Source>
  <b:Source>
    <b:Tag>Lac22</b:Tag>
    <b:SourceType>JournalArticle</b:SourceType>
    <b:Guid>{9C561667-4DC5-1B4C-9041-DEF619A4428F}</b:Guid>
    <b:Author>
      <b:Author>
        <b:NameList>
          <b:Person>
            <b:Last>Lac</b:Last>
            <b:First>A.</b:First>
          </b:Person>
          <b:Person>
            <b:Last>Donaldson</b:Last>
            <b:First>C.</b:First>
          </b:Person>
        </b:NameList>
      </b:Author>
    </b:Author>
    <b:Title>Development and Validation of the Drama Triangle Scale: Are You a Victim, Rescuer, or Persecutor?</b:Title>
    <b:JournalName>Journal of interpersonal violence</b:JournalName>
    <b:Year>2022</b:Year>
    <b:Pages>4057-4081</b:Pages>
    <b:RefOrder>2</b:RefOrder>
  </b:Source>
  <b:Source>
    <b:Tag>Mil23</b:Tag>
    <b:SourceType>JournalArticle</b:SourceType>
    <b:Guid>{EEF21AF5-0257-A746-B0A0-34E241F1B854}</b:Guid>
    <b:Author>
      <b:Author>
        <b:NameList>
          <b:Person>
            <b:Last>Millard</b:Last>
            <b:First>L.</b:First>
          </b:Person>
          <b:Person>
            <b:Last>Wan</b:Last>
            <b:First>M.</b:First>
          </b:Person>
          <b:Person>
            <b:Last>Smith</b:Last>
            <b:First>D.</b:First>
          </b:Person>
          <b:Person>
            <b:Last>Wittkowski</b:Last>
            <b:First>A.</b:First>
          </b:Person>
        </b:NameList>
      </b:Author>
    </b:Author>
    <b:Title>The effectiveness of compassion focused therapy with clinical populations: A systematic review and meta-analysis</b:Title>
    <b:JournalName>Journal of Affective Disorders</b:JournalName>
    <b:Year>2023</b:Year>
    <b:Pages>168-192</b:Pages>
    <b:RefOrder>26</b:RefOrder>
  </b:Source>
  <b:Source>
    <b:Tag>Stu22</b:Tag>
    <b:SourceType>JournalArticle</b:SourceType>
    <b:Guid>{6E4F79CC-30B4-7140-8B94-D7F923E5B979}</b:Guid>
    <b:Author>
      <b:Author>
        <b:NameList>
          <b:Person>
            <b:Last>Stutts</b:Last>
            <b:First>L,</b:First>
          </b:Person>
        </b:NameList>
      </b:Author>
    </b:Author>
    <b:Title>Increasing Self-Compassion: Review of the Literature and Recommendations</b:Title>
    <b:JournalName>Journal of undergraduate neuroscience education</b:JournalName>
    <b:Year>2022</b:Year>
    <b:Pages>115-119</b:Pages>
    <b:RefOrder>3</b:RefOrder>
  </b:Source>
  <b:Source>
    <b:Tag>Gal15</b:Tag>
    <b:SourceType>JournalArticle</b:SourceType>
    <b:Guid>{01372452-F283-EF4C-924C-1C7788146186}</b:Guid>
    <b:Author>
      <b:Author>
        <b:NameList>
          <b:Person>
            <b:Last>Gale</b:Last>
            <b:First>C.</b:First>
          </b:Person>
          <b:Person>
            <b:Last>Schröder</b:Last>
            <b:First>T.</b:First>
          </b:Person>
          <b:Person>
            <b:Last>Gilbert</b:Last>
            <b:First>P.</b:First>
          </b:Person>
        </b:NameList>
      </b:Author>
    </b:Author>
    <b:Title>‘Do You Practice What You Preach?’ A Qualitative Exploration of Therapists' Personal Practice of Compassion Focused Therapy</b:Title>
    <b:JournalName>Clinical Psychology &amp; Psychotherapy</b:JournalName>
    <b:Year>2015</b:Year>
    <b:Pages>171-185</b:Pages>
    <b:RefOrder>4</b:RefOrder>
  </b:Source>
  <b:Source>
    <b:Tag>Sut14</b:Tag>
    <b:SourceType>JournalArticle</b:SourceType>
    <b:Guid>{4E4D0918-4E71-9340-AD7F-BC38FC62D606}</b:Guid>
    <b:Author>
      <b:Author>
        <b:NameList>
          <b:Person>
            <b:Last>Sutherland</b:Last>
            <b:First>O.</b:First>
          </b:Person>
          <b:Person>
            <b:Last>Peräkylä</b:Last>
            <b:First>A.</b:First>
          </b:Person>
          <b:Person>
            <b:Last>Elliott</b:Last>
            <b:First>R.</b:First>
          </b:Person>
        </b:NameList>
      </b:Author>
    </b:Author>
    <b:Title>Conversation analysis of the two-chair self-soothing task in emotion-focused therapy</b:Title>
    <b:JournalName>Psychotherapy Research</b:JournalName>
    <b:Year>2014</b:Year>
    <b:Pages>738-751</b:Pages>
    <b:RefOrder>27</b:RefOrder>
  </b:Source>
  <b:Source>
    <b:Tag>Gre16</b:Tag>
    <b:SourceType>Book</b:SourceType>
    <b:Guid>{DCCE55EA-61CB-A44B-BFAC-E6E6A194CBED}</b:Guid>
    <b:Author>
      <b:Author>
        <b:NameList>
          <b:Person>
            <b:Last>Greenberg</b:Last>
            <b:First>L.</b:First>
          </b:Person>
        </b:NameList>
      </b:Author>
    </b:Author>
    <b:Title>Emotion-Focused Therapy, Revised Edition</b:Title>
    <b:Year>2016</b:Year>
    <b:City>Ontario</b:City>
    <b:Publisher>American Psychological Association</b:Publisher>
    <b:RefOrder>12</b:RefOrder>
  </b:Source>
  <b:Source>
    <b:Tag>Moh22</b:Tag>
    <b:SourceType>JournalArticle</b:SourceType>
    <b:Guid>{DEDAA54B-DAD0-7549-BD56-C22E0C8E0105}</b:Guid>
    <b:Author>
      <b:Author>
        <b:NameList>
          <b:Person>
            <b:Last>Mohammadi</b:Last>
            <b:First>A.</b:First>
          </b:Person>
          <b:Person>
            <b:Last>Imani</b:Last>
            <b:First>S.</b:First>
          </b:Person>
          <b:Person>
            <b:Last>Khoshkonesh</b:Last>
            <b:First>A.</b:First>
          </b:Person>
        </b:NameList>
      </b:Author>
    </b:Author>
    <b:Title>The Comparing Effectiveness of Narrative Exposure Therapy and Emotion- Focused Couple Therapy on Loneliness and Marital Intimacy among Women Affected Infidelity</b:Title>
    <b:Publisher>2022</b:Publisher>
    <b:Year>2022</b:Year>
    <b:JournalName>Iranian Journal of Psychiatric Nursing</b:JournalName>
    <b:Pages>70-81</b:Pages>
    <b:RefOrder>13</b:RefOrder>
  </b:Source>
</b:Sources>
</file>

<file path=customXml/itemProps1.xml><?xml version="1.0" encoding="utf-8"?>
<ds:datastoreItem xmlns:ds="http://schemas.openxmlformats.org/officeDocument/2006/customXml" ds:itemID="{1B706497-C073-CD4F-BE5F-9E47EFE75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10</Pages>
  <Words>3037</Words>
  <Characters>17315</Characters>
  <Application>Microsoft Office Word</Application>
  <DocSecurity>0</DocSecurity>
  <Lines>144</Lines>
  <Paragraphs>40</Paragraphs>
  <ScaleCrop>false</ScaleCrop>
  <Company/>
  <LinksUpToDate>false</LinksUpToDate>
  <CharactersWithSpaces>20312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Phillips (2012754)</dc:creator>
  <cp:keywords/>
  <dc:description/>
  <cp:lastModifiedBy>Kayleigh Phillips (2012754)</cp:lastModifiedBy>
  <cp:revision>278</cp:revision>
  <dcterms:created xsi:type="dcterms:W3CDTF">2025-01-05T16:23:00Z</dcterms:created>
  <dcterms:modified xsi:type="dcterms:W3CDTF">2025-01-07T20:39:00Z</dcterms:modified>
</cp:coreProperties>
</file>