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3B8E92" w14:textId="77777777" w:rsidR="006F0FC2" w:rsidRPr="00081C83" w:rsidRDefault="006F0FC2" w:rsidP="006F0FC2">
      <w:pPr>
        <w:rPr>
          <w:sz w:val="28"/>
          <w:szCs w:val="28"/>
        </w:rPr>
      </w:pPr>
      <w:r w:rsidRPr="00081C83">
        <w:rPr>
          <w:sz w:val="28"/>
          <w:szCs w:val="28"/>
        </w:rPr>
        <w:t>Question 1</w:t>
      </w:r>
    </w:p>
    <w:p w14:paraId="2028CE8B" w14:textId="77777777" w:rsidR="00081C83" w:rsidRPr="00081C83" w:rsidRDefault="006F0FC2" w:rsidP="006F0FC2">
      <w:pPr>
        <w:rPr>
          <w:sz w:val="28"/>
          <w:szCs w:val="28"/>
        </w:rPr>
      </w:pPr>
      <w:r w:rsidRPr="00081C83">
        <w:rPr>
          <w:sz w:val="28"/>
          <w:szCs w:val="28"/>
        </w:rPr>
        <w:t>In February 2017, Celia won £12 million on the National Lottery competition. The following week, she decided to share some of her other property among her relatives.</w:t>
      </w:r>
    </w:p>
    <w:p w14:paraId="114B4C10" w14:textId="0DD21A8E" w:rsidR="00081C83" w:rsidRPr="00081C83" w:rsidRDefault="006F0FC2" w:rsidP="006F0FC2">
      <w:pPr>
        <w:rPr>
          <w:sz w:val="28"/>
          <w:szCs w:val="28"/>
        </w:rPr>
      </w:pPr>
      <w:r w:rsidRPr="00081C83">
        <w:rPr>
          <w:sz w:val="28"/>
          <w:szCs w:val="28"/>
        </w:rPr>
        <w:t xml:space="preserve">Under a trust set up by Celia’s father, trustees were holding a substantial trust fund on trust for Celia if she should attain the age of 30. Celia had her thirtieth birthday in January 2017. At a meeting of the trustees, she told them, ‘I want you to hold everything on trust for my son, Adam. Please see to the formalities.’ Celia took no further steps. </w:t>
      </w:r>
    </w:p>
    <w:p w14:paraId="23A573A9" w14:textId="77777777" w:rsidR="00081C83" w:rsidRPr="00081C83" w:rsidRDefault="006F0FC2" w:rsidP="006F0FC2">
      <w:pPr>
        <w:rPr>
          <w:sz w:val="28"/>
          <w:szCs w:val="28"/>
        </w:rPr>
      </w:pPr>
      <w:r w:rsidRPr="00081C83">
        <w:rPr>
          <w:sz w:val="28"/>
          <w:szCs w:val="28"/>
        </w:rPr>
        <w:t xml:space="preserve">Celia told her brother, Simon, that she was retiring from the family business, </w:t>
      </w:r>
      <w:proofErr w:type="spellStart"/>
      <w:r w:rsidRPr="00081C83">
        <w:rPr>
          <w:sz w:val="28"/>
          <w:szCs w:val="28"/>
        </w:rPr>
        <w:t>Ellco</w:t>
      </w:r>
      <w:proofErr w:type="spellEnd"/>
      <w:r w:rsidRPr="00081C83">
        <w:rPr>
          <w:sz w:val="28"/>
          <w:szCs w:val="28"/>
        </w:rPr>
        <w:t xml:space="preserve"> Ltd, and was giving him her shares so that he would get involved with the company. She sent a signed stock transfer form to Simon. No further action has been taken, because Celia could not find the share certificate. Simon had previously lent money to the company. </w:t>
      </w:r>
    </w:p>
    <w:p w14:paraId="7306EF2C" w14:textId="77777777" w:rsidR="00081C83" w:rsidRPr="00081C83" w:rsidRDefault="006F0FC2" w:rsidP="006F0FC2">
      <w:pPr>
        <w:rPr>
          <w:sz w:val="28"/>
          <w:szCs w:val="28"/>
        </w:rPr>
      </w:pPr>
      <w:r w:rsidRPr="00081C83">
        <w:rPr>
          <w:sz w:val="28"/>
          <w:szCs w:val="28"/>
        </w:rPr>
        <w:t xml:space="preserve">Celia wrote a letter to her cousin, Peter, saying that she was giving him her collection of paintings. Peter never got round to collecting the paintings. </w:t>
      </w:r>
    </w:p>
    <w:p w14:paraId="1593710F" w14:textId="77777777" w:rsidR="00081C83" w:rsidRPr="00081C83" w:rsidRDefault="006F0FC2" w:rsidP="006F0FC2">
      <w:pPr>
        <w:rPr>
          <w:sz w:val="28"/>
          <w:szCs w:val="28"/>
        </w:rPr>
      </w:pPr>
      <w:r w:rsidRPr="00081C83">
        <w:rPr>
          <w:sz w:val="28"/>
          <w:szCs w:val="28"/>
        </w:rPr>
        <w:t xml:space="preserve">Celia wrote a letter to her sister, Judith, saying, ‘I am hereby transferring Park House to you and I want you to hold it on trust for Anna if she attains the age of 25’. She enclosed an executed deed transferring the house to Judith. Anna is Judith’s 17 year old daughter. </w:t>
      </w:r>
    </w:p>
    <w:p w14:paraId="41A3F9CE" w14:textId="77777777" w:rsidR="00081C83" w:rsidRPr="00081C83" w:rsidRDefault="006F0FC2" w:rsidP="006F0FC2">
      <w:pPr>
        <w:rPr>
          <w:sz w:val="28"/>
          <w:szCs w:val="28"/>
        </w:rPr>
      </w:pPr>
      <w:r w:rsidRPr="00081C83">
        <w:rPr>
          <w:sz w:val="28"/>
          <w:szCs w:val="28"/>
        </w:rPr>
        <w:t xml:space="preserve">Celia died last week, having made a will in April 2017 leaving Park House and her paintings to her partner, Bill. She left the residue of her estate to Oxfam, a registered charity. She appointed her cousin, Peter, to be her executor. </w:t>
      </w:r>
    </w:p>
    <w:p w14:paraId="119EA208" w14:textId="77777777" w:rsidR="00081C83" w:rsidRDefault="006F0FC2" w:rsidP="006F0FC2">
      <w:pPr>
        <w:rPr>
          <w:sz w:val="28"/>
          <w:szCs w:val="28"/>
        </w:rPr>
      </w:pPr>
      <w:r w:rsidRPr="00081C83">
        <w:rPr>
          <w:sz w:val="28"/>
          <w:szCs w:val="28"/>
        </w:rPr>
        <w:t xml:space="preserve">Explain who is entitled to the property that Celia purported to dispose of during her lifetime. </w:t>
      </w:r>
    </w:p>
    <w:p w14:paraId="45E779CA" w14:textId="4FBC9B4C" w:rsidR="009257EB" w:rsidRPr="00081C83" w:rsidRDefault="006F0FC2" w:rsidP="006F0FC2">
      <w:pPr>
        <w:rPr>
          <w:sz w:val="28"/>
          <w:szCs w:val="28"/>
        </w:rPr>
      </w:pPr>
      <w:r w:rsidRPr="00081C83">
        <w:rPr>
          <w:sz w:val="28"/>
          <w:szCs w:val="28"/>
        </w:rPr>
        <w:t>(25 marks)</w:t>
      </w:r>
    </w:p>
    <w:p w14:paraId="09584AA6" w14:textId="77777777" w:rsidR="007D4982" w:rsidRDefault="007D4982" w:rsidP="006F0FC2">
      <w:pPr>
        <w:rPr>
          <w:sz w:val="28"/>
          <w:szCs w:val="28"/>
        </w:rPr>
      </w:pPr>
    </w:p>
    <w:p w14:paraId="4788C077" w14:textId="77777777" w:rsidR="007D4982" w:rsidRDefault="007D4982" w:rsidP="006F0FC2">
      <w:pPr>
        <w:rPr>
          <w:sz w:val="28"/>
          <w:szCs w:val="28"/>
        </w:rPr>
      </w:pPr>
    </w:p>
    <w:p w14:paraId="631A1989" w14:textId="77777777" w:rsidR="007D4982" w:rsidRDefault="007D4982" w:rsidP="006F0FC2">
      <w:pPr>
        <w:rPr>
          <w:sz w:val="28"/>
          <w:szCs w:val="28"/>
        </w:rPr>
      </w:pPr>
    </w:p>
    <w:p w14:paraId="2AE9D34E" w14:textId="77777777" w:rsidR="007D4982" w:rsidRDefault="007D4982" w:rsidP="006F0FC2">
      <w:pPr>
        <w:rPr>
          <w:sz w:val="28"/>
          <w:szCs w:val="28"/>
        </w:rPr>
      </w:pPr>
    </w:p>
    <w:p w14:paraId="52C10C18" w14:textId="77777777" w:rsidR="007D4982" w:rsidRDefault="007D4982" w:rsidP="006F0FC2">
      <w:pPr>
        <w:rPr>
          <w:sz w:val="28"/>
          <w:szCs w:val="28"/>
        </w:rPr>
      </w:pPr>
    </w:p>
    <w:p w14:paraId="5105DAAD" w14:textId="675C15E6" w:rsidR="00081C83" w:rsidRPr="007D4982" w:rsidRDefault="006F0FC2" w:rsidP="006F0FC2">
      <w:pPr>
        <w:rPr>
          <w:sz w:val="28"/>
          <w:szCs w:val="28"/>
        </w:rPr>
      </w:pPr>
      <w:r w:rsidRPr="007D4982">
        <w:rPr>
          <w:sz w:val="28"/>
          <w:szCs w:val="28"/>
        </w:rPr>
        <w:lastRenderedPageBreak/>
        <w:t xml:space="preserve">Question 2 </w:t>
      </w:r>
    </w:p>
    <w:p w14:paraId="72BFA685" w14:textId="77777777" w:rsidR="007D4982" w:rsidRPr="007D4982" w:rsidRDefault="006F0FC2" w:rsidP="006F0FC2">
      <w:pPr>
        <w:rPr>
          <w:sz w:val="28"/>
          <w:szCs w:val="28"/>
        </w:rPr>
      </w:pPr>
      <w:r w:rsidRPr="007D4982">
        <w:rPr>
          <w:sz w:val="28"/>
          <w:szCs w:val="28"/>
        </w:rPr>
        <w:t xml:space="preserve">Aziz shows you his will, which was drawn up by his nephew. He asks whether the provisions contained in the will (and set out below) are valid. </w:t>
      </w:r>
    </w:p>
    <w:p w14:paraId="490830EC" w14:textId="5A49B416" w:rsidR="007D4982" w:rsidRPr="007D4982" w:rsidRDefault="006F0FC2" w:rsidP="007D4982">
      <w:pPr>
        <w:pStyle w:val="ListParagraph"/>
        <w:numPr>
          <w:ilvl w:val="0"/>
          <w:numId w:val="1"/>
        </w:numPr>
        <w:rPr>
          <w:sz w:val="28"/>
          <w:szCs w:val="28"/>
        </w:rPr>
      </w:pPr>
      <w:r w:rsidRPr="007D4982">
        <w:rPr>
          <w:sz w:val="28"/>
          <w:szCs w:val="28"/>
        </w:rPr>
        <w:t xml:space="preserve">‘I give £50,000 to my sister, Fatima, knowing that she will continue to help with the rent and expenses of our mother, Zeinab, as I have done for the past few years.’ </w:t>
      </w:r>
    </w:p>
    <w:p w14:paraId="35D92C42" w14:textId="1B0C652A" w:rsidR="007D4982" w:rsidRPr="007D4982" w:rsidRDefault="006F0FC2" w:rsidP="007D4982">
      <w:pPr>
        <w:pStyle w:val="ListParagraph"/>
        <w:numPr>
          <w:ilvl w:val="0"/>
          <w:numId w:val="1"/>
        </w:numPr>
        <w:rPr>
          <w:sz w:val="28"/>
          <w:szCs w:val="28"/>
        </w:rPr>
      </w:pPr>
      <w:r w:rsidRPr="007D4982">
        <w:rPr>
          <w:sz w:val="28"/>
          <w:szCs w:val="28"/>
        </w:rPr>
        <w:t xml:space="preserve"> ‘I give £100,000 to the Hartley Cricket Club on trust to build new changing rooms at their cricket ground.’ </w:t>
      </w:r>
    </w:p>
    <w:p w14:paraId="428DC355" w14:textId="4CC4AF14" w:rsidR="007D4982" w:rsidRPr="007D4982" w:rsidRDefault="00966C1F" w:rsidP="007D4982">
      <w:pPr>
        <w:pStyle w:val="ListParagraph"/>
        <w:numPr>
          <w:ilvl w:val="0"/>
          <w:numId w:val="1"/>
        </w:numPr>
        <w:rPr>
          <w:sz w:val="28"/>
          <w:szCs w:val="28"/>
        </w:rPr>
      </w:pPr>
      <w:r>
        <w:rPr>
          <w:sz w:val="28"/>
          <w:szCs w:val="28"/>
        </w:rPr>
        <w:t xml:space="preserve"> </w:t>
      </w:r>
      <w:r w:rsidR="006F0FC2" w:rsidRPr="007D4982">
        <w:rPr>
          <w:sz w:val="28"/>
          <w:szCs w:val="28"/>
        </w:rPr>
        <w:t xml:space="preserve">‘I give the residue of my estate to my Trustee to hold on trust for such worthy young cricket players and in such shares as my Trustee shall, in his absolute discretion, think fit.’ </w:t>
      </w:r>
    </w:p>
    <w:p w14:paraId="1C145AF1" w14:textId="2F3577B9" w:rsidR="006F0FC2" w:rsidRPr="007D4982" w:rsidRDefault="006F0FC2" w:rsidP="007D4982">
      <w:pPr>
        <w:rPr>
          <w:sz w:val="28"/>
          <w:szCs w:val="28"/>
        </w:rPr>
      </w:pPr>
      <w:r w:rsidRPr="007D4982">
        <w:rPr>
          <w:sz w:val="28"/>
          <w:szCs w:val="28"/>
        </w:rPr>
        <w:t>Advise Aziz whether the provisions are valid and on any improvements you would make</w:t>
      </w:r>
      <w:r w:rsidR="007D4982" w:rsidRPr="007D4982">
        <w:rPr>
          <w:sz w:val="28"/>
          <w:szCs w:val="28"/>
        </w:rPr>
        <w:t>.</w:t>
      </w:r>
    </w:p>
    <w:p w14:paraId="313EBC24" w14:textId="5D8A1170" w:rsidR="007D4982" w:rsidRPr="007D4982" w:rsidRDefault="007D4982" w:rsidP="007D4982">
      <w:pPr>
        <w:rPr>
          <w:sz w:val="28"/>
          <w:szCs w:val="28"/>
        </w:rPr>
      </w:pPr>
      <w:r w:rsidRPr="007D4982">
        <w:rPr>
          <w:sz w:val="28"/>
          <w:szCs w:val="28"/>
        </w:rPr>
        <w:t>(25 marks)</w:t>
      </w:r>
    </w:p>
    <w:p w14:paraId="38728864" w14:textId="77777777" w:rsidR="007D4982" w:rsidRPr="00966C1F" w:rsidRDefault="00081C83" w:rsidP="006F0FC2">
      <w:pPr>
        <w:rPr>
          <w:b/>
          <w:bCs/>
          <w:sz w:val="28"/>
          <w:szCs w:val="28"/>
        </w:rPr>
      </w:pPr>
      <w:r w:rsidRPr="00966C1F">
        <w:rPr>
          <w:b/>
          <w:bCs/>
          <w:sz w:val="28"/>
          <w:szCs w:val="28"/>
        </w:rPr>
        <w:t xml:space="preserve">Question 1 </w:t>
      </w:r>
      <w:r w:rsidR="007D4982" w:rsidRPr="00966C1F">
        <w:rPr>
          <w:b/>
          <w:bCs/>
          <w:sz w:val="28"/>
          <w:szCs w:val="28"/>
        </w:rPr>
        <w:t>– suggested answer</w:t>
      </w:r>
    </w:p>
    <w:p w14:paraId="6EA7A506" w14:textId="77777777" w:rsidR="007D4982" w:rsidRPr="00966C1F" w:rsidRDefault="00081C83" w:rsidP="006F0FC2">
      <w:pPr>
        <w:rPr>
          <w:sz w:val="28"/>
          <w:szCs w:val="28"/>
        </w:rPr>
      </w:pPr>
      <w:r w:rsidRPr="00966C1F">
        <w:rPr>
          <w:sz w:val="28"/>
          <w:szCs w:val="28"/>
        </w:rPr>
        <w:t xml:space="preserve">The trust property </w:t>
      </w:r>
    </w:p>
    <w:p w14:paraId="3D8A6148" w14:textId="77777777" w:rsidR="007D4982" w:rsidRPr="00966C1F" w:rsidRDefault="00081C83" w:rsidP="006F0FC2">
      <w:pPr>
        <w:rPr>
          <w:sz w:val="28"/>
          <w:szCs w:val="28"/>
        </w:rPr>
      </w:pPr>
      <w:r w:rsidRPr="00966C1F">
        <w:rPr>
          <w:sz w:val="28"/>
          <w:szCs w:val="28"/>
        </w:rPr>
        <w:t xml:space="preserve">Celia owned an equitable interest in the trust property. The trust became a bare trust on Celia’s thirtieth birthday. However, the trustees do not appear to have transferred legal title to the trust property to Celia. Section 53(1)(c) LPA 1925 provides that in order to be valid, a disposition of a subsisting equitable interest must be in writing and signed by the person disposing of the same or by their agent authorised in writing. As a beneficiary under a bare trust, Celia was entitled to direct the trustees to hold on trust for another. According to Grey v IRC (1960) a direction to trustees to hold on trust for another is a disposition of the equitable interest and must comply with s53(1)(c). Celia’s oral direction was ineffective. The equitable interest will pass as part of her residue to Oxfam. </w:t>
      </w:r>
    </w:p>
    <w:p w14:paraId="4F0D8A82" w14:textId="77777777" w:rsidR="007D4982" w:rsidRPr="00966C1F" w:rsidRDefault="00081C83" w:rsidP="006F0FC2">
      <w:pPr>
        <w:rPr>
          <w:sz w:val="28"/>
          <w:szCs w:val="28"/>
        </w:rPr>
      </w:pPr>
      <w:r w:rsidRPr="00966C1F">
        <w:rPr>
          <w:sz w:val="28"/>
          <w:szCs w:val="28"/>
        </w:rPr>
        <w:t xml:space="preserve">Shares in </w:t>
      </w:r>
      <w:proofErr w:type="spellStart"/>
      <w:r w:rsidRPr="00966C1F">
        <w:rPr>
          <w:sz w:val="28"/>
          <w:szCs w:val="28"/>
        </w:rPr>
        <w:t>Ellco</w:t>
      </w:r>
      <w:proofErr w:type="spellEnd"/>
      <w:r w:rsidRPr="00966C1F">
        <w:rPr>
          <w:sz w:val="28"/>
          <w:szCs w:val="28"/>
        </w:rPr>
        <w:t xml:space="preserve"> Ltd</w:t>
      </w:r>
    </w:p>
    <w:p w14:paraId="405E16D2" w14:textId="77777777" w:rsidR="007D4982" w:rsidRPr="00966C1F" w:rsidRDefault="00081C83" w:rsidP="006F0FC2">
      <w:pPr>
        <w:rPr>
          <w:sz w:val="28"/>
          <w:szCs w:val="28"/>
        </w:rPr>
      </w:pPr>
      <w:r w:rsidRPr="00966C1F">
        <w:rPr>
          <w:sz w:val="28"/>
          <w:szCs w:val="28"/>
        </w:rPr>
        <w:t xml:space="preserve">In order to transfer legal title to shares, Celia should have sent a signed stock transfer form and the share certificate to Simon or the company. Legal title does not pass until the transferee is registered at the company. In this case, Simon has not acquired legal title. In Milroy v Lord (1862), it was held that equity regards the transfer as complete if the transferor has done everything necessary for them to do in order to transfer legal title. According to Re Rose </w:t>
      </w:r>
      <w:r w:rsidRPr="00966C1F">
        <w:rPr>
          <w:sz w:val="28"/>
          <w:szCs w:val="28"/>
        </w:rPr>
        <w:lastRenderedPageBreak/>
        <w:t xml:space="preserve">(1952), this point is reached when the transferor parts with the stock transfer form and share certificate beyond recall. In this case, the every effort test is not satisfied because Celia has not handed over the share certificate </w:t>
      </w:r>
    </w:p>
    <w:p w14:paraId="7A605D8B" w14:textId="77777777" w:rsidR="007D4982" w:rsidRPr="00966C1F" w:rsidRDefault="00081C83" w:rsidP="006F0FC2">
      <w:pPr>
        <w:rPr>
          <w:sz w:val="28"/>
          <w:szCs w:val="28"/>
        </w:rPr>
      </w:pPr>
      <w:r w:rsidRPr="00966C1F">
        <w:rPr>
          <w:sz w:val="28"/>
          <w:szCs w:val="28"/>
        </w:rPr>
        <w:t xml:space="preserve">Equity will also regard the transfer as complete if the stage has been reached when it would be unconscionable for the transferor to change his or her mind (Pennington v </w:t>
      </w:r>
      <w:proofErr w:type="spellStart"/>
      <w:r w:rsidRPr="00966C1F">
        <w:rPr>
          <w:sz w:val="28"/>
          <w:szCs w:val="28"/>
        </w:rPr>
        <w:t>Waine</w:t>
      </w:r>
      <w:proofErr w:type="spellEnd"/>
      <w:r w:rsidRPr="00966C1F">
        <w:rPr>
          <w:sz w:val="28"/>
          <w:szCs w:val="28"/>
        </w:rPr>
        <w:t xml:space="preserve"> (2002)). Pennington is a controversial decision. Lady Arden said that it was impossible to lay down a definitive list of factors making a withdrawal from the attempted gift unconscionable. The factors in Pennington itself were: the donor intended an immediate gift, she had told the </w:t>
      </w:r>
      <w:proofErr w:type="spellStart"/>
      <w:r w:rsidRPr="00966C1F">
        <w:rPr>
          <w:sz w:val="28"/>
          <w:szCs w:val="28"/>
        </w:rPr>
        <w:t>donee</w:t>
      </w:r>
      <w:proofErr w:type="spellEnd"/>
      <w:r w:rsidRPr="00966C1F">
        <w:rPr>
          <w:sz w:val="28"/>
          <w:szCs w:val="28"/>
        </w:rPr>
        <w:t xml:space="preserve"> of the gift, the company’s auditor had told the </w:t>
      </w:r>
      <w:proofErr w:type="spellStart"/>
      <w:r w:rsidRPr="00966C1F">
        <w:rPr>
          <w:sz w:val="28"/>
          <w:szCs w:val="28"/>
        </w:rPr>
        <w:t>donee</w:t>
      </w:r>
      <w:proofErr w:type="spellEnd"/>
      <w:r w:rsidRPr="00966C1F">
        <w:rPr>
          <w:sz w:val="28"/>
          <w:szCs w:val="28"/>
        </w:rPr>
        <w:t xml:space="preserve"> that there was nothing he needed to do, the </w:t>
      </w:r>
      <w:proofErr w:type="spellStart"/>
      <w:r w:rsidRPr="00966C1F">
        <w:rPr>
          <w:sz w:val="28"/>
          <w:szCs w:val="28"/>
        </w:rPr>
        <w:t>donee</w:t>
      </w:r>
      <w:proofErr w:type="spellEnd"/>
      <w:r w:rsidRPr="00966C1F">
        <w:rPr>
          <w:sz w:val="28"/>
          <w:szCs w:val="28"/>
        </w:rPr>
        <w:t xml:space="preserve"> had become a director on the faith of the intended gift. In Curtis v </w:t>
      </w:r>
      <w:proofErr w:type="spellStart"/>
      <w:r w:rsidRPr="00966C1F">
        <w:rPr>
          <w:sz w:val="28"/>
          <w:szCs w:val="28"/>
        </w:rPr>
        <w:t>Pulbrook</w:t>
      </w:r>
      <w:proofErr w:type="spellEnd"/>
      <w:r w:rsidRPr="00966C1F">
        <w:rPr>
          <w:sz w:val="28"/>
          <w:szCs w:val="28"/>
        </w:rPr>
        <w:t xml:space="preserve"> (2011), the judge said that Pennington was a case of proprietary estoppel, which applies where a person acts to their detriment in reliance on an assurance that they should have an interest in property. The loan will not be regarded as detriment because it was made before Simon was told of the gift. The facts do not tell us whether Simon has acted to his detriment. If he has not, it is unlikely that the promised gift will be saved and the shares will pass to Oxfam. </w:t>
      </w:r>
    </w:p>
    <w:p w14:paraId="170E06DE" w14:textId="77777777" w:rsidR="007D4982" w:rsidRPr="00966C1F" w:rsidRDefault="00081C83" w:rsidP="006F0FC2">
      <w:pPr>
        <w:rPr>
          <w:sz w:val="28"/>
          <w:szCs w:val="28"/>
        </w:rPr>
      </w:pPr>
      <w:r w:rsidRPr="00966C1F">
        <w:rPr>
          <w:sz w:val="28"/>
          <w:szCs w:val="28"/>
        </w:rPr>
        <w:t xml:space="preserve">The paintings </w:t>
      </w:r>
    </w:p>
    <w:p w14:paraId="78C20DB9" w14:textId="77777777" w:rsidR="00966C1F" w:rsidRPr="00966C1F" w:rsidRDefault="00081C83" w:rsidP="006F0FC2">
      <w:pPr>
        <w:rPr>
          <w:sz w:val="28"/>
          <w:szCs w:val="28"/>
        </w:rPr>
      </w:pPr>
      <w:r w:rsidRPr="00966C1F">
        <w:rPr>
          <w:sz w:val="28"/>
          <w:szCs w:val="28"/>
        </w:rPr>
        <w:t xml:space="preserve">Celia intended to make an outright gift of the paintings to Peter. Chattels can be transferred by physical delivery or by deed (Jaffa v Taylor House Gallery (1990)). The letter is unlikely to satisfy the requirements for a valid deed in s. 1 LP (MP) Act 1989 (in writing, shows that the parties intend it to be a deed and witnessed). The paintings have not been delivered to Peter. As Celia’s executor, Peter automatically acquired legal title to Celia’s assets when she died. Under Strong v Bird (1874), the gift is perfected if Celia intended an immediate unconditional gift in her lifetime and did not change her mind before she died. The facts suggest that Celia intended an immediate gift but that her intention did not continue until her death. Celia’s will leaving the paintings to Bill indicates that she changed her mind. Therefore, Peter cannot rely on Strong v Bird and the paintings will pass to Bill. The every effort test is not satisfied because Celia did not take the necessary steps to transfer title to the paintings. (There is no suggestion of unconscionability.) Park House Celia intended to transfer Park House to Judith to act as a trustee. For the trust to be valid, Celia must make a valid declaration of trust and transfer the property to the trustee in the correct manner in order to constitute the trust. In order for a </w:t>
      </w:r>
      <w:r w:rsidRPr="00966C1F">
        <w:rPr>
          <w:sz w:val="28"/>
          <w:szCs w:val="28"/>
        </w:rPr>
        <w:lastRenderedPageBreak/>
        <w:t>declaration of trust over land to be enforceable, the declaration must be evidenced in signed writing (s53(1)(b) LPA 1925). The letter would suffice assuming that Celia signed it. A deed is required to transfer the legal title to land (s52 Law of Property Act 1925) and the transferee must be registered at the Land Registry. This has not occurred. However, Celia did all that she needed to do in order to transfer legal title because she handed the deed to Judith. In these circumstances, equity regards the transfer as complete (</w:t>
      </w:r>
      <w:proofErr w:type="spellStart"/>
      <w:r w:rsidRPr="00966C1F">
        <w:rPr>
          <w:sz w:val="28"/>
          <w:szCs w:val="28"/>
        </w:rPr>
        <w:t>Mascall</w:t>
      </w:r>
      <w:proofErr w:type="spellEnd"/>
      <w:r w:rsidRPr="00966C1F">
        <w:rPr>
          <w:sz w:val="28"/>
          <w:szCs w:val="28"/>
        </w:rPr>
        <w:t xml:space="preserve"> v </w:t>
      </w:r>
      <w:proofErr w:type="spellStart"/>
      <w:r w:rsidRPr="00966C1F">
        <w:rPr>
          <w:sz w:val="28"/>
          <w:szCs w:val="28"/>
        </w:rPr>
        <w:t>Mascall</w:t>
      </w:r>
      <w:proofErr w:type="spellEnd"/>
      <w:r w:rsidRPr="00966C1F">
        <w:rPr>
          <w:sz w:val="28"/>
          <w:szCs w:val="28"/>
        </w:rPr>
        <w:t xml:space="preserve"> (1984). Judith can attend to registration. Having effectively created a trust, Celia was not able to dispose of Park House by will to Bill. </w:t>
      </w:r>
    </w:p>
    <w:p w14:paraId="4C4D0CB7" w14:textId="77777777" w:rsidR="00966C1F" w:rsidRPr="00966C1F" w:rsidRDefault="00081C83" w:rsidP="006F0FC2">
      <w:pPr>
        <w:rPr>
          <w:b/>
          <w:bCs/>
          <w:sz w:val="28"/>
          <w:szCs w:val="28"/>
        </w:rPr>
      </w:pPr>
      <w:r w:rsidRPr="00966C1F">
        <w:rPr>
          <w:b/>
          <w:bCs/>
          <w:sz w:val="28"/>
          <w:szCs w:val="28"/>
        </w:rPr>
        <w:t xml:space="preserve">Question 2 </w:t>
      </w:r>
    </w:p>
    <w:p w14:paraId="31819513" w14:textId="5340C6EE" w:rsidR="00966C1F" w:rsidRPr="00966C1F" w:rsidRDefault="00081C83" w:rsidP="00966C1F">
      <w:pPr>
        <w:pStyle w:val="ListParagraph"/>
        <w:numPr>
          <w:ilvl w:val="0"/>
          <w:numId w:val="2"/>
        </w:numPr>
        <w:rPr>
          <w:sz w:val="28"/>
          <w:szCs w:val="28"/>
        </w:rPr>
      </w:pPr>
      <w:r w:rsidRPr="00966C1F">
        <w:rPr>
          <w:sz w:val="28"/>
          <w:szCs w:val="28"/>
        </w:rPr>
        <w:t xml:space="preserve">In order to be valid a declaration of trust must have the three certainties (intention, subject matter and objects) (Knight v Knight (1840)). A trust can be created without the use of the word ‘trust’ but the testator’s words must impose a binding obligation on the trustee to deal with the property in a particular way. It has been held that precatory words expressing a wish or a hope do not demonstrate an intention to create a trust (Re Adams and the Kensington Vestry (1884); </w:t>
      </w:r>
      <w:proofErr w:type="spellStart"/>
      <w:r w:rsidRPr="00966C1F">
        <w:rPr>
          <w:sz w:val="28"/>
          <w:szCs w:val="28"/>
        </w:rPr>
        <w:t>Lambe</w:t>
      </w:r>
      <w:proofErr w:type="spellEnd"/>
      <w:r w:rsidRPr="00966C1F">
        <w:rPr>
          <w:sz w:val="28"/>
          <w:szCs w:val="28"/>
        </w:rPr>
        <w:t xml:space="preserve"> v Eames (1871)).The court will ascertain the testator’s intention from the whole will (Comiskey v Bowring Hanbury (1905). The word ‘knowing’ does not impose a binding obligation on Fatima to pay her mother’s rent and expenses. Fatima could keep the entire £50,000 for herself. If Aziz intends to impose an obligation to provide for his mother, the will should state that Fatima is to hold on trust for Zeinab. A trust is void if the trust property or the share of the beneficiary is uncertain. It is acceptable to provide an objective formula for calculating the amount to be given to the beneficiary (Re </w:t>
      </w:r>
      <w:proofErr w:type="spellStart"/>
      <w:r w:rsidRPr="00966C1F">
        <w:rPr>
          <w:sz w:val="28"/>
          <w:szCs w:val="28"/>
        </w:rPr>
        <w:t>Golay’s</w:t>
      </w:r>
      <w:proofErr w:type="spellEnd"/>
      <w:r w:rsidRPr="00966C1F">
        <w:rPr>
          <w:sz w:val="28"/>
          <w:szCs w:val="28"/>
        </w:rPr>
        <w:t xml:space="preserve"> Will Trusts (1965), where “a reasonable income from my other properties” was held to be ascertainable by objective means). Page 10 of 14 There may be an objective formula to ascertain the amount to be paid in respect of Zeinab, namely the usual sums which Aziz has paid out over the last few years, the amount of rent and usual outgoings. To avoid all doubt, it may be better to specify an amount to be held on trust for Zeinab or create a discretionary trust for Fatima and Zeinab and leave a letter of wishes advising the trustee that Aziz wants him to pay his mother’s rent and outgoings from the trust funds. </w:t>
      </w:r>
    </w:p>
    <w:p w14:paraId="5FF48397" w14:textId="066A9A98" w:rsidR="00966C1F" w:rsidRDefault="00081C83" w:rsidP="00966C1F">
      <w:pPr>
        <w:pStyle w:val="ListParagraph"/>
        <w:numPr>
          <w:ilvl w:val="0"/>
          <w:numId w:val="2"/>
        </w:numPr>
        <w:rPr>
          <w:sz w:val="28"/>
          <w:szCs w:val="28"/>
        </w:rPr>
      </w:pPr>
      <w:r w:rsidRPr="00966C1F">
        <w:rPr>
          <w:sz w:val="28"/>
          <w:szCs w:val="28"/>
        </w:rPr>
        <w:lastRenderedPageBreak/>
        <w:t xml:space="preserve">Unincorporated associations have no legal personality and cannot, therefore, hold property or receive gifts. However, the courts have devised ways of construing legacies to unincorporated associations, enabling them to be valid. Aziz intended the club to hold the legacy on trust to carry out a purpose. The purpose benefits the members. In Re Lipinski (1976), it was held that such trusts are valid and fall under one of two constructions. </w:t>
      </w:r>
      <w:r w:rsidRPr="00966C1F">
        <w:rPr>
          <w:sz w:val="28"/>
          <w:szCs w:val="28"/>
        </w:rPr>
        <w:sym w:font="Symbol" w:char="F0B7"/>
      </w:r>
      <w:r w:rsidRPr="00966C1F">
        <w:rPr>
          <w:sz w:val="28"/>
          <w:szCs w:val="28"/>
        </w:rPr>
        <w:t xml:space="preserve"> First it could be construed as a gift to the members as an accretion to the club’s funds to be dealt with in accordance with the rules. This construction was used for an outright gift to a club in Re </w:t>
      </w:r>
      <w:proofErr w:type="spellStart"/>
      <w:r w:rsidRPr="00966C1F">
        <w:rPr>
          <w:sz w:val="28"/>
          <w:szCs w:val="28"/>
        </w:rPr>
        <w:t>Recher</w:t>
      </w:r>
      <w:proofErr w:type="spellEnd"/>
      <w:r w:rsidRPr="00966C1F">
        <w:rPr>
          <w:sz w:val="28"/>
          <w:szCs w:val="28"/>
        </w:rPr>
        <w:t xml:space="preserve"> (1972).</w:t>
      </w:r>
      <w:r w:rsidRPr="00966C1F">
        <w:rPr>
          <w:sz w:val="28"/>
          <w:szCs w:val="28"/>
        </w:rPr>
        <w:t xml:space="preserve"> </w:t>
      </w:r>
      <w:r w:rsidRPr="00966C1F">
        <w:rPr>
          <w:sz w:val="28"/>
          <w:szCs w:val="28"/>
        </w:rPr>
        <w:t xml:space="preserve">Also, see Re Horley Town Football Club (2006). In Re Lipinski, it was held that the construction could be applied equally to a trust for a purpose which benefits members especially where the resulting property will belong to the members. There will be no perpetuity problems provided the club’s rules allow members to wind up the club and spend the club’s funds or divide them between themselves (Re Grant (1980)). Alternatively it may be valid as a trust for a purpose which brings a sufficiently direct and tangible benefit to ascertainable beneficiaries (the members) who would be able to enforce the trust as in Re </w:t>
      </w:r>
      <w:proofErr w:type="spellStart"/>
      <w:r w:rsidRPr="00966C1F">
        <w:rPr>
          <w:sz w:val="28"/>
          <w:szCs w:val="28"/>
        </w:rPr>
        <w:t>Denley</w:t>
      </w:r>
      <w:proofErr w:type="spellEnd"/>
      <w:r w:rsidRPr="00966C1F">
        <w:rPr>
          <w:sz w:val="28"/>
          <w:szCs w:val="28"/>
        </w:rPr>
        <w:t xml:space="preserve"> (1969). The members of the club would all be ascertainable and there would be no problem with the rule against inalienability because the whole of the fund would be spent on the construction of the changing rooms. It is likely that this trust is valid. </w:t>
      </w:r>
    </w:p>
    <w:p w14:paraId="42B96A99" w14:textId="77777777" w:rsidR="00966C1F" w:rsidRPr="00966C1F" w:rsidRDefault="00966C1F" w:rsidP="00966C1F">
      <w:pPr>
        <w:pStyle w:val="ListParagraph"/>
        <w:ind w:left="1080"/>
        <w:rPr>
          <w:sz w:val="28"/>
          <w:szCs w:val="28"/>
        </w:rPr>
      </w:pPr>
    </w:p>
    <w:p w14:paraId="440D3BF5" w14:textId="0261D381" w:rsidR="00081C83" w:rsidRPr="00966C1F" w:rsidRDefault="00081C83" w:rsidP="00966C1F">
      <w:pPr>
        <w:pStyle w:val="ListParagraph"/>
        <w:numPr>
          <w:ilvl w:val="0"/>
          <w:numId w:val="2"/>
        </w:numPr>
        <w:rPr>
          <w:sz w:val="28"/>
          <w:szCs w:val="28"/>
        </w:rPr>
      </w:pPr>
      <w:r w:rsidRPr="00966C1F">
        <w:rPr>
          <w:sz w:val="28"/>
          <w:szCs w:val="28"/>
        </w:rPr>
        <w:t xml:space="preserve">This is a discretionary trust- trustees are bound to distribute. The testator has used the obligatory word ‘shall’. The certainty of objects test for discretionary trusts is the given postulant test: can it be said with certainty whether any given postulant is or is not a member of the class of objects (McPhail v Doulton (1971). This requires conceptual or linguistic certainty. Evidential uncertainty occurs where a claimant cannot prove that he falls within the description but this does not lead to failure of the trust (Re Baden’s Deed Trusts (No 2) (1972).In Re Baden, Stamp LJ decided that if you had to say of any individual that you did not know whether or not he fell within the class of objects, the trust was void. The other judges disagreed. Sachs LJ insisted that the description of the objects must be conceptually certain but the burden was on the claimant to show that he fell </w:t>
      </w:r>
      <w:r w:rsidRPr="00966C1F">
        <w:rPr>
          <w:sz w:val="28"/>
          <w:szCs w:val="28"/>
        </w:rPr>
        <w:lastRenderedPageBreak/>
        <w:t>within the description. If he could not do this, either because he was outside the description or because it was not known whether he was in or out, the trust could still be valid. Thus, Page 11 of 14 ‘don’t knows’ did not lead to failure if the description was conceptually certain. Megaw LJ held that the trust was valid if one could say of a substantial number that they fell within the class even if, as regards a number of other objects, it had to be said that they were outside or it was not known whether they were in or out. Even if the description of the objects is certain, the discretionary trust will be void (due to administrative unworkability) if the definition of the beneficiaries is “so hopelessly wide as not to form anything like a class” (per Lord Wilberforce in McPhail v Doulton). Lord Wilberforce used “the residents of Greater London” as an example. In R v District Auditor ex p. West Yorkshire MCC (1986) a discretionary trust for 2.5 inhabitants of West Yorkshire was held to be void due to administrative unworkability. A discretionary trust which is capricious (irrational) will be void. In this case, the gift of residue would probably be void because it does not satisfy the given postulant test. There are no objective criteria to indicate who would be a ‘worthy young cricket player’. Also the number of young cricket players may also lead to failure of the trust due to administrative unworkability. Capriciousness is not an issue because Aziz clearly has a love of cricket. The words ‘worthy’ and ‘young’” are too vague. Mr Bell should be more specific e.g. ‘members of the under 21 England cricket squad’ or require trustees to run an annual tournament and award prizes to the winners or give to a charity or other organisation which promotes young cricket players.</w:t>
      </w:r>
    </w:p>
    <w:sectPr w:rsidR="00081C83" w:rsidRPr="00966C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D794FAE"/>
    <w:multiLevelType w:val="hybridMultilevel"/>
    <w:tmpl w:val="6E68E820"/>
    <w:lvl w:ilvl="0" w:tplc="976CAC3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1B17C7"/>
    <w:multiLevelType w:val="hybridMultilevel"/>
    <w:tmpl w:val="CCC2CC88"/>
    <w:lvl w:ilvl="0" w:tplc="6A82654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FC2"/>
    <w:rsid w:val="00081C83"/>
    <w:rsid w:val="006F0FC2"/>
    <w:rsid w:val="007D4982"/>
    <w:rsid w:val="009257EB"/>
    <w:rsid w:val="00966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6625B"/>
  <w15:chartTrackingRefBased/>
  <w15:docId w15:val="{040344BD-976E-4652-BA0F-0D5F89A222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498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1954</Words>
  <Characters>11142</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1</cp:revision>
  <dcterms:created xsi:type="dcterms:W3CDTF">2020-11-25T16:24:00Z</dcterms:created>
  <dcterms:modified xsi:type="dcterms:W3CDTF">2020-11-25T17:29:00Z</dcterms:modified>
</cp:coreProperties>
</file>