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6B744" w14:textId="4AD36D83" w:rsidR="2F379DB5" w:rsidRDefault="2F379DB5"/>
    <w:p w14:paraId="5C2A63AA" w14:textId="50F283D2" w:rsidR="2F379DB5" w:rsidRDefault="2F379DB5" w:rsidP="2F379DB5">
      <w:pPr>
        <w:spacing w:line="257" w:lineRule="auto"/>
      </w:pPr>
      <w:r w:rsidRPr="2F379DB5">
        <w:rPr>
          <w:rFonts w:ascii="Calibri" w:eastAsia="Calibri" w:hAnsi="Calibri" w:cs="Calibri"/>
          <w:color w:val="58595B"/>
          <w:sz w:val="36"/>
          <w:szCs w:val="36"/>
          <w:lang w:val="en-US"/>
        </w:rPr>
        <w:t xml:space="preserve">Qualification: CIPD Diploma in Applied Human Resources </w:t>
      </w:r>
    </w:p>
    <w:p w14:paraId="3882F3F4" w14:textId="1E60436E" w:rsidR="2F379DB5" w:rsidRDefault="2F379DB5" w:rsidP="2F379DB5">
      <w:pPr>
        <w:spacing w:line="257" w:lineRule="auto"/>
      </w:pPr>
      <w:r w:rsidRPr="2F379DB5">
        <w:rPr>
          <w:rFonts w:ascii="Calibri" w:eastAsia="Calibri" w:hAnsi="Calibri" w:cs="Calibri"/>
          <w:color w:val="58595B"/>
          <w:sz w:val="36"/>
          <w:szCs w:val="36"/>
        </w:rPr>
        <w:t xml:space="preserve"> </w:t>
      </w:r>
    </w:p>
    <w:p w14:paraId="2C821D69" w14:textId="27B7BC12" w:rsidR="2F379DB5" w:rsidRDefault="2F379DB5" w:rsidP="2F379DB5">
      <w:pPr>
        <w:spacing w:line="257" w:lineRule="auto"/>
      </w:pPr>
      <w:r w:rsidRPr="2F379DB5">
        <w:rPr>
          <w:rFonts w:ascii="Calibri" w:eastAsia="Calibri" w:hAnsi="Calibri" w:cs="Calibri"/>
          <w:color w:val="58595B"/>
          <w:sz w:val="36"/>
          <w:szCs w:val="36"/>
          <w:lang w:val="en-US"/>
        </w:rPr>
        <w:t>Module Name: Understanding Resourcing and Talent Planning</w:t>
      </w:r>
    </w:p>
    <w:p w14:paraId="5E990A5C" w14:textId="6B67CBF9" w:rsidR="2F379DB5" w:rsidRDefault="2F379DB5" w:rsidP="2F379DB5">
      <w:pPr>
        <w:spacing w:line="257" w:lineRule="auto"/>
        <w:rPr>
          <w:rFonts w:ascii="Calibri" w:eastAsia="Calibri" w:hAnsi="Calibri" w:cs="Calibri"/>
          <w:color w:val="58595B"/>
          <w:sz w:val="36"/>
          <w:szCs w:val="36"/>
          <w:lang w:val="en-US"/>
        </w:rPr>
      </w:pPr>
    </w:p>
    <w:p w14:paraId="26AD138E" w14:textId="4D340F00" w:rsidR="2F379DB5" w:rsidRDefault="2F379DB5" w:rsidP="2F379DB5">
      <w:pPr>
        <w:spacing w:line="257" w:lineRule="auto"/>
      </w:pPr>
      <w:r w:rsidRPr="2F379DB5">
        <w:rPr>
          <w:rFonts w:ascii="Calibri" w:eastAsia="Calibri" w:hAnsi="Calibri" w:cs="Calibri"/>
          <w:color w:val="58595B"/>
          <w:sz w:val="36"/>
          <w:szCs w:val="36"/>
          <w:lang w:val="en-US"/>
        </w:rPr>
        <w:t>Word Count:  3,293</w:t>
      </w:r>
    </w:p>
    <w:p w14:paraId="4951340B" w14:textId="466DBFDB" w:rsidR="2F379DB5" w:rsidRDefault="2F379DB5" w:rsidP="2F379DB5">
      <w:pPr>
        <w:spacing w:line="257" w:lineRule="auto"/>
      </w:pPr>
      <w:r w:rsidRPr="2F379DB5">
        <w:rPr>
          <w:rFonts w:ascii="Calibri" w:eastAsia="Calibri" w:hAnsi="Calibri" w:cs="Calibri"/>
          <w:color w:val="58595B"/>
          <w:sz w:val="36"/>
          <w:szCs w:val="36"/>
          <w:lang w:val="en-US"/>
        </w:rPr>
        <w:t xml:space="preserve"> </w:t>
      </w:r>
    </w:p>
    <w:p w14:paraId="4B9428C2" w14:textId="6FD25AF3" w:rsidR="2F379DB5" w:rsidRDefault="2F379DB5" w:rsidP="2F379DB5">
      <w:pPr>
        <w:spacing w:line="257" w:lineRule="auto"/>
      </w:pPr>
      <w:r w:rsidRPr="2F379DB5">
        <w:rPr>
          <w:rFonts w:ascii="Calibri" w:eastAsia="Calibri" w:hAnsi="Calibri" w:cs="Calibri"/>
          <w:color w:val="58595B"/>
          <w:sz w:val="36"/>
          <w:szCs w:val="36"/>
          <w:lang w:val="en-US"/>
        </w:rPr>
        <w:t xml:space="preserve">Student Name: Elinor Beynon </w:t>
      </w:r>
    </w:p>
    <w:p w14:paraId="1936E138" w14:textId="68C12230" w:rsidR="2F379DB5" w:rsidRDefault="2F379DB5" w:rsidP="2F379DB5">
      <w:pPr>
        <w:spacing w:line="257" w:lineRule="auto"/>
      </w:pPr>
      <w:r w:rsidRPr="2F379DB5">
        <w:rPr>
          <w:rFonts w:ascii="Calibri" w:eastAsia="Calibri" w:hAnsi="Calibri" w:cs="Calibri"/>
          <w:color w:val="58595B"/>
          <w:sz w:val="36"/>
          <w:szCs w:val="36"/>
        </w:rPr>
        <w:t xml:space="preserve"> </w:t>
      </w:r>
    </w:p>
    <w:p w14:paraId="57454E09" w14:textId="54C2B2F6" w:rsidR="2F379DB5" w:rsidRDefault="2F379DB5" w:rsidP="2F379DB5">
      <w:pPr>
        <w:spacing w:line="257" w:lineRule="auto"/>
      </w:pPr>
      <w:r w:rsidRPr="2F379DB5">
        <w:rPr>
          <w:rFonts w:ascii="Calibri" w:eastAsia="Calibri" w:hAnsi="Calibri" w:cs="Calibri"/>
          <w:color w:val="58595B"/>
          <w:sz w:val="36"/>
          <w:szCs w:val="36"/>
          <w:lang w:val="en-US"/>
        </w:rPr>
        <w:t xml:space="preserve">Student Number: 2016038 </w:t>
      </w:r>
    </w:p>
    <w:p w14:paraId="7F142AA0" w14:textId="7B39F723" w:rsidR="2F379DB5" w:rsidRDefault="2F379DB5" w:rsidP="2F379DB5">
      <w:pPr>
        <w:spacing w:line="257" w:lineRule="auto"/>
      </w:pPr>
      <w:r w:rsidRPr="2F379DB5">
        <w:rPr>
          <w:rFonts w:ascii="Calibri" w:eastAsia="Calibri" w:hAnsi="Calibri" w:cs="Calibri"/>
          <w:color w:val="58595B"/>
          <w:sz w:val="36"/>
          <w:szCs w:val="36"/>
        </w:rPr>
        <w:t xml:space="preserve"> </w:t>
      </w:r>
    </w:p>
    <w:p w14:paraId="1A2D3002" w14:textId="2F083BBD" w:rsidR="2F379DB5" w:rsidRDefault="2F379DB5" w:rsidP="2F379DB5">
      <w:pPr>
        <w:spacing w:line="257" w:lineRule="auto"/>
      </w:pPr>
      <w:r w:rsidRPr="2F379DB5">
        <w:rPr>
          <w:rFonts w:ascii="Calibri" w:eastAsia="Calibri" w:hAnsi="Calibri" w:cs="Calibri"/>
          <w:color w:val="58595B"/>
          <w:sz w:val="36"/>
          <w:szCs w:val="36"/>
          <w:lang w:val="en-US"/>
        </w:rPr>
        <w:t xml:space="preserve">CIPD Membership Number: 57493068 </w:t>
      </w:r>
    </w:p>
    <w:p w14:paraId="17A00610" w14:textId="2216FC0E" w:rsidR="2F379DB5" w:rsidRDefault="2F379DB5" w:rsidP="2F379DB5">
      <w:pPr>
        <w:spacing w:line="257" w:lineRule="auto"/>
      </w:pPr>
      <w:r w:rsidRPr="2F379DB5">
        <w:rPr>
          <w:rFonts w:ascii="Calibri" w:eastAsia="Calibri" w:hAnsi="Calibri" w:cs="Calibri"/>
          <w:color w:val="58595B"/>
          <w:sz w:val="36"/>
          <w:szCs w:val="36"/>
        </w:rPr>
        <w:t xml:space="preserve"> </w:t>
      </w:r>
    </w:p>
    <w:p w14:paraId="0543F72B" w14:textId="3DB5A216" w:rsidR="2F379DB5" w:rsidRDefault="2F379DB5" w:rsidP="2F379DB5">
      <w:pPr>
        <w:spacing w:line="257" w:lineRule="auto"/>
      </w:pPr>
      <w:r w:rsidRPr="2F379DB5">
        <w:rPr>
          <w:rFonts w:ascii="Calibri" w:eastAsia="Calibri" w:hAnsi="Calibri" w:cs="Calibri"/>
          <w:color w:val="58595B"/>
          <w:sz w:val="36"/>
          <w:szCs w:val="36"/>
          <w:lang w:val="en-US"/>
        </w:rPr>
        <w:t xml:space="preserve">By signing below, I confirm that the work/evidence presented is my own, unaided work. I understand the regulations pertaining to candidate malpractice and the action that may be taken as a result. </w:t>
      </w:r>
    </w:p>
    <w:p w14:paraId="2E98A943" w14:textId="71C0CCB6" w:rsidR="2F379DB5" w:rsidRDefault="2F379DB5" w:rsidP="2F379DB5">
      <w:pPr>
        <w:spacing w:line="257" w:lineRule="auto"/>
      </w:pPr>
      <w:r w:rsidRPr="2F379DB5">
        <w:rPr>
          <w:rFonts w:ascii="Calibri" w:eastAsia="Calibri" w:hAnsi="Calibri" w:cs="Calibri"/>
          <w:color w:val="58595B"/>
          <w:sz w:val="36"/>
          <w:szCs w:val="36"/>
        </w:rPr>
        <w:t xml:space="preserve"> </w:t>
      </w:r>
    </w:p>
    <w:p w14:paraId="0711C4A8" w14:textId="3A3F88BB" w:rsidR="2F379DB5" w:rsidRDefault="2F379DB5" w:rsidP="2F379DB5">
      <w:pPr>
        <w:spacing w:line="257" w:lineRule="auto"/>
      </w:pPr>
      <w:r w:rsidRPr="2F379DB5">
        <w:rPr>
          <w:rFonts w:ascii="Calibri" w:eastAsia="Calibri" w:hAnsi="Calibri" w:cs="Calibri"/>
          <w:color w:val="58595B"/>
          <w:sz w:val="36"/>
          <w:szCs w:val="36"/>
          <w:lang w:val="en-US"/>
        </w:rPr>
        <w:t xml:space="preserve">  </w:t>
      </w:r>
    </w:p>
    <w:p w14:paraId="2540CE46" w14:textId="78C9DDC2" w:rsidR="2F379DB5" w:rsidRDefault="2F379DB5" w:rsidP="2F379DB5">
      <w:pPr>
        <w:spacing w:line="257" w:lineRule="auto"/>
      </w:pPr>
      <w:r w:rsidRPr="2F379DB5">
        <w:rPr>
          <w:rFonts w:ascii="Calibri" w:eastAsia="Calibri" w:hAnsi="Calibri" w:cs="Calibri"/>
          <w:color w:val="58595B"/>
          <w:sz w:val="36"/>
          <w:szCs w:val="36"/>
          <w:lang w:val="en-US"/>
        </w:rPr>
        <w:t xml:space="preserve">Signed:  </w:t>
      </w:r>
      <w:r>
        <w:rPr>
          <w:noProof/>
        </w:rPr>
        <w:drawing>
          <wp:inline distT="0" distB="0" distL="0" distR="0" wp14:anchorId="18202736" wp14:editId="2782ADDF">
            <wp:extent cx="736023" cy="374393"/>
            <wp:effectExtent l="0" t="0" r="0" b="0"/>
            <wp:docPr id="1534385573" name="Picture 1534385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736023" cy="374393"/>
                    </a:xfrm>
                    <a:prstGeom prst="rect">
                      <a:avLst/>
                    </a:prstGeom>
                  </pic:spPr>
                </pic:pic>
              </a:graphicData>
            </a:graphic>
          </wp:inline>
        </w:drawing>
      </w:r>
    </w:p>
    <w:p w14:paraId="39FA2762" w14:textId="662923C6" w:rsidR="2F379DB5" w:rsidRDefault="2F379DB5" w:rsidP="2F379DB5">
      <w:pPr>
        <w:spacing w:line="257" w:lineRule="auto"/>
      </w:pPr>
      <w:r w:rsidRPr="2F379DB5">
        <w:rPr>
          <w:rFonts w:ascii="Calibri" w:eastAsia="Calibri" w:hAnsi="Calibri" w:cs="Calibri"/>
          <w:color w:val="58595B"/>
          <w:sz w:val="36"/>
          <w:szCs w:val="36"/>
        </w:rPr>
        <w:t xml:space="preserve"> </w:t>
      </w:r>
    </w:p>
    <w:p w14:paraId="634FA419" w14:textId="4906352A" w:rsidR="2F379DB5" w:rsidRDefault="2F379DB5" w:rsidP="2F379DB5">
      <w:pPr>
        <w:spacing w:line="257" w:lineRule="auto"/>
      </w:pPr>
      <w:r w:rsidRPr="2F379DB5">
        <w:rPr>
          <w:rFonts w:ascii="Calibri" w:eastAsia="Calibri" w:hAnsi="Calibri" w:cs="Calibri"/>
          <w:color w:val="58595B"/>
          <w:sz w:val="36"/>
          <w:szCs w:val="36"/>
          <w:lang w:val="en-US"/>
        </w:rPr>
        <w:t>Date: 24th April 2022</w:t>
      </w:r>
    </w:p>
    <w:p w14:paraId="6D636F1F" w14:textId="0E71291F" w:rsidR="2F379DB5" w:rsidRDefault="2F379DB5" w:rsidP="2F379DB5">
      <w:pPr>
        <w:spacing w:line="257" w:lineRule="auto"/>
      </w:pPr>
      <w:r w:rsidRPr="2F379DB5">
        <w:rPr>
          <w:rFonts w:ascii="Calibri" w:eastAsia="Calibri" w:hAnsi="Calibri" w:cs="Calibri"/>
        </w:rPr>
        <w:t xml:space="preserve"> </w:t>
      </w:r>
    </w:p>
    <w:p w14:paraId="6D27E7C7" w14:textId="3324811C" w:rsidR="2F379DB5" w:rsidRDefault="2F379DB5" w:rsidP="2F379DB5">
      <w:pPr>
        <w:spacing w:line="257" w:lineRule="auto"/>
        <w:rPr>
          <w:rFonts w:ascii="Calibri" w:eastAsia="Calibri" w:hAnsi="Calibri" w:cs="Calibri"/>
        </w:rPr>
      </w:pPr>
    </w:p>
    <w:p w14:paraId="20CA1437" w14:textId="307DB20B" w:rsidR="2F379DB5" w:rsidRDefault="2F379DB5" w:rsidP="2F379DB5"/>
    <w:p w14:paraId="77FBF00F" w14:textId="2DAE2F3D" w:rsidR="2F379DB5" w:rsidRDefault="2F379DB5"/>
    <w:p w14:paraId="404EC379" w14:textId="5516C623" w:rsidR="2F379DB5" w:rsidRDefault="2F379DB5"/>
    <w:p w14:paraId="470B6770" w14:textId="201482D6" w:rsidR="4863493E" w:rsidRDefault="4863493E" w:rsidP="2F379DB5">
      <w:r>
        <w:t xml:space="preserve">1.1 </w:t>
      </w:r>
    </w:p>
    <w:p w14:paraId="4E07D2F8" w14:textId="24012FA8" w:rsidR="2F379DB5" w:rsidRDefault="2F379DB5" w:rsidP="2F379DB5">
      <w:r>
        <w:t>When comparing the average wages between the UK and France there is not much different with $45.6k for France and 47.1k for the UK. Employment rates are similar with 67.7% of the working age population for France and 68.5% of the working age population for the UK and the gender wage gap for employees is similar with France at 11.6% and the UK at 11.8%. Hours worked between the two countries is also similar at 1.40k hours/worker for France and 1.37K hours/worker for the UK.</w:t>
      </w:r>
    </w:p>
    <w:p w14:paraId="25ADB050" w14:textId="3A098258" w:rsidR="2F379DB5" w:rsidRDefault="2F379DB5" w:rsidP="2F379DB5">
      <w:r>
        <w:t>The employment rate by age group has significant levels of difference between France and the UK. For the ages of 15-24 years France has 32.2% and the UK has 52.5% employed. For the ages 25-54 years France has 82.1% employed and the UK has 84.5% employed. For the ages 55-64 years France has 56% employed and the UK has 64.9% employed. This data shows that employment rates are higher in the UK compared to France across all age groups.</w:t>
      </w:r>
    </w:p>
    <w:p w14:paraId="2B646E2E" w14:textId="28451976" w:rsidR="2F379DB5" w:rsidRDefault="2F379DB5" w:rsidP="2F379DB5">
      <w:r>
        <w:t>Long term unemployment (for 12 months of more) is at a higher level in France at 36.7% compared to the UK at 20.1%. Unemployment rates by education level are also higher in France at 11.8% for below upper secondary, at 7.4% for upper secondary, non-tertiary and 4.7% for tertiary compared to lower rates in the UK with 5.8% for below upper secondary, 3.4% for upper secondary, non-tertiary and 2.5% for tertiary.</w:t>
      </w:r>
    </w:p>
    <w:p w14:paraId="09BA6FA6" w14:textId="5E786407" w:rsidR="2F379DB5" w:rsidRDefault="2F379DB5" w:rsidP="2F379DB5">
      <w:r>
        <w:t>There is also a big difference between wage levels with lower paid workers earning 7.7% less than two-thirds of median earnings in France and 18.1% less in the UK (OECD, 2022)</w:t>
      </w:r>
    </w:p>
    <w:p w14:paraId="0C607719" w14:textId="2F45558A" w:rsidR="4863493E" w:rsidRDefault="4863493E" w:rsidP="2F379DB5">
      <w:r>
        <w:t>1.2 &amp; 1.3</w:t>
      </w:r>
    </w:p>
    <w:p w14:paraId="2B929E11" w14:textId="195D2E42"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Organisations need to understand their current talent profile and their current/future requirements to make resourcing strategies effective/efficient, (CIPD, 2020a, p. 3).</w:t>
      </w:r>
    </w:p>
    <w:p w14:paraId="23F1DEC9" w14:textId="3FA58B4A"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Forecasting demand looks at what tasks need doing, how to divide them into job roles and what skills are needed for each. Systematic techniques involve looking at previous trends to predict the needs of the future and working back from the desired outputs. Managerial judgement involves using knowledge/experience from senior staff of the company/industry/external environment. Working back from costs involves determining how many staff can be afforded based off the future budget.</w:t>
      </w:r>
    </w:p>
    <w:p w14:paraId="48FD092F" w14:textId="39124B1F"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Forecasting supply involves looking at the current composition of the workforce, their skills, and the proportion of the workforce that is likely to remain in the organisation at the time that is being forecasted. First, identify how many people are employed, total wage cost, workforce composition and sickness absence levels including how this impacts the delivery of services to understand the current workforce. Next, assess their skills by looking at each job roles person specification, internal training records and appraisal information. Finally, think of general trends in employment turnover to predict how much of the current workforce will stay. Look at how many employees resign annually, reach retirement age and what roles people will be working based off lateral moves and promotions likely to occur.</w:t>
      </w:r>
    </w:p>
    <w:p w14:paraId="256C1A75" w14:textId="7AE8CDE0"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 xml:space="preserve">A skills audit assessing the extent of mismatch between roles and skills for the most common roles identifies the gaps between demand and supply. Determining desirable characteristics and skills levels for each role develops a competency framework. Assessments of each current employee can </w:t>
      </w:r>
      <w:r w:rsidRPr="2F379DB5">
        <w:rPr>
          <w:rFonts w:ascii="Calibri" w:eastAsia="Calibri" w:hAnsi="Calibri" w:cs="Calibri"/>
          <w:color w:val="000000" w:themeColor="text1"/>
        </w:rPr>
        <w:lastRenderedPageBreak/>
        <w:t>be done by line managers observing and having discussions with employees. Findings can be summarised to determine how the current skills match the future skills needed for the organisation.</w:t>
      </w:r>
    </w:p>
    <w:p w14:paraId="2A83AECB" w14:textId="616EC351"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Address the gaps by firstly, determining how existing resources within the organisation can be used. This involves moving people, training people, encouraging knowledge-sharing, retaining valued people and removing those who do not add value to the organisations’ future needs. Secondly, determining how to utilise external sources of skills by looking at the nature of the current labour market, consider recruiting from further afield, consider offering contract-based work and, collaborating with other organisations to offer work experience programmes. Outsourcing and offshoring can also be looked in to (Wilkinson and Taylor, 2016, pp. 58-59).</w:t>
      </w:r>
    </w:p>
    <w:p w14:paraId="0C26B6C2" w14:textId="37E275DE"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Succession planning is used to fill business-critical vacancies by identifying and growing talent. Business-critical roles can include individual senior positions or a pool of positions that have similar skills and are essential to the organisation.</w:t>
      </w:r>
    </w:p>
    <w:p w14:paraId="6D68EF20" w14:textId="5E39D74D"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Traditionally, top-down succession schemes to identify internal successors for key posts and developing career plans for them were used. This was highly structured and confidential. Higher speeds of change, flatter structures and uncertainty has make succession planning more diverse and open. It is now used for all critical roles at all levels of the organisation.</w:t>
      </w:r>
    </w:p>
    <w:p w14:paraId="54C3C45F" w14:textId="4D2E65AF"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External recruitment can bring new insights that can benefit the organisation. Internal development is useful as these employees have organisation-specific knowledge and experience and understand the organisation’s culture. It also helps retain talent if employees can see potential for career development (CIPD, 2020b).</w:t>
      </w:r>
    </w:p>
    <w:p w14:paraId="524AEFAD" w14:textId="18EB45B8"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Appraisal meetings are key to succession planning as employees can discuss their aspirations and they current skill levels can be assessed for a development plan to be agreed. Development activities can include work shadowing, mentoring schemes, on-the-job training and coaching, formal training programmes, supervised ‘acting up’ and attending committees and being involved in projects (Wilkinson and Taylor, 2016, pp. 59-60).</w:t>
      </w:r>
    </w:p>
    <w:p w14:paraId="044581FD" w14:textId="74B95DE8" w:rsidR="2F379DB5" w:rsidRDefault="2F379DB5" w:rsidP="2F379DB5"/>
    <w:p w14:paraId="129C46EC" w14:textId="39EB9BF6" w:rsidR="2F379DB5" w:rsidRDefault="2F379DB5" w:rsidP="2F379DB5"/>
    <w:p w14:paraId="07649F57" w14:textId="60E6F146" w:rsidR="2F379DB5" w:rsidRDefault="2F379DB5" w:rsidP="2F379DB5"/>
    <w:p w14:paraId="28455096" w14:textId="1E05F0E2" w:rsidR="2F379DB5" w:rsidRDefault="2F379DB5" w:rsidP="2F379DB5"/>
    <w:p w14:paraId="181435C6" w14:textId="1515D295" w:rsidR="2F379DB5" w:rsidRDefault="2F379DB5" w:rsidP="2F379DB5"/>
    <w:p w14:paraId="3D1E735E" w14:textId="6A6036E8" w:rsidR="2F379DB5" w:rsidRDefault="2F379DB5" w:rsidP="2F379DB5"/>
    <w:p w14:paraId="7BE35D23" w14:textId="7540E05B" w:rsidR="2F379DB5" w:rsidRDefault="2F379DB5" w:rsidP="2F379DB5">
      <w:pPr>
        <w:rPr>
          <w:rFonts w:ascii="Calibri" w:eastAsia="Calibri" w:hAnsi="Calibri" w:cs="Calibri"/>
        </w:rPr>
      </w:pPr>
      <w:r w:rsidRPr="2F379DB5">
        <w:rPr>
          <w:rFonts w:ascii="Calibri" w:eastAsia="Calibri" w:hAnsi="Calibri" w:cs="Calibri"/>
        </w:rPr>
        <w:t>2.1</w:t>
      </w:r>
    </w:p>
    <w:p w14:paraId="348B545F" w14:textId="680205C6"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A competitor analysis is done before recruiting and involves looking at what labour market competitors have to offer potential workers. Examples include salary, job security, job role, employee benefits, working environment and training and development opportunities. This analysis puts organisations in a better position to stand out from their competitors.</w:t>
      </w:r>
    </w:p>
    <w:p w14:paraId="793B5FAC" w14:textId="1F963F61" w:rsidR="2F379DB5" w:rsidRDefault="2F379DB5" w:rsidP="2F379DB5">
      <w:pPr>
        <w:spacing w:after="0"/>
        <w:rPr>
          <w:rFonts w:ascii="Calibri" w:eastAsia="Calibri" w:hAnsi="Calibri" w:cs="Calibri"/>
          <w:color w:val="000000" w:themeColor="text1"/>
        </w:rPr>
      </w:pPr>
    </w:p>
    <w:p w14:paraId="23F05871" w14:textId="3A910F55"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The organisation’s position needs to be considered. An ‘employer of cash’ pays employees well but</w:t>
      </w:r>
    </w:p>
    <w:p w14:paraId="453231CA" w14:textId="6A24DC22"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often treats them badly by possibly being autocratic or making them work long hours. An ‘employer</w:t>
      </w:r>
    </w:p>
    <w:p w14:paraId="32403DAF" w14:textId="51FE9E1F"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of values’ treats employees well in terms of job security, rewarding work, treating them fairly, etc. but cannot pay well. An ‘employer of churn’ has poor pay and poor treatment of employees. These</w:t>
      </w:r>
    </w:p>
    <w:p w14:paraId="6085C228" w14:textId="006483B6"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lastRenderedPageBreak/>
        <w:t>organisations often have high turnover rates so are only viable in loose labour markets where</w:t>
      </w:r>
    </w:p>
    <w:p w14:paraId="17843B1C" w14:textId="1982DB80"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workers can be replaced easily. The ‘employer of choice’ has both good pay and treats workers well (Wilkinson and Taylor, 2016, p. 61).</w:t>
      </w:r>
    </w:p>
    <w:p w14:paraId="72881972" w14:textId="2C726628" w:rsidR="2F379DB5" w:rsidRDefault="2F379DB5" w:rsidP="2F379DB5">
      <w:pPr>
        <w:spacing w:after="0"/>
        <w:rPr>
          <w:rFonts w:ascii="Calibri" w:eastAsia="Calibri" w:hAnsi="Calibri" w:cs="Calibri"/>
          <w:color w:val="000000" w:themeColor="text1"/>
        </w:rPr>
      </w:pPr>
    </w:p>
    <w:p w14:paraId="7F9F4E26" w14:textId="6BCB1A8B"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Employer branding is where their attributes and qualities make them different from other organisations. They promise their workers a certain employee experience which is appealing to those who would suit their culture best (CIPD, 2021a). The brand needs to link to the values, people strategy and policies (CIPD, 2021a) and reflect the reality of what it is like to work for</w:t>
      </w:r>
    </w:p>
    <w:p w14:paraId="3770CCEB" w14:textId="4E3CC1C6"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the organisation (Taylor and Wilkinson, 2016, p. 62). Employee experience research needs to be taken through staff attitude surveys and focus groups (CIPD, 2021a) where the key discoveries should focus on what aspects of the employee experience are positive and unique (Taylor and Wilkinson, 2016, p. 62). The employer brand needs to be present in the people management approach such as induction, performance management and reward, internal communications, management behaviour and leavers of the organisation to be effective (CIPD, 2021a).</w:t>
      </w:r>
    </w:p>
    <w:p w14:paraId="14A07313" w14:textId="2444A843" w:rsidR="2F379DB5" w:rsidRDefault="2F379DB5" w:rsidP="2F379DB5">
      <w:pPr>
        <w:spacing w:after="0"/>
        <w:rPr>
          <w:rFonts w:ascii="Calibri" w:eastAsia="Calibri" w:hAnsi="Calibri" w:cs="Calibri"/>
          <w:color w:val="000000" w:themeColor="text1"/>
        </w:rPr>
      </w:pPr>
    </w:p>
    <w:p w14:paraId="62F51427" w14:textId="24BE619F"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Employer branding is important for recruiting talent as it can be used to an organisation’s advantage when there is a skill shortage or many organisations competing for talent (CIPD, 2021a). Social media can reflect an organisation’s brand. Past and present employees can leave positive or negative feedback on social media that organisations need to be aware of (CIPD, 2021a).</w:t>
      </w:r>
    </w:p>
    <w:p w14:paraId="151B641C" w14:textId="5CDD2959" w:rsidR="2F379DB5" w:rsidRDefault="2F379DB5" w:rsidP="2F379DB5">
      <w:pPr>
        <w:spacing w:after="0"/>
        <w:rPr>
          <w:rFonts w:ascii="Calibri" w:eastAsia="Calibri" w:hAnsi="Calibri" w:cs="Calibri"/>
          <w:color w:val="000000" w:themeColor="text1"/>
        </w:rPr>
      </w:pPr>
    </w:p>
    <w:p w14:paraId="7BAD79D1" w14:textId="2F67B09B"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Admiral focuses on its brand to recruit talent. Their philosophy ‘people who like what they do, do it better’ is reflected in their culture where they focus on being open and inclusive, having fun, working hard and rewarding workers for their achievements (Admiral, 2022).</w:t>
      </w:r>
    </w:p>
    <w:p w14:paraId="201C1B7E" w14:textId="4D26CAD2" w:rsidR="2F379DB5" w:rsidRDefault="2F379DB5" w:rsidP="2F379DB5">
      <w:pPr>
        <w:spacing w:after="0"/>
        <w:rPr>
          <w:rFonts w:ascii="Calibri" w:eastAsia="Calibri" w:hAnsi="Calibri" w:cs="Calibri"/>
          <w:color w:val="000000" w:themeColor="text1"/>
        </w:rPr>
      </w:pPr>
    </w:p>
    <w:p w14:paraId="48419ECA" w14:textId="1AE22A59"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CIPD (2021b) found that corporate websites and professional networking sites are the most effective attraction methods. Advantages include broad exposure, fast, cost-efficient, can link information about the organisation, interactivity, facilitate networking and is very accessible.</w:t>
      </w:r>
    </w:p>
    <w:p w14:paraId="33CDDC08" w14:textId="2B6EDCDE" w:rsidR="2F379DB5" w:rsidRDefault="2F379DB5" w:rsidP="2F379DB5">
      <w:pPr>
        <w:spacing w:after="0"/>
        <w:rPr>
          <w:rFonts w:ascii="Calibri" w:eastAsia="Calibri" w:hAnsi="Calibri" w:cs="Calibri"/>
          <w:color w:val="000000" w:themeColor="text1"/>
        </w:rPr>
      </w:pPr>
    </w:p>
    <w:p w14:paraId="53830A2A" w14:textId="0DD124DB"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However, there can be a high number of applicants, due to its broad exposure and accessibility, which are not suitable for the job role and can be time-consuming to go through. Therefore, this recruitment strategy is not always good for targeting the most appropriate candidates for the job (Steckerl, 2016).</w:t>
      </w:r>
    </w:p>
    <w:p w14:paraId="20137AC3" w14:textId="58C38B5A" w:rsidR="2F379DB5" w:rsidRDefault="2F379DB5" w:rsidP="2F379DB5">
      <w:pPr>
        <w:spacing w:after="0"/>
        <w:rPr>
          <w:rFonts w:ascii="Calibri" w:eastAsia="Calibri" w:hAnsi="Calibri" w:cs="Calibri"/>
          <w:color w:val="000000" w:themeColor="text1"/>
        </w:rPr>
      </w:pPr>
    </w:p>
    <w:p w14:paraId="5F7AB4CB" w14:textId="314F3FB1" w:rsidR="2F379DB5" w:rsidRDefault="2F379DB5" w:rsidP="2F379DB5">
      <w:pPr>
        <w:spacing w:after="0"/>
        <w:rPr>
          <w:rFonts w:ascii="Calibri" w:eastAsia="Calibri" w:hAnsi="Calibri" w:cs="Calibri"/>
          <w:color w:val="000000" w:themeColor="text1"/>
        </w:rPr>
      </w:pPr>
      <w:r w:rsidRPr="2F379DB5">
        <w:rPr>
          <w:rFonts w:ascii="Calibri" w:eastAsia="Calibri" w:hAnsi="Calibri" w:cs="Calibri"/>
          <w:color w:val="000000" w:themeColor="text1"/>
        </w:rPr>
        <w:t>CIPD (2021b) found that nearly 50% of organisations have apprenticeship programmes. Training programmes attract talent as it allows employees can develop their careers. However, if the desired outcomes of the training programmes are not reached then it can be costly and a waste of money (Rahman, 2021).</w:t>
      </w:r>
    </w:p>
    <w:p w14:paraId="6F764154" w14:textId="62A3291F" w:rsidR="2F379DB5" w:rsidRDefault="2F379DB5" w:rsidP="2F379DB5">
      <w:pPr>
        <w:spacing w:line="257" w:lineRule="auto"/>
        <w:rPr>
          <w:rFonts w:ascii="Calibri" w:eastAsia="Calibri" w:hAnsi="Calibri" w:cs="Calibri"/>
          <w:color w:val="000000" w:themeColor="text1"/>
        </w:rPr>
      </w:pPr>
    </w:p>
    <w:p w14:paraId="63A1DE7D" w14:textId="3250AFF8" w:rsidR="2F379DB5" w:rsidRDefault="2F379DB5" w:rsidP="2F379DB5">
      <w:pPr>
        <w:spacing w:line="257" w:lineRule="auto"/>
      </w:pPr>
      <w:r w:rsidRPr="2F379DB5">
        <w:rPr>
          <w:rFonts w:ascii="Calibri" w:eastAsia="Calibri" w:hAnsi="Calibri" w:cs="Calibri"/>
          <w:color w:val="000000" w:themeColor="text1"/>
        </w:rPr>
        <w:t>2.2</w:t>
      </w:r>
    </w:p>
    <w:p w14:paraId="3F2A8778" w14:textId="4B959E6E" w:rsidR="2F379DB5" w:rsidRDefault="2F379DB5" w:rsidP="2F379DB5">
      <w:pPr>
        <w:spacing w:after="0" w:line="257" w:lineRule="auto"/>
      </w:pPr>
      <w:r w:rsidRPr="2F379DB5">
        <w:rPr>
          <w:rFonts w:ascii="Calibri" w:eastAsia="Calibri" w:hAnsi="Calibri" w:cs="Calibri"/>
          <w:color w:val="000000" w:themeColor="text1"/>
        </w:rPr>
        <w:t xml:space="preserve">Organisations must understand their turnover rates. ‘Functional turnover’ removes poor </w:t>
      </w:r>
    </w:p>
    <w:p w14:paraId="3FE44F0A" w14:textId="4953DCB5"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performance, saves on wages and allows room for ‘new blood’. However, ‘dysfunctional turnover’ </w:t>
      </w:r>
    </w:p>
    <w:p w14:paraId="065A6871" w14:textId="7CD451D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has a negative effect on an organisation such as the financial cost of filling their vacant role, the loss of knowledge and skills they had, and leaving a negative effect remaining employees (Wilkinson and Taylor, 2016, pp. 68-69). </w:t>
      </w:r>
    </w:p>
    <w:p w14:paraId="6C210FF1" w14:textId="7F3B6557"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378E91B9" w14:textId="4639103A"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Retaining talent can help organisations save on costs of high turnover rates. Direct costs include HR </w:t>
      </w:r>
    </w:p>
    <w:p w14:paraId="6E78AF24" w14:textId="10F5DD2D"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administration time for processing the leaver, recruitment/selection process and new starer </w:t>
      </w:r>
    </w:p>
    <w:p w14:paraId="31BC609D" w14:textId="679480F3"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lastRenderedPageBreak/>
        <w:t xml:space="preserve">paperwork, advertising, selection, covering the vacant role, new starter costs and induction/training costs. Indirect costs include less productivity from the leaver in their final weeks and the new starter in their first few weeks, less morale and productivity from colleagues who are sad about the departure/overwhelmed with their increased workload, damaged client relationships, waste of training and development costs, the leaver taking company information to their new employer and damage to the organisation if the leaver left on bad terms (Wilkinson and Taylor, 2016, p.70). </w:t>
      </w:r>
    </w:p>
    <w:p w14:paraId="0CAC15A0" w14:textId="3B673D8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56A4D5C5" w14:textId="1AB5EAA5"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Understanding why people leave helps organisations come up with retention strategies that can </w:t>
      </w:r>
    </w:p>
    <w:p w14:paraId="0691B461" w14:textId="55681551"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address the problem efficiently. Exit interviews where the leaver discusses with a company representative their reasons for leaving, what could have made them stay and how the organisation can improve can help. Employee attitude surveys gather opinions across the whole workforce about issues occurring throughout the whole organisation. Surveys from ex-employees which are completed a few months after they have left to establish why they left are also beneficial (Wilkinson and Taylor, 2016, pp. 70-71). </w:t>
      </w:r>
    </w:p>
    <w:p w14:paraId="5FAAB7D1" w14:textId="2533DFE1"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7285DE81" w14:textId="146F4C11"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Lack of development opportunities is a reason to leave an organisation. By helping employees </w:t>
      </w:r>
    </w:p>
    <w:p w14:paraId="08AB5142" w14:textId="069A3065"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achieve their goals through in-house training opportunities to advance their professional </w:t>
      </w:r>
    </w:p>
    <w:p w14:paraId="6C58FBF3" w14:textId="1005BCD8"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development, this can be addressed. Practicing a feedback culture, such as using pulse surveys, can </w:t>
      </w:r>
    </w:p>
    <w:p w14:paraId="7CA34E50" w14:textId="415D6C6B"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help employees realise their goals and responsibilities (Vantage Circle, 2020). Lateral and vertical </w:t>
      </w:r>
    </w:p>
    <w:p w14:paraId="4CEB4BA4" w14:textId="4BC8D2C1"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moves also help employees develop (Wilkinson and Taylor, 2016, p. 72). </w:t>
      </w:r>
    </w:p>
    <w:p w14:paraId="4AFD11A2" w14:textId="45DC906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59159078" w14:textId="2B7AEA8E"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Another reason for leaving is bad relationships. Investing in management training, teambuilding </w:t>
      </w:r>
    </w:p>
    <w:p w14:paraId="590FE00D" w14:textId="6DB97AB2"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activities, allowing opportunities for internal transfers and putting in place an internal mediation </w:t>
      </w:r>
    </w:p>
    <w:p w14:paraId="1397CDDB" w14:textId="67ED24AD"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scheme can help address this problem (Wilkinson and Taylor, 2016, p. 72). </w:t>
      </w:r>
    </w:p>
    <w:p w14:paraId="2906CA1F" w14:textId="22908D7E"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02573EB5" w14:textId="2F37D50A"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Unsatisfactory financial rewards can make people leave. Benchmarking against other companies to </w:t>
      </w:r>
    </w:p>
    <w:p w14:paraId="2955FB9E" w14:textId="65A8F126"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ensure you are offering a competitive salary (Wilkinson and Taylor, 2016, p. 72), finance incentives, </w:t>
      </w:r>
    </w:p>
    <w:p w14:paraId="373719BE" w14:textId="695FFF06"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retirement plans, etc, can address this problem. </w:t>
      </w:r>
    </w:p>
    <w:p w14:paraId="3A1E4319" w14:textId="2E485DC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69160DC6" w14:textId="6A0C349D"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Non-financial rewards also need looking at which include social recognition, motivation, developing </w:t>
      </w:r>
    </w:p>
    <w:p w14:paraId="6637C041" w14:textId="7255C649"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health and wellbeing programmes in the organisation, maintaining a work-life balance and allowing </w:t>
      </w:r>
    </w:p>
    <w:p w14:paraId="69F27798" w14:textId="1BFB0D4F"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working from home and flexi-time (Vantage Circle. 2020). The latter can also help with another </w:t>
      </w:r>
    </w:p>
    <w:p w14:paraId="4D79E547" w14:textId="575683FE"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reason for leaving which is other commitments interfering with work commitments. Help for </w:t>
      </w:r>
    </w:p>
    <w:p w14:paraId="10B677CC" w14:textId="6878DCD5"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working mothers and sabbaticals can also address this (Taylor and Wilkinson, 2016, p. 72). </w:t>
      </w:r>
    </w:p>
    <w:p w14:paraId="5E8A7304" w14:textId="504F65A0"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General negative opinions of the company are a reason for leaving. Organisations should be </w:t>
      </w:r>
    </w:p>
    <w:p w14:paraId="31F2DE54" w14:textId="16F20E1B"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transparent in policies and procedures, increase corporate social responsibility and ethics, value </w:t>
      </w:r>
    </w:p>
    <w:p w14:paraId="19A64813" w14:textId="1305B749"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equality and diversity and consult and involve employees in organisational decisions (Taylor and </w:t>
      </w:r>
    </w:p>
    <w:p w14:paraId="71C1DE5F" w14:textId="3B51B868"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Wilkinson, 2016, p. 72). </w:t>
      </w:r>
    </w:p>
    <w:p w14:paraId="0093718C" w14:textId="2E9E3662"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10198B53" w14:textId="3614502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Having a good organisational culture is crucial. The values, attitudes and beliefs shared by the people in the workforce determine how people are treated and how decisions are made. A lack of equality and diversity can lead to the wrong people going into the wrong jobs, some people not being recognised and rewarded for good work and not being able to express opinions. This can lead to the organisation feeling stagnant. Equality and diversity stop organisations from becoming stagnant as everyone can express their opinions, be considered for jobs and recognised and rewarded for hard work (TEDx Talks, 2018). </w:t>
      </w:r>
    </w:p>
    <w:p w14:paraId="70E72FAB" w14:textId="6AB3513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3BE76D78" w14:textId="0CD9A60E"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Netflix has a thriving culture where its workers can take charge of their careers and the direction of </w:t>
      </w:r>
    </w:p>
    <w:p w14:paraId="7B5B298C" w14:textId="4153EAF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lastRenderedPageBreak/>
        <w:t xml:space="preserve">the company and are open to sharing information broadly across the company which allows for </w:t>
      </w:r>
    </w:p>
    <w:p w14:paraId="73E66439" w14:textId="4F42DA97"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more creativity and innovation which is not limited to senior managers (Nguyen, 2021). </w:t>
      </w:r>
    </w:p>
    <w:p w14:paraId="24539E62" w14:textId="23B95C50"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 </w:t>
      </w:r>
    </w:p>
    <w:p w14:paraId="48633EB0" w14:textId="39958F2B"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Organisations also need supportive managers at all levels whose values can be seen in their actions </w:t>
      </w:r>
    </w:p>
    <w:p w14:paraId="4BB5E3C4" w14:textId="6EB553A8"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and words (Thomas, 2019). Clarity and purpose also help retain talent as it allows employees to feel </w:t>
      </w:r>
    </w:p>
    <w:p w14:paraId="582275E7" w14:textId="4A902795"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as if they are part of something big. When they are clear about their destination, they can gain a </w:t>
      </w:r>
    </w:p>
    <w:p w14:paraId="4D171C1C" w14:textId="0B1F3FEB"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sense of achievement and a sense of belonging. This fits into Maslow’s hierarchy of needs (Positive </w:t>
      </w:r>
    </w:p>
    <w:p w14:paraId="066A0137" w14:textId="79AC5B5E"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 xml:space="preserve">Revolution, 2018). A final reason for leaving is an unsatisfactory working environment where </w:t>
      </w:r>
    </w:p>
    <w:p w14:paraId="4AC0C8B8" w14:textId="3008ACD4" w:rsidR="2F379DB5" w:rsidRDefault="2F379DB5" w:rsidP="2F379DB5">
      <w:pPr>
        <w:spacing w:after="0" w:line="257" w:lineRule="auto"/>
        <w:rPr>
          <w:rFonts w:ascii="Calibri" w:eastAsia="Calibri" w:hAnsi="Calibri" w:cs="Calibri"/>
          <w:color w:val="000000" w:themeColor="text1"/>
        </w:rPr>
      </w:pPr>
      <w:r w:rsidRPr="2F379DB5">
        <w:rPr>
          <w:rFonts w:ascii="Calibri" w:eastAsia="Calibri" w:hAnsi="Calibri" w:cs="Calibri"/>
          <w:color w:val="000000" w:themeColor="text1"/>
        </w:rPr>
        <w:t>investment should be made in equipment and maintenance (Wilkinson and Taylor, 2016, p. 72).</w:t>
      </w:r>
    </w:p>
    <w:p w14:paraId="1494F431" w14:textId="2189E376" w:rsidR="2F379DB5" w:rsidRDefault="2F379DB5" w:rsidP="2F379DB5">
      <w:pPr>
        <w:spacing w:line="257" w:lineRule="auto"/>
        <w:rPr>
          <w:rFonts w:ascii="Calibri" w:eastAsia="Calibri" w:hAnsi="Calibri" w:cs="Calibri"/>
        </w:rPr>
      </w:pPr>
    </w:p>
    <w:p w14:paraId="43438FB7" w14:textId="0F4C8630" w:rsidR="2F379DB5" w:rsidRDefault="2F379DB5" w:rsidP="2F379DB5">
      <w:pPr>
        <w:rPr>
          <w:rFonts w:ascii="Calibri" w:eastAsia="Calibri" w:hAnsi="Calibri" w:cs="Calibri"/>
          <w:color w:val="FF0000"/>
        </w:rPr>
      </w:pPr>
    </w:p>
    <w:p w14:paraId="5DEB370F" w14:textId="71A26776" w:rsidR="2F379DB5" w:rsidRDefault="2F379DB5" w:rsidP="2F379DB5">
      <w:pPr>
        <w:rPr>
          <w:rFonts w:ascii="Calibri" w:eastAsia="Calibri" w:hAnsi="Calibri" w:cs="Calibri"/>
        </w:rPr>
      </w:pPr>
      <w:r w:rsidRPr="2F379DB5">
        <w:rPr>
          <w:rFonts w:ascii="Calibri" w:eastAsia="Calibri" w:hAnsi="Calibri" w:cs="Calibri"/>
        </w:rPr>
        <w:t>3.1</w:t>
      </w:r>
    </w:p>
    <w:p w14:paraId="47BEB5F2" w14:textId="39170248"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 job analysis determines what skills and experience are needed for the role. Data should be collected from sources such as the duties and responsibilities of the job, what materials, equipment and tools are used, controls over work, performance expectations, interactions with others, working environment, and determining education/experience needed. This information can come from the previous role holder via observations, work diaries or interviews. The line manager and other stakeholders who know the individual can provide information as well as appraisal results, training manuals and external experts.</w:t>
      </w:r>
    </w:p>
    <w:p w14:paraId="236F9922" w14:textId="199AE71C"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After the analysis is completed, a job description can be developed. This usually includes a summary of the main purpose of the role, a list of job duties with brief descriptions, job title, pay, location, supervisor information, information on subordinates and reference to other specific documents for clarity.</w:t>
      </w:r>
    </w:p>
    <w:p w14:paraId="062976AE" w14:textId="2D612546"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Person specifications focus on human attributes needed to carry out the role. This can include what experience is needed, qualifications, education, skills and personal attributes. Each specification is often categorised as either essential or desirable for the role.</w:t>
      </w:r>
    </w:p>
    <w:p w14:paraId="23311AF4" w14:textId="002804A3"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 xml:space="preserve">Job descriptions and person specifications can be used to help draw up the advert, be handed out in application packs and can produce criteria for shortlisting. </w:t>
      </w:r>
    </w:p>
    <w:p w14:paraId="1C1E8F32" w14:textId="602772C4"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Competency frameworks are developed to define the behaviours that individuals need to perform a job role effectively (CIPD, 2021c). These behaviours often link to core values of the organisation (Wilkinson and Taylor, 2016, p. 65). There should be definitions/examples and negative indicators for each competency. The framework cannot be too broad where there is not enough detail to assess candidates, and it cannot be too detailed where the process becomes too time-consuming and can lose credibility. Competency frameworks should be constantly reviewed and regard core values and future-focused workforce planning to understand the nature and requirements of the role to deal with the changing nature of jobs and to remain open to diversity (CIPD, 2021c). Competency frameworks allow for the recruitment system to be fairer; recruiters can use them to identify transferable skills and the process is measurable and standardised (CIPD, 2021c).</w:t>
      </w:r>
    </w:p>
    <w:p w14:paraId="2F6DDE33" w14:textId="1C1AE7AA" w:rsidR="2F379DB5" w:rsidRDefault="2F379DB5" w:rsidP="2F379DB5">
      <w:pPr>
        <w:rPr>
          <w:rFonts w:ascii="Calibri" w:eastAsia="Calibri" w:hAnsi="Calibri" w:cs="Calibri"/>
        </w:rPr>
      </w:pPr>
    </w:p>
    <w:p w14:paraId="71AEAF12" w14:textId="1B03CB28" w:rsidR="2F379DB5" w:rsidRDefault="2F379DB5" w:rsidP="2F379DB5">
      <w:pPr>
        <w:rPr>
          <w:rFonts w:ascii="Calibri" w:eastAsia="Calibri" w:hAnsi="Calibri" w:cs="Calibri"/>
        </w:rPr>
      </w:pPr>
      <w:r w:rsidRPr="2F379DB5">
        <w:rPr>
          <w:rFonts w:ascii="Calibri" w:eastAsia="Calibri" w:hAnsi="Calibri" w:cs="Calibri"/>
        </w:rPr>
        <w:t>3.2</w:t>
      </w:r>
    </w:p>
    <w:p w14:paraId="72896ABA" w14:textId="556D59D4"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Internal methods of recruitment include promotions, transfers, job rotation, rehiring former staff and appointing interns to permanent roles. This is cost-effective as advertising is free using staff notice boards, intranet and newsletters (Taylor, 2019, p. 231).</w:t>
      </w:r>
    </w:p>
    <w:p w14:paraId="704CE34A" w14:textId="34103062"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Another advantage is it creates a progression path for employees which increases levels of retention. When the outcomes of training and development activities are used to help the organisation, it is cost-effective and useful for succession planning (Bright HR, 2022). Disadvantages includes lack of ‘new blood’ to help generate new and innovative ideas, failure to have a diverse workforce if the current workforce is not already diverse and the difficultly in turning down an internal candidate for a role which can lead to low morale (Taylor, 2019, p. 231).</w:t>
      </w:r>
    </w:p>
    <w:p w14:paraId="796263A7" w14:textId="55AB4B64"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Specialist expertise such as recruitment agencies are beneficial as they are experts and skilled in recruitment and can have access to a large network of potential candidates. However, the cost may not be viable (Bright HR, 2022).</w:t>
      </w:r>
    </w:p>
    <w:p w14:paraId="6983C854" w14:textId="428A9140"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Recruitment in the media includes print media such as professional journals and newspapers. Advertising in print still attracts a good number of candidates. Professional journals are a good way to advertise specialist jobs to attract the appropriate talent and newspapers are read by a large audience. However, these adverts can be costly and more information can be given online (Taylor, 2019, p. 236).</w:t>
      </w:r>
    </w:p>
    <w:p w14:paraId="008BBE5C" w14:textId="4B006230"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Social media is less expensive that other forms of advertising and sites such as LinkedIn can be used to communicate job opportunities with target groups of people. However, there can be disadvantages in terms of equality and diversity. Younger people tend to use social media more than older people and more women use social media than men (Taylor, 2019, p. 247).</w:t>
      </w:r>
    </w:p>
    <w:p w14:paraId="3D5BA3F8" w14:textId="6DBE0BFD"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Education Liaison methods of recruitment include career fairs, advisors and student services (Taylor, 2019, p. 230). Advantages include targeting people who are interested in your area so no wasted applications and in can increase the employer branding. Disadvantages are cost and can be time-consuming (Creighton, 2018).</w:t>
      </w:r>
    </w:p>
    <w:p w14:paraId="1842D34C" w14:textId="207A7E61"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One method of selection is application procedures which include CVs and application forms. Candidates can tailor a CV to their own strengths and application forms can be too restricting. However, CVs can allow candidates to mention irrelevant details for the job, which is not useful to the employer, so application forms are a way to stop this from happening (Taylor, 2019, p. 311).</w:t>
      </w:r>
    </w:p>
    <w:p w14:paraId="4BD97435" w14:textId="4D3B158F"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Another method of selection are interviews such as telephone, face-to-face, panel interviews and group interviews (Wilkinson and Taylor, 2016, pp. 65-66). Advantages include interviewers can get to know the candidate more through their body language and facial expressions to determine if they will be the right fit for the company (Sisk, 2018). Disadvantages include bias from the interviewer such as the similar-to-me effect, they can be time consuming and panel and group interviews can be overwhelming and hard to arrange (Taylor, 2019, p. 328).</w:t>
      </w:r>
    </w:p>
    <w:p w14:paraId="09221AC0" w14:textId="5D8CECFA"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Personality tests can help gain more insight to the candidates' abilities and help determine where they can fit depending on their strengths. However, candidates may answer dishonestly to appear like the ideal candidate and sometimes the wrong tests are used which is not useful to determine the best fit  (Hiring and Onboarding, 2021).</w:t>
      </w:r>
    </w:p>
    <w:p w14:paraId="26CC9440" w14:textId="20FC52F7"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Assessment centres include activities such as presentations, work samples, group activities and role-playing. They give the employer more of an insight into the suitability of each candidate for the role. However, a lot of candidates are needed to make it viable, and they tend to be costly (Wilkinson and Taylor, 2016, pp. 66-67).</w:t>
      </w:r>
    </w:p>
    <w:p w14:paraId="09BC5CA8" w14:textId="330A3E5D" w:rsidR="2F379DB5" w:rsidRDefault="2F379DB5" w:rsidP="2F379DB5">
      <w:pPr>
        <w:rPr>
          <w:rFonts w:ascii="Calibri" w:eastAsia="Calibri" w:hAnsi="Calibri" w:cs="Calibri"/>
        </w:rPr>
      </w:pPr>
      <w:r w:rsidRPr="2F379DB5">
        <w:rPr>
          <w:rFonts w:ascii="Calibri" w:eastAsia="Calibri" w:hAnsi="Calibri" w:cs="Calibri"/>
        </w:rPr>
        <w:t>3.3</w:t>
      </w:r>
    </w:p>
    <w:p w14:paraId="6E01C0BB" w14:textId="65882AFD"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Dismissal relates to involuntary employee turnover and happens when an employee fails to meet the requirements of their job role. Coduct is a valid reason for dismissal where company rules are broken in a minor (misconduct) or major (gross misconduct) way. Capability is another valid reason for dismissal where an employee cannot perform their job role due to competence or health. Acas has a standard code of practice to follow for dismissals.</w:t>
      </w:r>
    </w:p>
    <w:p w14:paraId="6338FCD4" w14:textId="5CFA690E"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Redundancy is involuntary employee turnover where employees are dismissed when their job role is no longer viable and can only occur when a business/workplace closes or there is a reduction in a certain type of work. Alternatives to redundancy should be looked at first which including recruitment freezes, pay cuts and voluntary redundancies/early retirement. If alternatives are not appropriate, the company needs to follow the correct procedure for redundancies. Communication and transparency are key throughout and paying attention to those still employed (low morale/increased workloads) as well as those made redundant (Wilkinson and Taylor, 2016, p. 75).</w:t>
      </w:r>
    </w:p>
    <w:p w14:paraId="2E9E1BB9" w14:textId="65F9EB8B" w:rsidR="2F379DB5" w:rsidRDefault="2F379DB5" w:rsidP="2F379DB5">
      <w:pPr>
        <w:rPr>
          <w:rFonts w:ascii="Calibri" w:eastAsia="Calibri" w:hAnsi="Calibri" w:cs="Calibri"/>
          <w:color w:val="000000" w:themeColor="text1"/>
        </w:rPr>
      </w:pPr>
      <w:r w:rsidRPr="2F379DB5">
        <w:rPr>
          <w:rFonts w:ascii="Calibri" w:eastAsia="Calibri" w:hAnsi="Calibri" w:cs="Calibri"/>
          <w:color w:val="000000" w:themeColor="text1"/>
        </w:rPr>
        <w:t>Retirement at a certain age is no longer compulsory so it is unlawful for a company to make someone retire when they reach a certain age. The individual has more control regarding their retirement. Flexible retirement, reducing workload slowly or becoming a consultant are popular choices. Ongoing discussions with employees about their future at the company is good practice. Organisations can make retirement compulsory for an individual at a certain age if there is a genuine reason (Wilkinson and Taylor, 2016, p. 74).</w:t>
      </w:r>
    </w:p>
    <w:p w14:paraId="05F7CA2D" w14:textId="292612EC" w:rsidR="2F379DB5" w:rsidRDefault="2F379DB5" w:rsidP="2F379DB5">
      <w:pPr>
        <w:rPr>
          <w:rFonts w:ascii="Calibri" w:eastAsia="Calibri" w:hAnsi="Calibri" w:cs="Calibri"/>
        </w:rPr>
      </w:pPr>
    </w:p>
    <w:p w14:paraId="51A13772" w14:textId="55F23BE4" w:rsidR="2F379DB5" w:rsidRDefault="2F379DB5" w:rsidP="2F379DB5">
      <w:pPr>
        <w:rPr>
          <w:rFonts w:ascii="Calibri" w:eastAsia="Calibri" w:hAnsi="Calibri" w:cs="Calibri"/>
          <w:color w:val="92D050"/>
        </w:rPr>
      </w:pPr>
    </w:p>
    <w:p w14:paraId="42707A10" w14:textId="6B8EC959" w:rsidR="4863493E" w:rsidRDefault="4863493E" w:rsidP="4863493E">
      <w:pPr>
        <w:rPr>
          <w:u w:val="single"/>
        </w:rPr>
      </w:pPr>
      <w:r w:rsidRPr="11C1292D">
        <w:rPr>
          <w:u w:val="single"/>
        </w:rPr>
        <w:t>References</w:t>
      </w:r>
    </w:p>
    <w:p w14:paraId="03DDA775" w14:textId="50E03B8A" w:rsidR="11C1292D" w:rsidRDefault="11C1292D" w:rsidP="11C1292D">
      <w:pPr>
        <w:rPr>
          <w:u w:val="single"/>
        </w:rPr>
      </w:pPr>
      <w:r>
        <w:t xml:space="preserve">Admiral (2022) </w:t>
      </w:r>
      <w:r w:rsidRPr="2F379DB5">
        <w:rPr>
          <w:i/>
          <w:iCs/>
        </w:rPr>
        <w:t xml:space="preserve">Working for Admiral. </w:t>
      </w:r>
      <w:r w:rsidRPr="2F379DB5">
        <w:t xml:space="preserve">Available at: </w:t>
      </w:r>
      <w:hyperlink r:id="rId5">
        <w:r w:rsidRPr="2F379DB5">
          <w:rPr>
            <w:rStyle w:val="Hyperlink"/>
          </w:rPr>
          <w:t>https://www.admiral.com/about-us/working-for-admiral</w:t>
        </w:r>
      </w:hyperlink>
      <w:r w:rsidRPr="2F379DB5">
        <w:t xml:space="preserve"> (Accessed: 23 April 2022).</w:t>
      </w:r>
    </w:p>
    <w:p w14:paraId="4A2297A4" w14:textId="26760E5A" w:rsidR="2F379DB5" w:rsidRDefault="2F379DB5" w:rsidP="2F379DB5">
      <w:pPr>
        <w:rPr>
          <w:rFonts w:ascii="Calibri" w:eastAsia="Calibri" w:hAnsi="Calibri" w:cs="Calibri"/>
        </w:rPr>
      </w:pPr>
      <w:r w:rsidRPr="2F379DB5">
        <w:rPr>
          <w:rFonts w:ascii="Calibri" w:eastAsia="Calibri" w:hAnsi="Calibri" w:cs="Calibri"/>
        </w:rPr>
        <w:t xml:space="preserve">Bright HR (2022) </w:t>
      </w:r>
      <w:r w:rsidRPr="2F379DB5">
        <w:rPr>
          <w:rFonts w:ascii="Calibri" w:eastAsia="Calibri" w:hAnsi="Calibri" w:cs="Calibri"/>
          <w:i/>
          <w:iCs/>
        </w:rPr>
        <w:t xml:space="preserve">Popular recruitment techniques. </w:t>
      </w:r>
      <w:r w:rsidRPr="2F379DB5">
        <w:rPr>
          <w:rFonts w:ascii="Calibri" w:eastAsia="Calibri" w:hAnsi="Calibri" w:cs="Calibri"/>
        </w:rPr>
        <w:t xml:space="preserve">Available at: </w:t>
      </w:r>
      <w:hyperlink r:id="rId6">
        <w:r w:rsidRPr="2F379DB5">
          <w:rPr>
            <w:rStyle w:val="Hyperlink"/>
            <w:rFonts w:ascii="Calibri" w:eastAsia="Calibri" w:hAnsi="Calibri" w:cs="Calibri"/>
          </w:rPr>
          <w:t>https://www.brighthr.com/articles/hiring/recruitment/popular-employee-recruitment-techniques/</w:t>
        </w:r>
      </w:hyperlink>
      <w:r w:rsidRPr="2F379DB5">
        <w:rPr>
          <w:rFonts w:ascii="Calibri" w:eastAsia="Calibri" w:hAnsi="Calibri" w:cs="Calibri"/>
        </w:rPr>
        <w:t xml:space="preserve"> (Accessed: 23 April 2022).</w:t>
      </w:r>
    </w:p>
    <w:p w14:paraId="6ABEF53C" w14:textId="7A8B6359" w:rsidR="4863493E" w:rsidRDefault="4863493E" w:rsidP="4863493E">
      <w:pPr>
        <w:rPr>
          <w:rFonts w:ascii="Calibri" w:eastAsia="Calibri" w:hAnsi="Calibri" w:cs="Calibri"/>
        </w:rPr>
      </w:pPr>
      <w:r>
        <w:t xml:space="preserve">Chartered Institute of Personnel and Development (2020a) </w:t>
      </w:r>
      <w:r w:rsidRPr="11C1292D">
        <w:rPr>
          <w:rFonts w:ascii="Calibri" w:eastAsia="Calibri" w:hAnsi="Calibri" w:cs="Calibri"/>
          <w:i/>
          <w:iCs/>
        </w:rPr>
        <w:t>Resourcing and talent planning survey 2020.</w:t>
      </w:r>
      <w:r w:rsidRPr="11C1292D">
        <w:rPr>
          <w:rFonts w:ascii="Calibri" w:eastAsia="Calibri" w:hAnsi="Calibri" w:cs="Calibri"/>
        </w:rPr>
        <w:t xml:space="preserve"> Available at: </w:t>
      </w:r>
      <w:hyperlink r:id="rId7">
        <w:r w:rsidRPr="11C1292D">
          <w:rPr>
            <w:rStyle w:val="Hyperlink"/>
            <w:rFonts w:ascii="Calibri" w:eastAsia="Calibri" w:hAnsi="Calibri" w:cs="Calibri"/>
          </w:rPr>
          <w:t>https://www.cipd.co.uk/knowledge/strategy/resourcing/surveys</w:t>
        </w:r>
      </w:hyperlink>
      <w:r w:rsidRPr="11C1292D">
        <w:rPr>
          <w:rFonts w:ascii="Calibri" w:eastAsia="Calibri" w:hAnsi="Calibri" w:cs="Calibri"/>
        </w:rPr>
        <w:t xml:space="preserve"> (Accessed: 30 March 2022).</w:t>
      </w:r>
    </w:p>
    <w:p w14:paraId="1D6DCFFB" w14:textId="1F7ABAF7" w:rsidR="4863493E" w:rsidRDefault="4863493E" w:rsidP="11C1292D">
      <w:pPr>
        <w:rPr>
          <w:rFonts w:ascii="Calibri" w:eastAsia="Calibri" w:hAnsi="Calibri" w:cs="Calibri"/>
        </w:rPr>
      </w:pPr>
      <w:r>
        <w:t xml:space="preserve">Chartered Institute of Personnel and Development (2020b) </w:t>
      </w:r>
      <w:r w:rsidR="11C1292D" w:rsidRPr="11C1292D">
        <w:rPr>
          <w:i/>
          <w:iCs/>
        </w:rPr>
        <w:t xml:space="preserve">Succession planning. </w:t>
      </w:r>
      <w:r w:rsidR="11C1292D" w:rsidRPr="11C1292D">
        <w:t xml:space="preserve">Available at: </w:t>
      </w:r>
      <w:hyperlink r:id="rId8">
        <w:r w:rsidR="11C1292D" w:rsidRPr="11C1292D">
          <w:rPr>
            <w:rStyle w:val="Hyperlink"/>
          </w:rPr>
          <w:t>https://www.cipd.co.uk/knowledge/strategy/resourcing/succession-planning-factsheet</w:t>
        </w:r>
      </w:hyperlink>
      <w:r w:rsidR="11C1292D" w:rsidRPr="11C1292D">
        <w:t xml:space="preserve"> (Accessed: 22 April 2022).</w:t>
      </w:r>
    </w:p>
    <w:p w14:paraId="68641319" w14:textId="071B7A17" w:rsidR="4863493E" w:rsidRDefault="4863493E" w:rsidP="11C1292D">
      <w:r>
        <w:t xml:space="preserve">Chartered Institute of Personnel and Development (2021a) </w:t>
      </w:r>
      <w:r w:rsidRPr="2F379DB5">
        <w:rPr>
          <w:i/>
          <w:iCs/>
        </w:rPr>
        <w:t xml:space="preserve">Employer branding. </w:t>
      </w:r>
      <w:r w:rsidRPr="2F379DB5">
        <w:t xml:space="preserve">Available at: </w:t>
      </w:r>
      <w:hyperlink r:id="rId9">
        <w:r w:rsidR="11C1292D" w:rsidRPr="2F379DB5">
          <w:rPr>
            <w:rStyle w:val="Hyperlink"/>
            <w:rFonts w:ascii="Calibri" w:eastAsia="Calibri" w:hAnsi="Calibri" w:cs="Calibri"/>
          </w:rPr>
          <w:t>Employer Branding | Factsheets | CIPD</w:t>
        </w:r>
      </w:hyperlink>
      <w:r w:rsidR="11C1292D" w:rsidRPr="2F379DB5">
        <w:rPr>
          <w:rFonts w:ascii="Calibri" w:eastAsia="Calibri" w:hAnsi="Calibri" w:cs="Calibri"/>
        </w:rPr>
        <w:t xml:space="preserve"> (Accessed: 23 April 2022).</w:t>
      </w:r>
    </w:p>
    <w:p w14:paraId="3B6888C1" w14:textId="79EE058E" w:rsidR="4863493E" w:rsidRDefault="4863493E" w:rsidP="2F379DB5">
      <w:pPr>
        <w:rPr>
          <w:rFonts w:ascii="Calibri" w:eastAsia="Calibri" w:hAnsi="Calibri" w:cs="Calibri"/>
        </w:rPr>
      </w:pPr>
      <w:r>
        <w:t xml:space="preserve">Chartered Institute of Personnel and Development (2021b) Resourcing and Talent Planning Survey 2021. Available at: </w:t>
      </w:r>
      <w:hyperlink r:id="rId10">
        <w:r w:rsidR="2F379DB5" w:rsidRPr="2F379DB5">
          <w:rPr>
            <w:rStyle w:val="Hyperlink"/>
          </w:rPr>
          <w:t>https://www.cipd.co.uk/knowledge/strategy/resourcing/surveys</w:t>
        </w:r>
      </w:hyperlink>
      <w:r w:rsidR="2F379DB5">
        <w:t xml:space="preserve"> (Accessed: 23 April 2022).</w:t>
      </w:r>
    </w:p>
    <w:p w14:paraId="34C8DDAB" w14:textId="5A9E6111" w:rsidR="4863493E" w:rsidRDefault="4863493E" w:rsidP="2F379DB5">
      <w:r>
        <w:t xml:space="preserve">Chartered Institute of Personnel and Development (2021b) </w:t>
      </w:r>
      <w:r w:rsidR="2F379DB5" w:rsidRPr="2F379DB5">
        <w:rPr>
          <w:i/>
          <w:iCs/>
        </w:rPr>
        <w:t xml:space="preserve">Competence and competency frameworks. </w:t>
      </w:r>
      <w:r w:rsidR="2F379DB5" w:rsidRPr="2F379DB5">
        <w:t xml:space="preserve">Available at: </w:t>
      </w:r>
      <w:hyperlink r:id="rId11" w:anchor="gref">
        <w:r w:rsidR="2F379DB5" w:rsidRPr="2F379DB5">
          <w:rPr>
            <w:rStyle w:val="Hyperlink"/>
            <w:rFonts w:ascii="Calibri" w:eastAsia="Calibri" w:hAnsi="Calibri" w:cs="Calibri"/>
          </w:rPr>
          <w:t>Competence &amp; Competency Frameworks | Factsheets | CIPD</w:t>
        </w:r>
      </w:hyperlink>
      <w:r w:rsidR="2F379DB5" w:rsidRPr="2F379DB5">
        <w:rPr>
          <w:rFonts w:ascii="Calibri" w:eastAsia="Calibri" w:hAnsi="Calibri" w:cs="Calibri"/>
        </w:rPr>
        <w:t xml:space="preserve"> (Accessed: 23 April 2022).</w:t>
      </w:r>
    </w:p>
    <w:p w14:paraId="7DD1E6C2" w14:textId="26491324" w:rsidR="2F379DB5" w:rsidRDefault="2F379DB5" w:rsidP="2F379DB5">
      <w:pPr>
        <w:rPr>
          <w:rFonts w:ascii="Calibri" w:eastAsia="Calibri" w:hAnsi="Calibri" w:cs="Calibri"/>
        </w:rPr>
      </w:pPr>
      <w:r w:rsidRPr="2F379DB5">
        <w:rPr>
          <w:rFonts w:ascii="Calibri" w:eastAsia="Calibri" w:hAnsi="Calibri" w:cs="Calibri"/>
        </w:rPr>
        <w:t xml:space="preserve">Creighton, K. (2018) </w:t>
      </w:r>
      <w:r w:rsidRPr="2F379DB5">
        <w:rPr>
          <w:rFonts w:ascii="Calibri" w:eastAsia="Calibri" w:hAnsi="Calibri" w:cs="Calibri"/>
          <w:i/>
          <w:iCs/>
        </w:rPr>
        <w:t xml:space="preserve">Pros and Cons of Job Fairs and Expos for HR Professionals. </w:t>
      </w:r>
      <w:r w:rsidRPr="2F379DB5">
        <w:rPr>
          <w:rFonts w:ascii="Calibri" w:eastAsia="Calibri" w:hAnsi="Calibri" w:cs="Calibri"/>
        </w:rPr>
        <w:t xml:space="preserve">Available at: </w:t>
      </w:r>
      <w:hyperlink r:id="rId12">
        <w:r w:rsidRPr="2F379DB5">
          <w:rPr>
            <w:rStyle w:val="Hyperlink"/>
            <w:rFonts w:ascii="Calibri" w:eastAsia="Calibri" w:hAnsi="Calibri" w:cs="Calibri"/>
          </w:rPr>
          <w:t>https://hrdailyadvisor.blr.com/2018/12/27/pros-and-cons-of-job-fairs-and-expos-for-hr-professionals/</w:t>
        </w:r>
      </w:hyperlink>
      <w:r w:rsidRPr="2F379DB5">
        <w:rPr>
          <w:rFonts w:ascii="Calibri" w:eastAsia="Calibri" w:hAnsi="Calibri" w:cs="Calibri"/>
        </w:rPr>
        <w:t xml:space="preserve"> (Accessed: 24 April 2022).</w:t>
      </w:r>
    </w:p>
    <w:p w14:paraId="0C97F763" w14:textId="7A37BE87" w:rsidR="2F379DB5" w:rsidRDefault="2F379DB5" w:rsidP="2F379DB5">
      <w:pPr>
        <w:rPr>
          <w:rFonts w:ascii="Calibri" w:eastAsia="Calibri" w:hAnsi="Calibri" w:cs="Calibri"/>
        </w:rPr>
      </w:pPr>
      <w:r w:rsidRPr="2F379DB5">
        <w:rPr>
          <w:rFonts w:ascii="Calibri" w:eastAsia="Calibri" w:hAnsi="Calibri" w:cs="Calibri"/>
        </w:rPr>
        <w:t xml:space="preserve">Hiring and Onboarding (2021) ‘Pros and Cons of Personality Tests in Hiring Process’, </w:t>
      </w:r>
      <w:r w:rsidRPr="2F379DB5">
        <w:rPr>
          <w:rFonts w:ascii="Calibri" w:eastAsia="Calibri" w:hAnsi="Calibri" w:cs="Calibri"/>
          <w:i/>
          <w:iCs/>
        </w:rPr>
        <w:t xml:space="preserve">Tilson </w:t>
      </w:r>
      <w:r w:rsidRPr="2F379DB5">
        <w:rPr>
          <w:rFonts w:ascii="Calibri" w:eastAsia="Calibri" w:hAnsi="Calibri" w:cs="Calibri"/>
        </w:rPr>
        <w:t xml:space="preserve">[blog] July 2021. Available at: </w:t>
      </w:r>
      <w:hyperlink r:id="rId13">
        <w:r w:rsidRPr="2F379DB5">
          <w:rPr>
            <w:rStyle w:val="Hyperlink"/>
            <w:rFonts w:ascii="Calibri" w:eastAsia="Calibri" w:hAnsi="Calibri" w:cs="Calibri"/>
          </w:rPr>
          <w:t>https://www.tilsonhr.com/pros-and-cons-of-personality-tests-in-hiring-process/</w:t>
        </w:r>
      </w:hyperlink>
      <w:r w:rsidRPr="2F379DB5">
        <w:rPr>
          <w:rFonts w:ascii="Calibri" w:eastAsia="Calibri" w:hAnsi="Calibri" w:cs="Calibri"/>
        </w:rPr>
        <w:t xml:space="preserve"> (Accessed: 24 April 2022).</w:t>
      </w:r>
    </w:p>
    <w:p w14:paraId="025D3E22" w14:textId="3F1973B0" w:rsidR="2F379DB5" w:rsidRDefault="2F379DB5" w:rsidP="2F379DB5">
      <w:r>
        <w:t>Nguyen, T. (2021)</w:t>
      </w:r>
      <w:r w:rsidRPr="2F379DB5">
        <w:rPr>
          <w:i/>
          <w:iCs/>
        </w:rPr>
        <w:t xml:space="preserve"> Inside Netflix company culture: Amazing and unusual. </w:t>
      </w:r>
      <w:r w:rsidRPr="2F379DB5">
        <w:t xml:space="preserve">Available at: </w:t>
      </w:r>
      <w:hyperlink r:id="rId14">
        <w:r w:rsidRPr="2F379DB5">
          <w:rPr>
            <w:rStyle w:val="Hyperlink"/>
          </w:rPr>
          <w:t>https://blog.grovehr.com/netflix-company-culture</w:t>
        </w:r>
      </w:hyperlink>
      <w:r w:rsidRPr="2F379DB5">
        <w:t xml:space="preserve"> (Accessed: 23 April 2022).</w:t>
      </w:r>
    </w:p>
    <w:p w14:paraId="77033ADB" w14:textId="64ACFED4" w:rsidR="2F379DB5" w:rsidRDefault="2F379DB5" w:rsidP="2F379DB5">
      <w:r w:rsidRPr="2F379DB5">
        <w:t xml:space="preserve">OECD (2022) </w:t>
      </w:r>
      <w:r w:rsidRPr="2F379DB5">
        <w:rPr>
          <w:i/>
          <w:iCs/>
        </w:rPr>
        <w:t xml:space="preserve">Data. </w:t>
      </w:r>
      <w:r w:rsidRPr="2F379DB5">
        <w:t xml:space="preserve">Available at: </w:t>
      </w:r>
      <w:hyperlink r:id="rId15">
        <w:r w:rsidRPr="2F379DB5">
          <w:rPr>
            <w:rStyle w:val="Hyperlink"/>
            <w:rFonts w:ascii="Calibri" w:eastAsia="Calibri" w:hAnsi="Calibri" w:cs="Calibri"/>
          </w:rPr>
          <w:t>OECD Data</w:t>
        </w:r>
      </w:hyperlink>
      <w:r w:rsidRPr="2F379DB5">
        <w:rPr>
          <w:rFonts w:ascii="Calibri" w:eastAsia="Calibri" w:hAnsi="Calibri" w:cs="Calibri"/>
        </w:rPr>
        <w:t xml:space="preserve"> (Accessed: 24 April 2022).</w:t>
      </w:r>
    </w:p>
    <w:p w14:paraId="7342F466" w14:textId="293EC3D3" w:rsidR="2F379DB5" w:rsidRDefault="2F379DB5" w:rsidP="2F379DB5">
      <w:r w:rsidRPr="2F379DB5">
        <w:t xml:space="preserve">Positive Revolution (2018) </w:t>
      </w:r>
      <w:r w:rsidRPr="2F379DB5">
        <w:rPr>
          <w:i/>
          <w:iCs/>
        </w:rPr>
        <w:t>TALENT RETENTION: How to reduce Attrition.</w:t>
      </w:r>
      <w:r w:rsidRPr="2F379DB5">
        <w:t xml:space="preserve"> Available at: </w:t>
      </w:r>
      <w:hyperlink r:id="rId16">
        <w:r w:rsidRPr="2F379DB5">
          <w:rPr>
            <w:rStyle w:val="Hyperlink"/>
          </w:rPr>
          <w:t>TALENT RETENTION: How to reduce Attrition</w:t>
        </w:r>
      </w:hyperlink>
      <w:r w:rsidRPr="2F379DB5">
        <w:t xml:space="preserve"> (Accessed: 23 April 2022).</w:t>
      </w:r>
    </w:p>
    <w:p w14:paraId="7C899DBF" w14:textId="5EC1B51F" w:rsidR="2F379DB5" w:rsidRDefault="2F379DB5" w:rsidP="2F379DB5">
      <w:r>
        <w:t xml:space="preserve">Rahman, M. (2021) </w:t>
      </w:r>
      <w:r w:rsidRPr="2F379DB5">
        <w:rPr>
          <w:i/>
          <w:iCs/>
        </w:rPr>
        <w:t xml:space="preserve">Advantages and disadvantages of reward systems. </w:t>
      </w:r>
      <w:r w:rsidRPr="2F379DB5">
        <w:t xml:space="preserve">Available at: </w:t>
      </w:r>
      <w:hyperlink r:id="rId17">
        <w:r w:rsidRPr="2F379DB5">
          <w:rPr>
            <w:rStyle w:val="Hyperlink"/>
          </w:rPr>
          <w:t>https://howandwhat.net/advantages-disadvantages-reward-systems/</w:t>
        </w:r>
      </w:hyperlink>
      <w:r w:rsidRPr="2F379DB5">
        <w:t xml:space="preserve"> (Accessed: 23 April 2022).</w:t>
      </w:r>
    </w:p>
    <w:p w14:paraId="119F184F" w14:textId="00F61F8F" w:rsidR="2F379DB5" w:rsidRDefault="2F379DB5" w:rsidP="2F379DB5">
      <w:r w:rsidRPr="2F379DB5">
        <w:t xml:space="preserve">Sisk, A. (2018) </w:t>
      </w:r>
      <w:r w:rsidRPr="2F379DB5">
        <w:rPr>
          <w:i/>
          <w:iCs/>
        </w:rPr>
        <w:t xml:space="preserve">What Are the Advantages &amp; Disadvantages of Interviews? </w:t>
      </w:r>
      <w:r w:rsidRPr="2F379DB5">
        <w:t xml:space="preserve">Available at: </w:t>
      </w:r>
      <w:hyperlink r:id="rId18">
        <w:r w:rsidRPr="2F379DB5">
          <w:rPr>
            <w:rStyle w:val="Hyperlink"/>
          </w:rPr>
          <w:t>https://bizfluent.com/about-7536454-advantages-disadvantages-interviews.html</w:t>
        </w:r>
      </w:hyperlink>
      <w:r w:rsidRPr="2F379DB5">
        <w:t xml:space="preserve"> (Accessed: 24 April 2022).</w:t>
      </w:r>
    </w:p>
    <w:p w14:paraId="2A7370E4" w14:textId="2AEF0D95" w:rsidR="2F379DB5" w:rsidRDefault="2F379DB5" w:rsidP="2F379DB5">
      <w:pPr>
        <w:rPr>
          <w:rFonts w:ascii="Calibri" w:eastAsia="Calibri" w:hAnsi="Calibri" w:cs="Calibri"/>
        </w:rPr>
      </w:pPr>
      <w:r w:rsidRPr="2F379DB5">
        <w:rPr>
          <w:rFonts w:ascii="Calibri" w:eastAsia="Calibri" w:hAnsi="Calibri" w:cs="Calibri"/>
        </w:rPr>
        <w:t xml:space="preserve">Steckerl, S. (2016) </w:t>
      </w:r>
      <w:r w:rsidRPr="2F379DB5">
        <w:rPr>
          <w:rFonts w:ascii="Calibri" w:eastAsia="Calibri" w:hAnsi="Calibri" w:cs="Calibri"/>
          <w:i/>
          <w:iCs/>
        </w:rPr>
        <w:t>Pros and Cons of Recruiting Methods.</w:t>
      </w:r>
      <w:r w:rsidRPr="2F379DB5">
        <w:rPr>
          <w:rFonts w:ascii="Calibri" w:eastAsia="Calibri" w:hAnsi="Calibri" w:cs="Calibri"/>
        </w:rPr>
        <w:t xml:space="preserve"> Available at: </w:t>
      </w:r>
      <w:hyperlink r:id="rId19">
        <w:r w:rsidRPr="2F379DB5">
          <w:rPr>
            <w:rStyle w:val="Hyperlink"/>
            <w:rFonts w:ascii="Calibri" w:eastAsia="Calibri" w:hAnsi="Calibri" w:cs="Calibri"/>
          </w:rPr>
          <w:t>https://www.linkedin.com/pulse/pros-cons-recruiting-methods-shally-steckerl</w:t>
        </w:r>
      </w:hyperlink>
      <w:r w:rsidRPr="2F379DB5">
        <w:rPr>
          <w:rFonts w:ascii="Calibri" w:eastAsia="Calibri" w:hAnsi="Calibri" w:cs="Calibri"/>
        </w:rPr>
        <w:t xml:space="preserve"> (Accessed: 23 April 2022).</w:t>
      </w:r>
    </w:p>
    <w:p w14:paraId="60442001" w14:textId="4E7E878D" w:rsidR="2F379DB5" w:rsidRDefault="2F379DB5" w:rsidP="2F379DB5">
      <w:pPr>
        <w:rPr>
          <w:rFonts w:ascii="Calibri" w:eastAsia="Calibri" w:hAnsi="Calibri" w:cs="Calibri"/>
        </w:rPr>
      </w:pPr>
      <w:r w:rsidRPr="2F379DB5">
        <w:rPr>
          <w:rFonts w:ascii="Calibri" w:eastAsia="Calibri" w:hAnsi="Calibri" w:cs="Calibri"/>
        </w:rPr>
        <w:t xml:space="preserve">TEDx Talks (2018) </w:t>
      </w:r>
      <w:r w:rsidRPr="2F379DB5">
        <w:rPr>
          <w:rFonts w:ascii="Calibri" w:eastAsia="Calibri" w:hAnsi="Calibri" w:cs="Calibri"/>
          <w:i/>
          <w:iCs/>
        </w:rPr>
        <w:t xml:space="preserve">Why great people quit good jobs | Christie Lindor | TEDxZaragoza. </w:t>
      </w:r>
      <w:r w:rsidRPr="2F379DB5">
        <w:rPr>
          <w:rFonts w:ascii="Calibri" w:eastAsia="Calibri" w:hAnsi="Calibri" w:cs="Calibri"/>
        </w:rPr>
        <w:t xml:space="preserve">Available at: </w:t>
      </w:r>
      <w:hyperlink r:id="rId20">
        <w:r w:rsidRPr="2F379DB5">
          <w:rPr>
            <w:rStyle w:val="Hyperlink"/>
            <w:rFonts w:ascii="Calibri" w:eastAsia="Calibri" w:hAnsi="Calibri" w:cs="Calibri"/>
          </w:rPr>
          <w:t>https://www.youtube.com/watch?v=nj2c5mKGTtQ</w:t>
        </w:r>
      </w:hyperlink>
      <w:r w:rsidRPr="2F379DB5">
        <w:rPr>
          <w:rFonts w:ascii="Calibri" w:eastAsia="Calibri" w:hAnsi="Calibri" w:cs="Calibri"/>
        </w:rPr>
        <w:t xml:space="preserve"> (Accessed: 23 April 2022).</w:t>
      </w:r>
    </w:p>
    <w:p w14:paraId="07897EA1" w14:textId="37D74091" w:rsidR="2F379DB5" w:rsidRDefault="2F379DB5" w:rsidP="2F379DB5">
      <w:pPr>
        <w:rPr>
          <w:rFonts w:ascii="Calibri" w:eastAsia="Calibri" w:hAnsi="Calibri" w:cs="Calibri"/>
        </w:rPr>
      </w:pPr>
      <w:r w:rsidRPr="2F379DB5">
        <w:rPr>
          <w:rFonts w:ascii="Calibri" w:eastAsia="Calibri" w:hAnsi="Calibri" w:cs="Calibri"/>
        </w:rPr>
        <w:t xml:space="preserve">Taylor, S. (2019) </w:t>
      </w:r>
      <w:r w:rsidRPr="2F379DB5">
        <w:rPr>
          <w:rFonts w:ascii="Calibri" w:eastAsia="Calibri" w:hAnsi="Calibri" w:cs="Calibri"/>
          <w:i/>
          <w:iCs/>
        </w:rPr>
        <w:t xml:space="preserve">Resourcing and Talent Management. </w:t>
      </w:r>
      <w:r w:rsidRPr="2F379DB5">
        <w:rPr>
          <w:rFonts w:ascii="Calibri" w:eastAsia="Calibri" w:hAnsi="Calibri" w:cs="Calibri"/>
        </w:rPr>
        <w:t>7</w:t>
      </w:r>
      <w:r w:rsidRPr="2F379DB5">
        <w:rPr>
          <w:rFonts w:ascii="Calibri" w:eastAsia="Calibri" w:hAnsi="Calibri" w:cs="Calibri"/>
          <w:vertAlign w:val="superscript"/>
        </w:rPr>
        <w:t>th</w:t>
      </w:r>
      <w:r w:rsidRPr="2F379DB5">
        <w:rPr>
          <w:rFonts w:ascii="Calibri" w:eastAsia="Calibri" w:hAnsi="Calibri" w:cs="Calibri"/>
        </w:rPr>
        <w:t xml:space="preserve"> edn. London: Kogan Page Limited.</w:t>
      </w:r>
    </w:p>
    <w:p w14:paraId="4AEBFC61" w14:textId="268D9672" w:rsidR="2F379DB5" w:rsidRDefault="2F379DB5" w:rsidP="2F379DB5">
      <w:pPr>
        <w:rPr>
          <w:rFonts w:ascii="Calibri" w:eastAsia="Calibri" w:hAnsi="Calibri" w:cs="Calibri"/>
        </w:rPr>
      </w:pPr>
      <w:r w:rsidRPr="2F379DB5">
        <w:rPr>
          <w:rFonts w:ascii="Calibri" w:eastAsia="Calibri" w:hAnsi="Calibri" w:cs="Calibri"/>
        </w:rPr>
        <w:t xml:space="preserve">Thomas, J. (2019) </w:t>
      </w:r>
      <w:r w:rsidRPr="2F379DB5">
        <w:rPr>
          <w:rFonts w:ascii="Calibri" w:eastAsia="Calibri" w:hAnsi="Calibri" w:cs="Calibri"/>
          <w:i/>
          <w:iCs/>
        </w:rPr>
        <w:t>Retaining talent with leadership that cares.</w:t>
      </w:r>
      <w:r w:rsidRPr="2F379DB5">
        <w:rPr>
          <w:rFonts w:ascii="Calibri" w:eastAsia="Calibri" w:hAnsi="Calibri" w:cs="Calibri"/>
        </w:rPr>
        <w:t xml:space="preserve"> Available at: </w:t>
      </w:r>
      <w:hyperlink r:id="rId21">
        <w:r w:rsidRPr="2F379DB5">
          <w:rPr>
            <w:rStyle w:val="Hyperlink"/>
            <w:rFonts w:ascii="Calibri" w:eastAsia="Calibri" w:hAnsi="Calibri" w:cs="Calibri"/>
          </w:rPr>
          <w:t>https://www.hrmagazine.co.uk/content/features/retaining-talent-with-leadership-that-cares</w:t>
        </w:r>
      </w:hyperlink>
      <w:r w:rsidRPr="2F379DB5">
        <w:rPr>
          <w:rFonts w:ascii="Calibri" w:eastAsia="Calibri" w:hAnsi="Calibri" w:cs="Calibri"/>
        </w:rPr>
        <w:t xml:space="preserve"> (Accessed: 23 April 2022).</w:t>
      </w:r>
    </w:p>
    <w:p w14:paraId="31DFB25B" w14:textId="630DB68F" w:rsidR="2F379DB5" w:rsidRDefault="2F379DB5" w:rsidP="2F379DB5">
      <w:r w:rsidRPr="2F379DB5">
        <w:rPr>
          <w:rFonts w:ascii="Calibri" w:eastAsia="Calibri" w:hAnsi="Calibri" w:cs="Calibri"/>
        </w:rPr>
        <w:t xml:space="preserve">Vantage Circle (2020) </w:t>
      </w:r>
      <w:r w:rsidRPr="2F379DB5">
        <w:rPr>
          <w:rFonts w:ascii="Calibri" w:eastAsia="Calibri" w:hAnsi="Calibri" w:cs="Calibri"/>
          <w:i/>
          <w:iCs/>
        </w:rPr>
        <w:t>Top 10 Employee Retention Strategies in 2020 - Vantage Circle.</w:t>
      </w:r>
      <w:r w:rsidRPr="2F379DB5">
        <w:rPr>
          <w:rFonts w:ascii="Calibri" w:eastAsia="Calibri" w:hAnsi="Calibri" w:cs="Calibri"/>
        </w:rPr>
        <w:t xml:space="preserve"> Available at: </w:t>
      </w:r>
      <w:hyperlink r:id="rId22">
        <w:r w:rsidRPr="2F379DB5">
          <w:rPr>
            <w:rStyle w:val="Hyperlink"/>
            <w:rFonts w:ascii="Calibri" w:eastAsia="Calibri" w:hAnsi="Calibri" w:cs="Calibri"/>
          </w:rPr>
          <w:t>Top 10 Employee Retention Strategies in 2020 - Vantage Circle - YouTube</w:t>
        </w:r>
      </w:hyperlink>
      <w:r w:rsidRPr="2F379DB5">
        <w:rPr>
          <w:rFonts w:ascii="Calibri" w:eastAsia="Calibri" w:hAnsi="Calibri" w:cs="Calibri"/>
        </w:rPr>
        <w:t xml:space="preserve"> (Accessed: 23 April 2022).</w:t>
      </w:r>
    </w:p>
    <w:p w14:paraId="2A140BDA" w14:textId="78D6E24B" w:rsidR="4863493E" w:rsidRDefault="4863493E" w:rsidP="4863493E">
      <w:pPr>
        <w:rPr>
          <w:rFonts w:ascii="Calibri" w:eastAsia="Calibri" w:hAnsi="Calibri" w:cs="Calibri"/>
        </w:rPr>
      </w:pPr>
      <w:r w:rsidRPr="4863493E">
        <w:rPr>
          <w:rFonts w:ascii="Calibri" w:eastAsia="Calibri" w:hAnsi="Calibri" w:cs="Calibri"/>
        </w:rPr>
        <w:t xml:space="preserve">Wilkinson, K. and Taylor, S. (2016) ‘Resourcing and Talent Planning’ in Taylor, S. and Woodhams, C. (ed.) </w:t>
      </w:r>
      <w:r w:rsidRPr="4863493E">
        <w:rPr>
          <w:rFonts w:ascii="Calibri" w:eastAsia="Calibri" w:hAnsi="Calibri" w:cs="Calibri"/>
          <w:i/>
          <w:iCs/>
        </w:rPr>
        <w:t xml:space="preserve">Human Resource Management: People and Organisations. </w:t>
      </w:r>
      <w:r w:rsidRPr="4863493E">
        <w:rPr>
          <w:rFonts w:ascii="Calibri" w:eastAsia="Calibri" w:hAnsi="Calibri" w:cs="Calibri"/>
        </w:rPr>
        <w:t xml:space="preserve">London: </w:t>
      </w:r>
      <w:r>
        <w:t>Chartered Institute of Personnel and Development.</w:t>
      </w:r>
    </w:p>
    <w:sectPr w:rsidR="486349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41AA1F"/>
    <w:rsid w:val="002CFF3F"/>
    <w:rsid w:val="005914B2"/>
    <w:rsid w:val="0064AE8D"/>
    <w:rsid w:val="00650E5C"/>
    <w:rsid w:val="00762591"/>
    <w:rsid w:val="00A8C614"/>
    <w:rsid w:val="00AE0F8E"/>
    <w:rsid w:val="00C73B96"/>
    <w:rsid w:val="00D5B283"/>
    <w:rsid w:val="010E261D"/>
    <w:rsid w:val="011B21FC"/>
    <w:rsid w:val="014269D6"/>
    <w:rsid w:val="016DA0F0"/>
    <w:rsid w:val="01AE61D1"/>
    <w:rsid w:val="01F37DA0"/>
    <w:rsid w:val="0211F5F2"/>
    <w:rsid w:val="0249DFEF"/>
    <w:rsid w:val="02626789"/>
    <w:rsid w:val="02B61166"/>
    <w:rsid w:val="02B702ED"/>
    <w:rsid w:val="02ED7CD0"/>
    <w:rsid w:val="03097151"/>
    <w:rsid w:val="034661B0"/>
    <w:rsid w:val="03ADC653"/>
    <w:rsid w:val="03E066D6"/>
    <w:rsid w:val="03F348A4"/>
    <w:rsid w:val="03FD3900"/>
    <w:rsid w:val="043A135E"/>
    <w:rsid w:val="04465DD4"/>
    <w:rsid w:val="04805DB0"/>
    <w:rsid w:val="04A541B2"/>
    <w:rsid w:val="051FFC4B"/>
    <w:rsid w:val="05226546"/>
    <w:rsid w:val="053A20C7"/>
    <w:rsid w:val="059AACB9"/>
    <w:rsid w:val="05CC6B6A"/>
    <w:rsid w:val="060257BA"/>
    <w:rsid w:val="060BFF1A"/>
    <w:rsid w:val="062F5FD4"/>
    <w:rsid w:val="0656628E"/>
    <w:rsid w:val="067F2AB5"/>
    <w:rsid w:val="07367D1A"/>
    <w:rsid w:val="07506EC5"/>
    <w:rsid w:val="07A69150"/>
    <w:rsid w:val="07CA23DD"/>
    <w:rsid w:val="07F7A4E3"/>
    <w:rsid w:val="081DA355"/>
    <w:rsid w:val="084009C5"/>
    <w:rsid w:val="0873387A"/>
    <w:rsid w:val="08F0CE07"/>
    <w:rsid w:val="0919D86F"/>
    <w:rsid w:val="094261B1"/>
    <w:rsid w:val="0958C404"/>
    <w:rsid w:val="0978B2D5"/>
    <w:rsid w:val="09937544"/>
    <w:rsid w:val="099BD209"/>
    <w:rsid w:val="09B6CB77"/>
    <w:rsid w:val="0A19BC66"/>
    <w:rsid w:val="0A267BE3"/>
    <w:rsid w:val="0A27AD8D"/>
    <w:rsid w:val="0A701D07"/>
    <w:rsid w:val="0A9C20B2"/>
    <w:rsid w:val="0AAE8A79"/>
    <w:rsid w:val="0AB59F58"/>
    <w:rsid w:val="0AB7414D"/>
    <w:rsid w:val="0AB7677F"/>
    <w:rsid w:val="0ABE6C57"/>
    <w:rsid w:val="0B24C1EE"/>
    <w:rsid w:val="0B2F45A5"/>
    <w:rsid w:val="0B7BD27A"/>
    <w:rsid w:val="0BB78ACD"/>
    <w:rsid w:val="0C2C0E2B"/>
    <w:rsid w:val="0C5311AE"/>
    <w:rsid w:val="0C8B6F95"/>
    <w:rsid w:val="0CA7BA75"/>
    <w:rsid w:val="0CBE5997"/>
    <w:rsid w:val="0CEDB80A"/>
    <w:rsid w:val="0DDB0924"/>
    <w:rsid w:val="0E1F5270"/>
    <w:rsid w:val="0E2755A9"/>
    <w:rsid w:val="0E3A71B9"/>
    <w:rsid w:val="0EE9167F"/>
    <w:rsid w:val="0F401D7D"/>
    <w:rsid w:val="0F591309"/>
    <w:rsid w:val="0F9DD9E1"/>
    <w:rsid w:val="0FA1FD2E"/>
    <w:rsid w:val="1034C167"/>
    <w:rsid w:val="106B5361"/>
    <w:rsid w:val="10FABED7"/>
    <w:rsid w:val="1163E8A7"/>
    <w:rsid w:val="11C1292D"/>
    <w:rsid w:val="11D12253"/>
    <w:rsid w:val="1209433E"/>
    <w:rsid w:val="1277BE3F"/>
    <w:rsid w:val="12AAEE72"/>
    <w:rsid w:val="12B9C94E"/>
    <w:rsid w:val="12D99DF0"/>
    <w:rsid w:val="12E93163"/>
    <w:rsid w:val="135CF98E"/>
    <w:rsid w:val="139B4BD3"/>
    <w:rsid w:val="13A97455"/>
    <w:rsid w:val="141DB6F6"/>
    <w:rsid w:val="1496817A"/>
    <w:rsid w:val="14EF970D"/>
    <w:rsid w:val="15371C34"/>
    <w:rsid w:val="15D2AFB4"/>
    <w:rsid w:val="15D344CE"/>
    <w:rsid w:val="15DF331A"/>
    <w:rsid w:val="160E6807"/>
    <w:rsid w:val="163251DB"/>
    <w:rsid w:val="16CC517C"/>
    <w:rsid w:val="16DF620F"/>
    <w:rsid w:val="16ED0838"/>
    <w:rsid w:val="17548E6A"/>
    <w:rsid w:val="17D62575"/>
    <w:rsid w:val="185EE463"/>
    <w:rsid w:val="18EFBA5D"/>
    <w:rsid w:val="19208011"/>
    <w:rsid w:val="1A617ECE"/>
    <w:rsid w:val="1A8D8D94"/>
    <w:rsid w:val="1AFC4F33"/>
    <w:rsid w:val="1B05C2FE"/>
    <w:rsid w:val="1B1E3A08"/>
    <w:rsid w:val="1B224F7D"/>
    <w:rsid w:val="1B22FC9A"/>
    <w:rsid w:val="1B29FB64"/>
    <w:rsid w:val="1B36532C"/>
    <w:rsid w:val="1B534888"/>
    <w:rsid w:val="1B663C32"/>
    <w:rsid w:val="1B7D5CC8"/>
    <w:rsid w:val="1B94AAC9"/>
    <w:rsid w:val="1B9FC29F"/>
    <w:rsid w:val="1BA65DB8"/>
    <w:rsid w:val="1BAFF3AE"/>
    <w:rsid w:val="1BB6435C"/>
    <w:rsid w:val="1C295DF5"/>
    <w:rsid w:val="1C8E28BD"/>
    <w:rsid w:val="1C981F94"/>
    <w:rsid w:val="1CA1935F"/>
    <w:rsid w:val="1CB8C54E"/>
    <w:rsid w:val="1CE18095"/>
    <w:rsid w:val="1D28AF73"/>
    <w:rsid w:val="1D307B2A"/>
    <w:rsid w:val="1D4B887B"/>
    <w:rsid w:val="1D4BC40F"/>
    <w:rsid w:val="1DE1D2D8"/>
    <w:rsid w:val="1DEDA119"/>
    <w:rsid w:val="1DF3F134"/>
    <w:rsid w:val="1EDDFE7A"/>
    <w:rsid w:val="1F70491D"/>
    <w:rsid w:val="1F7991FA"/>
    <w:rsid w:val="1F7DA339"/>
    <w:rsid w:val="1FAA686A"/>
    <w:rsid w:val="1FE1375A"/>
    <w:rsid w:val="1FE62996"/>
    <w:rsid w:val="1FF672E6"/>
    <w:rsid w:val="204AE3B3"/>
    <w:rsid w:val="20F9FF2E"/>
    <w:rsid w:val="210C197E"/>
    <w:rsid w:val="212541DB"/>
    <w:rsid w:val="2144BA53"/>
    <w:rsid w:val="21750482"/>
    <w:rsid w:val="2181F9F7"/>
    <w:rsid w:val="21B4F1B8"/>
    <w:rsid w:val="21D01CEB"/>
    <w:rsid w:val="21FFDC71"/>
    <w:rsid w:val="221D8CC2"/>
    <w:rsid w:val="22783728"/>
    <w:rsid w:val="22989F79"/>
    <w:rsid w:val="22A7E9DF"/>
    <w:rsid w:val="22DEC28D"/>
    <w:rsid w:val="231DCA58"/>
    <w:rsid w:val="234DE523"/>
    <w:rsid w:val="23828475"/>
    <w:rsid w:val="23E381F3"/>
    <w:rsid w:val="2433DAC0"/>
    <w:rsid w:val="25377D33"/>
    <w:rsid w:val="25BCF4B6"/>
    <w:rsid w:val="25FF0319"/>
    <w:rsid w:val="260B5261"/>
    <w:rsid w:val="26215AE5"/>
    <w:rsid w:val="26A8D7FB"/>
    <w:rsid w:val="26FD735F"/>
    <w:rsid w:val="2762B6AC"/>
    <w:rsid w:val="277B5B02"/>
    <w:rsid w:val="27D0206F"/>
    <w:rsid w:val="29051113"/>
    <w:rsid w:val="29074BE3"/>
    <w:rsid w:val="293EF34E"/>
    <w:rsid w:val="29FF9DB7"/>
    <w:rsid w:val="2A0E7A2B"/>
    <w:rsid w:val="2A2807B2"/>
    <w:rsid w:val="2AAB09CA"/>
    <w:rsid w:val="2B7CED8C"/>
    <w:rsid w:val="2B8D965A"/>
    <w:rsid w:val="2BC46F08"/>
    <w:rsid w:val="2BDD5901"/>
    <w:rsid w:val="2C351691"/>
    <w:rsid w:val="2C396634"/>
    <w:rsid w:val="2C3FA176"/>
    <w:rsid w:val="2C616B88"/>
    <w:rsid w:val="2C722770"/>
    <w:rsid w:val="2D4A907C"/>
    <w:rsid w:val="2D59A450"/>
    <w:rsid w:val="2D603F69"/>
    <w:rsid w:val="2DDABD06"/>
    <w:rsid w:val="2DEA9C86"/>
    <w:rsid w:val="2EFC0FCA"/>
    <w:rsid w:val="2F379DB5"/>
    <w:rsid w:val="2F7E7AED"/>
    <w:rsid w:val="2F7EBBAA"/>
    <w:rsid w:val="2FD6D04C"/>
    <w:rsid w:val="3031E92D"/>
    <w:rsid w:val="30807FF5"/>
    <w:rsid w:val="3085DED1"/>
    <w:rsid w:val="30B60933"/>
    <w:rsid w:val="30C3C7B3"/>
    <w:rsid w:val="30CDBBBF"/>
    <w:rsid w:val="3117780B"/>
    <w:rsid w:val="313784EA"/>
    <w:rsid w:val="314B21BE"/>
    <w:rsid w:val="323F347F"/>
    <w:rsid w:val="3280E22B"/>
    <w:rsid w:val="32B3486C"/>
    <w:rsid w:val="32B6B0C9"/>
    <w:rsid w:val="32C29F15"/>
    <w:rsid w:val="32F45C42"/>
    <w:rsid w:val="33343E5D"/>
    <w:rsid w:val="335E7B06"/>
    <w:rsid w:val="33A67FFD"/>
    <w:rsid w:val="33BD7F93"/>
    <w:rsid w:val="33C12FDB"/>
    <w:rsid w:val="34522CCD"/>
    <w:rsid w:val="346E4BA2"/>
    <w:rsid w:val="349C8091"/>
    <w:rsid w:val="3542505E"/>
    <w:rsid w:val="356E97ED"/>
    <w:rsid w:val="35B9F023"/>
    <w:rsid w:val="35CA352C"/>
    <w:rsid w:val="364611D0"/>
    <w:rsid w:val="36E1AEDC"/>
    <w:rsid w:val="36F4EAB9"/>
    <w:rsid w:val="37200BA8"/>
    <w:rsid w:val="37596281"/>
    <w:rsid w:val="37C1343D"/>
    <w:rsid w:val="3859FF12"/>
    <w:rsid w:val="387D7F3D"/>
    <w:rsid w:val="388541BF"/>
    <w:rsid w:val="3897F235"/>
    <w:rsid w:val="38F190E5"/>
    <w:rsid w:val="39259DF0"/>
    <w:rsid w:val="39A937C0"/>
    <w:rsid w:val="39F7A232"/>
    <w:rsid w:val="3A0A740A"/>
    <w:rsid w:val="3A1132A0"/>
    <w:rsid w:val="3A15C181"/>
    <w:rsid w:val="3A3EC271"/>
    <w:rsid w:val="3A78D800"/>
    <w:rsid w:val="3AADE507"/>
    <w:rsid w:val="3AB868BE"/>
    <w:rsid w:val="3B667511"/>
    <w:rsid w:val="3BC3329C"/>
    <w:rsid w:val="3C240CF9"/>
    <w:rsid w:val="3C4A4259"/>
    <w:rsid w:val="3C7B7D03"/>
    <w:rsid w:val="3CB52D68"/>
    <w:rsid w:val="3D043159"/>
    <w:rsid w:val="3D3F8A85"/>
    <w:rsid w:val="3D47780B"/>
    <w:rsid w:val="3D5F02FD"/>
    <w:rsid w:val="3D766333"/>
    <w:rsid w:val="3D780528"/>
    <w:rsid w:val="3DBFDD5A"/>
    <w:rsid w:val="3E397DDC"/>
    <w:rsid w:val="3E5066D4"/>
    <w:rsid w:val="3E5AC595"/>
    <w:rsid w:val="3E7CA8E3"/>
    <w:rsid w:val="3E7F12BE"/>
    <w:rsid w:val="3EC94096"/>
    <w:rsid w:val="3EE23622"/>
    <w:rsid w:val="3F81E31B"/>
    <w:rsid w:val="3F8AC8A3"/>
    <w:rsid w:val="3FB31DC5"/>
    <w:rsid w:val="3FBB4699"/>
    <w:rsid w:val="3FE68299"/>
    <w:rsid w:val="401AE31F"/>
    <w:rsid w:val="4022A9BE"/>
    <w:rsid w:val="4054955C"/>
    <w:rsid w:val="407846C6"/>
    <w:rsid w:val="409BCCFF"/>
    <w:rsid w:val="409C3229"/>
    <w:rsid w:val="409DA897"/>
    <w:rsid w:val="40AE03F5"/>
    <w:rsid w:val="40ED0BC0"/>
    <w:rsid w:val="41BE7A1F"/>
    <w:rsid w:val="42172D53"/>
    <w:rsid w:val="4238028A"/>
    <w:rsid w:val="423978F8"/>
    <w:rsid w:val="4262BE4F"/>
    <w:rsid w:val="426AABD5"/>
    <w:rsid w:val="427648BE"/>
    <w:rsid w:val="435060FB"/>
    <w:rsid w:val="43568142"/>
    <w:rsid w:val="4368F5A1"/>
    <w:rsid w:val="43CD6FA0"/>
    <w:rsid w:val="43D3D2EB"/>
    <w:rsid w:val="441EEA0B"/>
    <w:rsid w:val="44D967AA"/>
    <w:rsid w:val="4504C602"/>
    <w:rsid w:val="457119BA"/>
    <w:rsid w:val="46244459"/>
    <w:rsid w:val="46642320"/>
    <w:rsid w:val="4675053A"/>
    <w:rsid w:val="46DE7AD1"/>
    <w:rsid w:val="46F90C2E"/>
    <w:rsid w:val="4747E51B"/>
    <w:rsid w:val="47CEDF1F"/>
    <w:rsid w:val="4842696F"/>
    <w:rsid w:val="4863493E"/>
    <w:rsid w:val="4886CE98"/>
    <w:rsid w:val="488A2AB2"/>
    <w:rsid w:val="489B908D"/>
    <w:rsid w:val="48E6F74E"/>
    <w:rsid w:val="4993197B"/>
    <w:rsid w:val="499BC3E2"/>
    <w:rsid w:val="49A1DC03"/>
    <w:rsid w:val="49B41B7B"/>
    <w:rsid w:val="49C7C697"/>
    <w:rsid w:val="4A229EF9"/>
    <w:rsid w:val="4A25FB13"/>
    <w:rsid w:val="4A51D3E6"/>
    <w:rsid w:val="4A6C49EF"/>
    <w:rsid w:val="4A82C7AF"/>
    <w:rsid w:val="4B1D7F77"/>
    <w:rsid w:val="4B286BF2"/>
    <w:rsid w:val="4B4FEBDC"/>
    <w:rsid w:val="4BA92464"/>
    <w:rsid w:val="4BDEE4D0"/>
    <w:rsid w:val="4C1E9810"/>
    <w:rsid w:val="4C822C5E"/>
    <w:rsid w:val="4C91A0CD"/>
    <w:rsid w:val="4CADA0E1"/>
    <w:rsid w:val="4CBF06BC"/>
    <w:rsid w:val="4D4DBC55"/>
    <w:rsid w:val="4D60261C"/>
    <w:rsid w:val="4D7E92C5"/>
    <w:rsid w:val="4E5AD71D"/>
    <w:rsid w:val="4E600CB4"/>
    <w:rsid w:val="4E62DA86"/>
    <w:rsid w:val="4F0AD211"/>
    <w:rsid w:val="4F1A6326"/>
    <w:rsid w:val="4FB5E73C"/>
    <w:rsid w:val="4FB9FEF6"/>
    <w:rsid w:val="4FBB7078"/>
    <w:rsid w:val="50855D17"/>
    <w:rsid w:val="50C3EC15"/>
    <w:rsid w:val="50DB8B73"/>
    <w:rsid w:val="50E4FF3E"/>
    <w:rsid w:val="513E14D1"/>
    <w:rsid w:val="518C8B5F"/>
    <w:rsid w:val="51920F72"/>
    <w:rsid w:val="51F50D11"/>
    <w:rsid w:val="51FF4045"/>
    <w:rsid w:val="521B175C"/>
    <w:rsid w:val="523B0AA6"/>
    <w:rsid w:val="525203E8"/>
    <w:rsid w:val="529EAFC4"/>
    <w:rsid w:val="52ED87FE"/>
    <w:rsid w:val="531ACF40"/>
    <w:rsid w:val="53AD3E10"/>
    <w:rsid w:val="53BCFDD9"/>
    <w:rsid w:val="53BD3E96"/>
    <w:rsid w:val="53BD92F3"/>
    <w:rsid w:val="53DB7CE7"/>
    <w:rsid w:val="53EDD449"/>
    <w:rsid w:val="54A665A5"/>
    <w:rsid w:val="54A777EF"/>
    <w:rsid w:val="54C0A04C"/>
    <w:rsid w:val="54CF7B28"/>
    <w:rsid w:val="5536E107"/>
    <w:rsid w:val="554EF826"/>
    <w:rsid w:val="5552B81E"/>
    <w:rsid w:val="555C056F"/>
    <w:rsid w:val="5560FC7D"/>
    <w:rsid w:val="556BF459"/>
    <w:rsid w:val="5572BFE5"/>
    <w:rsid w:val="557F761C"/>
    <w:rsid w:val="55B069FB"/>
    <w:rsid w:val="55E19D2F"/>
    <w:rsid w:val="56407099"/>
    <w:rsid w:val="565FFC82"/>
    <w:rsid w:val="56B13B43"/>
    <w:rsid w:val="56EAC887"/>
    <w:rsid w:val="57131DA9"/>
    <w:rsid w:val="571B467D"/>
    <w:rsid w:val="5725750B"/>
    <w:rsid w:val="579B7D19"/>
    <w:rsid w:val="588AE88B"/>
    <w:rsid w:val="58989D3F"/>
    <w:rsid w:val="58B6E6AB"/>
    <w:rsid w:val="58F046BF"/>
    <w:rsid w:val="58F4C8EB"/>
    <w:rsid w:val="598472AC"/>
    <w:rsid w:val="59DDDD7C"/>
    <w:rsid w:val="59F343C9"/>
    <w:rsid w:val="5A52E73F"/>
    <w:rsid w:val="5A5AC274"/>
    <w:rsid w:val="5A5CDA39"/>
    <w:rsid w:val="5A995020"/>
    <w:rsid w:val="5B79ADDD"/>
    <w:rsid w:val="5B836DB5"/>
    <w:rsid w:val="5B915A20"/>
    <w:rsid w:val="5BC8C48F"/>
    <w:rsid w:val="5BD37090"/>
    <w:rsid w:val="5BDC80AA"/>
    <w:rsid w:val="5BF3E53D"/>
    <w:rsid w:val="5C4EF731"/>
    <w:rsid w:val="5CA13C98"/>
    <w:rsid w:val="5CB289D4"/>
    <w:rsid w:val="5CBC136E"/>
    <w:rsid w:val="5D8A8801"/>
    <w:rsid w:val="5D987118"/>
    <w:rsid w:val="5DE801A1"/>
    <w:rsid w:val="5E3A52C2"/>
    <w:rsid w:val="5E788000"/>
    <w:rsid w:val="5E8CAFBA"/>
    <w:rsid w:val="5EA72529"/>
    <w:rsid w:val="5F07DEC3"/>
    <w:rsid w:val="5F640A6F"/>
    <w:rsid w:val="5F6444DD"/>
    <w:rsid w:val="60452337"/>
    <w:rsid w:val="60BDFFC4"/>
    <w:rsid w:val="61A31453"/>
    <w:rsid w:val="61D5BD9E"/>
    <w:rsid w:val="6215640F"/>
    <w:rsid w:val="62DA0A15"/>
    <w:rsid w:val="62F755BF"/>
    <w:rsid w:val="6311EBD8"/>
    <w:rsid w:val="63333133"/>
    <w:rsid w:val="634BF123"/>
    <w:rsid w:val="63590DD6"/>
    <w:rsid w:val="63AAE4D8"/>
    <w:rsid w:val="63F1A0B1"/>
    <w:rsid w:val="63F5A086"/>
    <w:rsid w:val="64025026"/>
    <w:rsid w:val="6425A3AA"/>
    <w:rsid w:val="64A4F763"/>
    <w:rsid w:val="6503EA95"/>
    <w:rsid w:val="6543133C"/>
    <w:rsid w:val="656673F3"/>
    <w:rsid w:val="65772047"/>
    <w:rsid w:val="657A16BF"/>
    <w:rsid w:val="65C1740B"/>
    <w:rsid w:val="65E78C82"/>
    <w:rsid w:val="65FFAE7F"/>
    <w:rsid w:val="662EF681"/>
    <w:rsid w:val="6659F021"/>
    <w:rsid w:val="6678E492"/>
    <w:rsid w:val="66A328E9"/>
    <w:rsid w:val="67513EE9"/>
    <w:rsid w:val="681F6246"/>
    <w:rsid w:val="682BD6C5"/>
    <w:rsid w:val="683B8B57"/>
    <w:rsid w:val="6841AA1F"/>
    <w:rsid w:val="688C9319"/>
    <w:rsid w:val="68CFD711"/>
    <w:rsid w:val="697EF28C"/>
    <w:rsid w:val="6A6FB74E"/>
    <w:rsid w:val="6AEF982A"/>
    <w:rsid w:val="6B0A4752"/>
    <w:rsid w:val="6B395D4F"/>
    <w:rsid w:val="6B3F8DB3"/>
    <w:rsid w:val="6B9516EE"/>
    <w:rsid w:val="6BD36572"/>
    <w:rsid w:val="6C0777D3"/>
    <w:rsid w:val="6C4A7AFD"/>
    <w:rsid w:val="6C83949A"/>
    <w:rsid w:val="6CCCDF49"/>
    <w:rsid w:val="6CCEFDB9"/>
    <w:rsid w:val="6CDF4910"/>
    <w:rsid w:val="6CDF7600"/>
    <w:rsid w:val="6D60043C"/>
    <w:rsid w:val="6D8909CC"/>
    <w:rsid w:val="6DDB005B"/>
    <w:rsid w:val="6E0AC064"/>
    <w:rsid w:val="6E0C3338"/>
    <w:rsid w:val="6E5C8C05"/>
    <w:rsid w:val="6E68AFAA"/>
    <w:rsid w:val="6E6ACE1A"/>
    <w:rsid w:val="6ED17A42"/>
    <w:rsid w:val="6ED8790C"/>
    <w:rsid w:val="6EE4D0D4"/>
    <w:rsid w:val="6F0B0634"/>
    <w:rsid w:val="6F20F905"/>
    <w:rsid w:val="6F7D6E1A"/>
    <w:rsid w:val="6F821BBF"/>
    <w:rsid w:val="701E6881"/>
    <w:rsid w:val="701FC6D8"/>
    <w:rsid w:val="70469D3C"/>
    <w:rsid w:val="70581440"/>
    <w:rsid w:val="709A53B8"/>
    <w:rsid w:val="70BCC966"/>
    <w:rsid w:val="7109D41E"/>
    <w:rsid w:val="71193E7B"/>
    <w:rsid w:val="71479D38"/>
    <w:rsid w:val="71E261CC"/>
    <w:rsid w:val="720700B1"/>
    <w:rsid w:val="7273E1A0"/>
    <w:rsid w:val="732FFD28"/>
    <w:rsid w:val="733E3F3D"/>
    <w:rsid w:val="7358E612"/>
    <w:rsid w:val="73A4F08E"/>
    <w:rsid w:val="740FB201"/>
    <w:rsid w:val="74B4CB95"/>
    <w:rsid w:val="74CC0E46"/>
    <w:rsid w:val="74F8C665"/>
    <w:rsid w:val="753879A5"/>
    <w:rsid w:val="75400A62"/>
    <w:rsid w:val="759A52A6"/>
    <w:rsid w:val="75AB8262"/>
    <w:rsid w:val="75D5D236"/>
    <w:rsid w:val="765A29F3"/>
    <w:rsid w:val="76822F47"/>
    <w:rsid w:val="76A62A2E"/>
    <w:rsid w:val="76B70735"/>
    <w:rsid w:val="76BDCC46"/>
    <w:rsid w:val="7774B8B2"/>
    <w:rsid w:val="782228A7"/>
    <w:rsid w:val="78EFD8D2"/>
    <w:rsid w:val="79245060"/>
    <w:rsid w:val="799805F7"/>
    <w:rsid w:val="79AD80C1"/>
    <w:rsid w:val="79D0151C"/>
    <w:rsid w:val="7A280DA1"/>
    <w:rsid w:val="7A3E8744"/>
    <w:rsid w:val="7A4135FE"/>
    <w:rsid w:val="7A52ACEC"/>
    <w:rsid w:val="7A5755A3"/>
    <w:rsid w:val="7A767A9D"/>
    <w:rsid w:val="7AA723DD"/>
    <w:rsid w:val="7AABF107"/>
    <w:rsid w:val="7B13E30E"/>
    <w:rsid w:val="7B1787C8"/>
    <w:rsid w:val="7B22276D"/>
    <w:rsid w:val="7B33D658"/>
    <w:rsid w:val="7B3BA427"/>
    <w:rsid w:val="7B6807E9"/>
    <w:rsid w:val="7B913D69"/>
    <w:rsid w:val="7BA7BB29"/>
    <w:rsid w:val="7C7E4530"/>
    <w:rsid w:val="7D3E84CE"/>
    <w:rsid w:val="7D8EF665"/>
    <w:rsid w:val="7DAE1B5F"/>
    <w:rsid w:val="7DBD2E6A"/>
    <w:rsid w:val="7E7F3335"/>
    <w:rsid w:val="7EA3863F"/>
    <w:rsid w:val="7F123F2C"/>
    <w:rsid w:val="7F2B6B34"/>
    <w:rsid w:val="7F49EBC0"/>
    <w:rsid w:val="7FCB0A1A"/>
    <w:rsid w:val="7FE7E3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1AA1F"/>
  <w15:chartTrackingRefBased/>
  <w15:docId w15:val="{7A30F128-B74D-4232-9429-D0FCB854B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succession-planning-factsheet" TargetMode="External"/><Relationship Id="rId13" Type="http://schemas.openxmlformats.org/officeDocument/2006/relationships/hyperlink" Target="https://www.tilsonhr.com/pros-and-cons-of-personality-tests-in-hiring-process/" TargetMode="External"/><Relationship Id="rId18" Type="http://schemas.openxmlformats.org/officeDocument/2006/relationships/hyperlink" Target="https://bizfluent.com/about-7536454-advantages-disadvantages-interviews.html" TargetMode="External"/><Relationship Id="rId3" Type="http://schemas.openxmlformats.org/officeDocument/2006/relationships/webSettings" Target="webSettings.xml"/><Relationship Id="rId21" Type="http://schemas.openxmlformats.org/officeDocument/2006/relationships/hyperlink" Target="https://www.hrmagazine.co.uk/content/features/retaining-talent-with-leadership-that-cares" TargetMode="External"/><Relationship Id="rId7" Type="http://schemas.openxmlformats.org/officeDocument/2006/relationships/hyperlink" Target="https://www.cipd.co.uk/knowledge/strategy/resourcing/surveys" TargetMode="External"/><Relationship Id="rId12" Type="http://schemas.openxmlformats.org/officeDocument/2006/relationships/hyperlink" Target="https://hrdailyadvisor.blr.com/2018/12/27/pros-and-cons-of-job-fairs-and-expos-for-hr-professionals/" TargetMode="External"/><Relationship Id="rId17" Type="http://schemas.openxmlformats.org/officeDocument/2006/relationships/hyperlink" Target="https://howandwhat.net/advantages-disadvantages-reward-systems/" TargetMode="External"/><Relationship Id="rId2" Type="http://schemas.openxmlformats.org/officeDocument/2006/relationships/settings" Target="settings.xml"/><Relationship Id="rId16" Type="http://schemas.openxmlformats.org/officeDocument/2006/relationships/hyperlink" Target="https://www.youtube.com/watch?v=OhFjv2VgokE" TargetMode="External"/><Relationship Id="rId20" Type="http://schemas.openxmlformats.org/officeDocument/2006/relationships/hyperlink" Target="https://www.youtube.com/watch?v=nj2c5mKGTtQ" TargetMode="External"/><Relationship Id="rId1" Type="http://schemas.openxmlformats.org/officeDocument/2006/relationships/styles" Target="styles.xml"/><Relationship Id="rId6" Type="http://schemas.openxmlformats.org/officeDocument/2006/relationships/hyperlink" Target="https://www.brighthr.com/articles/hiring/recruitment/popular-employee-recruitment-techniques/" TargetMode="External"/><Relationship Id="rId11" Type="http://schemas.openxmlformats.org/officeDocument/2006/relationships/hyperlink" Target="https://www.cipd.co.uk/knowledge/fundamentals/people/performance/competency-factsheet" TargetMode="External"/><Relationship Id="rId24" Type="http://schemas.openxmlformats.org/officeDocument/2006/relationships/theme" Target="theme/theme1.xml"/><Relationship Id="rId5" Type="http://schemas.openxmlformats.org/officeDocument/2006/relationships/hyperlink" Target="https://www.admiral.com/about-us/working-for-admiral" TargetMode="External"/><Relationship Id="rId15" Type="http://schemas.openxmlformats.org/officeDocument/2006/relationships/hyperlink" Target="https://data.oecd.org/" TargetMode="External"/><Relationship Id="rId23" Type="http://schemas.openxmlformats.org/officeDocument/2006/relationships/fontTable" Target="fontTable.xml"/><Relationship Id="rId10" Type="http://schemas.openxmlformats.org/officeDocument/2006/relationships/hyperlink" Target="https://www.cipd.co.uk/knowledge/strategy/resourcing/surveys" TargetMode="External"/><Relationship Id="rId19" Type="http://schemas.openxmlformats.org/officeDocument/2006/relationships/hyperlink" Target="https://www.linkedin.com/pulse/pros-cons-recruiting-methods-shally-steckerl" TargetMode="External"/><Relationship Id="rId4" Type="http://schemas.openxmlformats.org/officeDocument/2006/relationships/image" Target="media/image1.png"/><Relationship Id="rId9" Type="http://schemas.openxmlformats.org/officeDocument/2006/relationships/hyperlink" Target="https://www.cipd.co.uk/knowledge/fundamentals/people/recruitment/brand-factsheet" TargetMode="External"/><Relationship Id="rId14" Type="http://schemas.openxmlformats.org/officeDocument/2006/relationships/hyperlink" Target="https://blog.grovehr.com/netflix-company-culture" TargetMode="External"/><Relationship Id="rId22" Type="http://schemas.openxmlformats.org/officeDocument/2006/relationships/hyperlink" Target="https://www.youtube.com/watch?v=z42UZpE5j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4073</Words>
  <Characters>23221</Characters>
  <Application>Microsoft Office Word</Application>
  <DocSecurity>0</DocSecurity>
  <Lines>193</Lines>
  <Paragraphs>54</Paragraphs>
  <ScaleCrop>false</ScaleCrop>
  <Company/>
  <LinksUpToDate>false</LinksUpToDate>
  <CharactersWithSpaces>27240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Beynon (2016038)</dc:creator>
  <cp:keywords/>
  <dc:description/>
  <cp:lastModifiedBy>Elinor Rachel Beynon (2016038)</cp:lastModifiedBy>
  <cp:revision>2</cp:revision>
  <dcterms:created xsi:type="dcterms:W3CDTF">2022-04-25T20:13:00Z</dcterms:created>
  <dcterms:modified xsi:type="dcterms:W3CDTF">2022-04-25T20:13:00Z</dcterms:modified>
</cp:coreProperties>
</file>