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7263" w:rsidRDefault="004F7263" w:rsidP="1F9AEEA0">
      <w:pPr>
        <w:spacing w:line="360" w:lineRule="auto"/>
        <w:jc w:val="both"/>
        <w:rPr>
          <w:rFonts w:ascii="Arial" w:eastAsia="Arial" w:hAnsi="Arial" w:cs="Arial"/>
          <w:b/>
          <w:bCs/>
          <w:sz w:val="22"/>
          <w:szCs w:val="22"/>
        </w:rPr>
      </w:pPr>
    </w:p>
    <w:p w:rsidR="004F7263" w:rsidRDefault="004F7263" w:rsidP="1F9AEEA0">
      <w:pPr>
        <w:spacing w:line="360" w:lineRule="auto"/>
        <w:jc w:val="both"/>
        <w:rPr>
          <w:rFonts w:ascii="Arial" w:eastAsia="Arial" w:hAnsi="Arial" w:cs="Arial"/>
          <w:b/>
          <w:bCs/>
          <w:sz w:val="22"/>
          <w:szCs w:val="22"/>
        </w:rPr>
      </w:pPr>
    </w:p>
    <w:p w:rsidR="004F7263" w:rsidRDefault="004F7263" w:rsidP="1F9AEEA0">
      <w:pPr>
        <w:spacing w:line="360" w:lineRule="auto"/>
        <w:jc w:val="both"/>
        <w:rPr>
          <w:rFonts w:ascii="Arial" w:eastAsia="Arial" w:hAnsi="Arial" w:cs="Arial"/>
          <w:b/>
          <w:bCs/>
          <w:sz w:val="22"/>
          <w:szCs w:val="22"/>
        </w:rPr>
      </w:pPr>
    </w:p>
    <w:p w:rsidR="004F7263" w:rsidRDefault="004F7263" w:rsidP="1F9AEEA0">
      <w:pPr>
        <w:spacing w:line="360" w:lineRule="auto"/>
        <w:jc w:val="both"/>
        <w:rPr>
          <w:rFonts w:ascii="Arial" w:eastAsia="Arial" w:hAnsi="Arial" w:cs="Arial"/>
          <w:b/>
          <w:bCs/>
          <w:sz w:val="22"/>
          <w:szCs w:val="22"/>
        </w:rPr>
      </w:pPr>
    </w:p>
    <w:p w:rsidR="004F7263" w:rsidRDefault="20AF10F4" w:rsidP="1F9AEEA0">
      <w:pPr>
        <w:spacing w:after="0" w:line="360" w:lineRule="auto"/>
        <w:jc w:val="center"/>
        <w:rPr>
          <w:rFonts w:ascii="Arial" w:eastAsia="Arial" w:hAnsi="Arial" w:cs="Arial"/>
          <w:sz w:val="22"/>
          <w:szCs w:val="22"/>
        </w:rPr>
      </w:pPr>
      <w:r w:rsidRPr="1F9AEEA0">
        <w:rPr>
          <w:rFonts w:ascii="Arial" w:eastAsia="Arial" w:hAnsi="Arial" w:cs="Arial"/>
          <w:sz w:val="22"/>
          <w:szCs w:val="22"/>
        </w:rPr>
        <w:t>BMHP5019</w:t>
      </w:r>
    </w:p>
    <w:p w:rsidR="004F7263" w:rsidRDefault="20AF10F4" w:rsidP="1F9AEEA0">
      <w:pPr>
        <w:spacing w:after="0" w:line="360" w:lineRule="auto"/>
        <w:jc w:val="center"/>
        <w:rPr>
          <w:rFonts w:ascii="Arial" w:eastAsia="Arial" w:hAnsi="Arial" w:cs="Arial"/>
          <w:sz w:val="22"/>
          <w:szCs w:val="22"/>
        </w:rPr>
      </w:pPr>
      <w:r w:rsidRPr="1F9AEEA0">
        <w:rPr>
          <w:rFonts w:ascii="Arial" w:eastAsia="Arial" w:hAnsi="Arial" w:cs="Arial"/>
          <w:sz w:val="22"/>
          <w:szCs w:val="22"/>
        </w:rPr>
        <w:t>Component 2</w:t>
      </w:r>
    </w:p>
    <w:p w:rsidR="004F7263" w:rsidRDefault="69B0725E" w:rsidP="1F9AEEA0">
      <w:pPr>
        <w:spacing w:line="360" w:lineRule="auto"/>
        <w:jc w:val="center"/>
        <w:rPr>
          <w:rFonts w:ascii="Arial" w:eastAsia="Arial" w:hAnsi="Arial" w:cs="Arial"/>
          <w:sz w:val="22"/>
          <w:szCs w:val="22"/>
        </w:rPr>
      </w:pPr>
      <w:r w:rsidRPr="1F9AEEA0">
        <w:rPr>
          <w:rFonts w:ascii="Arial" w:eastAsia="Arial" w:hAnsi="Arial" w:cs="Arial"/>
          <w:sz w:val="22"/>
          <w:szCs w:val="22"/>
        </w:rPr>
        <w:t>A Scoping Review of Digital Mental Health Interventions for Young Adults in UK Health and Social Care Practice</w:t>
      </w:r>
    </w:p>
    <w:p w:rsidR="004F7263" w:rsidRDefault="0A70EA38" w:rsidP="1F9AEEA0">
      <w:pPr>
        <w:spacing w:line="360" w:lineRule="auto"/>
        <w:jc w:val="center"/>
        <w:rPr>
          <w:rFonts w:ascii="Arial" w:eastAsia="Arial" w:hAnsi="Arial" w:cs="Arial"/>
          <w:sz w:val="22"/>
          <w:szCs w:val="22"/>
        </w:rPr>
      </w:pPr>
      <w:r w:rsidRPr="1F9AEEA0">
        <w:rPr>
          <w:rFonts w:ascii="Arial" w:eastAsia="Arial" w:hAnsi="Arial" w:cs="Arial"/>
          <w:sz w:val="22"/>
          <w:szCs w:val="22"/>
        </w:rPr>
        <w:t>Student’s Name</w:t>
      </w:r>
      <w:r w:rsidR="00ED7942">
        <w:rPr>
          <w:rFonts w:ascii="Arial" w:eastAsia="Arial" w:hAnsi="Arial" w:cs="Arial"/>
          <w:sz w:val="22"/>
          <w:szCs w:val="22"/>
        </w:rPr>
        <w:t xml:space="preserve">: Ayesha Mehmood </w:t>
      </w:r>
    </w:p>
    <w:p w:rsidR="00ED7942" w:rsidRDefault="00ED7942" w:rsidP="1F9AEEA0">
      <w:pPr>
        <w:spacing w:line="360" w:lineRule="auto"/>
        <w:jc w:val="center"/>
        <w:rPr>
          <w:rFonts w:ascii="Arial" w:eastAsia="Arial" w:hAnsi="Arial" w:cs="Arial"/>
          <w:sz w:val="22"/>
          <w:szCs w:val="22"/>
        </w:rPr>
      </w:pPr>
      <w:r>
        <w:rPr>
          <w:rFonts w:ascii="Arial" w:eastAsia="Arial" w:hAnsi="Arial" w:cs="Arial"/>
          <w:sz w:val="22"/>
          <w:szCs w:val="22"/>
        </w:rPr>
        <w:t>Student number: 2329624</w:t>
      </w:r>
    </w:p>
    <w:p w:rsidR="004F7263" w:rsidRDefault="004F7263" w:rsidP="1F9AEEA0">
      <w:pPr>
        <w:spacing w:line="360" w:lineRule="auto"/>
        <w:jc w:val="both"/>
        <w:rPr>
          <w:rFonts w:ascii="Arial" w:eastAsia="Arial" w:hAnsi="Arial" w:cs="Arial"/>
          <w:b/>
          <w:bCs/>
          <w:sz w:val="22"/>
          <w:szCs w:val="22"/>
        </w:rPr>
      </w:pPr>
    </w:p>
    <w:p w:rsidR="004F7263" w:rsidRDefault="001D177C" w:rsidP="1F9AEEA0">
      <w:pPr>
        <w:spacing w:line="360" w:lineRule="auto"/>
        <w:rPr>
          <w:rFonts w:ascii="Arial" w:eastAsia="Arial" w:hAnsi="Arial" w:cs="Arial"/>
          <w:sz w:val="22"/>
          <w:szCs w:val="22"/>
        </w:rPr>
      </w:pPr>
      <w:r w:rsidRPr="1F9AEEA0">
        <w:rPr>
          <w:rFonts w:ascii="Arial" w:eastAsia="Arial" w:hAnsi="Arial" w:cs="Arial"/>
          <w:sz w:val="22"/>
          <w:szCs w:val="22"/>
        </w:rPr>
        <w:br w:type="page"/>
      </w:r>
    </w:p>
    <w:p w:rsidR="004F7263" w:rsidRDefault="7F902474" w:rsidP="1F9AEEA0">
      <w:pPr>
        <w:spacing w:line="360" w:lineRule="auto"/>
        <w:jc w:val="both"/>
        <w:rPr>
          <w:rFonts w:ascii="Arial" w:eastAsia="Arial" w:hAnsi="Arial" w:cs="Arial"/>
          <w:b/>
          <w:bCs/>
          <w:sz w:val="22"/>
          <w:szCs w:val="22"/>
        </w:rPr>
      </w:pPr>
      <w:r w:rsidRPr="1F9AEEA0">
        <w:rPr>
          <w:rFonts w:ascii="Arial" w:eastAsia="Arial" w:hAnsi="Arial" w:cs="Arial"/>
          <w:b/>
          <w:bCs/>
          <w:sz w:val="22"/>
          <w:szCs w:val="22"/>
        </w:rPr>
        <w:lastRenderedPageBreak/>
        <w:t>Table of Content</w:t>
      </w:r>
    </w:p>
    <w:sdt>
      <w:sdtPr>
        <w:id w:val="966880585"/>
        <w:docPartObj>
          <w:docPartGallery w:val="Table of Contents"/>
          <w:docPartUnique/>
        </w:docPartObj>
      </w:sdtPr>
      <w:sdtContent>
        <w:p w:rsidR="004F7263" w:rsidRDefault="004F7263" w:rsidP="1F9AEEA0">
          <w:pPr>
            <w:pStyle w:val="TOC1"/>
            <w:tabs>
              <w:tab w:val="left" w:pos="480"/>
              <w:tab w:val="right" w:leader="dot" w:pos="9015"/>
            </w:tabs>
            <w:rPr>
              <w:rStyle w:val="Hyperlink"/>
            </w:rPr>
          </w:pPr>
          <w:r>
            <w:fldChar w:fldCharType="begin"/>
          </w:r>
          <w:r w:rsidR="001D177C">
            <w:instrText>TOC \o \z \u \h</w:instrText>
          </w:r>
          <w:r>
            <w:fldChar w:fldCharType="separate"/>
          </w:r>
          <w:hyperlink w:anchor="_Toc138986638">
            <w:r w:rsidR="1F9AEEA0" w:rsidRPr="1F9AEEA0">
              <w:rPr>
                <w:rStyle w:val="Hyperlink"/>
              </w:rPr>
              <w:t>1.</w:t>
            </w:r>
            <w:r w:rsidR="001D177C">
              <w:tab/>
            </w:r>
            <w:r w:rsidR="1F9AEEA0" w:rsidRPr="1F9AEEA0">
              <w:rPr>
                <w:rStyle w:val="Hyperlink"/>
              </w:rPr>
              <w:t>Introduction</w:t>
            </w:r>
            <w:r w:rsidR="001D177C">
              <w:tab/>
            </w:r>
            <w:r>
              <w:fldChar w:fldCharType="begin"/>
            </w:r>
            <w:r w:rsidR="001D177C">
              <w:instrText>PAGEREF _Toc138986638 \h</w:instrText>
            </w:r>
            <w:r>
              <w:fldChar w:fldCharType="separate"/>
            </w:r>
            <w:r w:rsidR="1F9AEEA0" w:rsidRPr="1F9AEEA0">
              <w:rPr>
                <w:rStyle w:val="Hyperlink"/>
              </w:rPr>
              <w:t>2</w:t>
            </w:r>
            <w:r>
              <w:fldChar w:fldCharType="end"/>
            </w:r>
          </w:hyperlink>
        </w:p>
        <w:p w:rsidR="004F7263" w:rsidRDefault="004F7263" w:rsidP="1F9AEEA0">
          <w:pPr>
            <w:pStyle w:val="TOC2"/>
            <w:tabs>
              <w:tab w:val="right" w:leader="dot" w:pos="9015"/>
            </w:tabs>
            <w:rPr>
              <w:rStyle w:val="Hyperlink"/>
            </w:rPr>
          </w:pPr>
          <w:hyperlink w:anchor="_Toc2129000997">
            <w:r w:rsidR="1F9AEEA0" w:rsidRPr="1F9AEEA0">
              <w:rPr>
                <w:rStyle w:val="Hyperlink"/>
              </w:rPr>
              <w:t>1.1. Review question</w:t>
            </w:r>
            <w:r w:rsidR="001D177C">
              <w:tab/>
            </w:r>
            <w:r>
              <w:fldChar w:fldCharType="begin"/>
            </w:r>
            <w:r w:rsidR="001D177C">
              <w:instrText>PAGEREF _Toc2129000997 \h</w:instrText>
            </w:r>
            <w:r>
              <w:fldChar w:fldCharType="separate"/>
            </w:r>
            <w:r w:rsidR="1F9AEEA0" w:rsidRPr="1F9AEEA0">
              <w:rPr>
                <w:rStyle w:val="Hyperlink"/>
              </w:rPr>
              <w:t>4</w:t>
            </w:r>
            <w:r>
              <w:fldChar w:fldCharType="end"/>
            </w:r>
          </w:hyperlink>
        </w:p>
        <w:p w:rsidR="004F7263" w:rsidRDefault="004F7263" w:rsidP="1F9AEEA0">
          <w:pPr>
            <w:pStyle w:val="TOC2"/>
            <w:tabs>
              <w:tab w:val="right" w:leader="dot" w:pos="9015"/>
            </w:tabs>
            <w:rPr>
              <w:rStyle w:val="Hyperlink"/>
            </w:rPr>
          </w:pPr>
          <w:hyperlink w:anchor="_Toc1623095563">
            <w:r w:rsidR="1F9AEEA0" w:rsidRPr="1F9AEEA0">
              <w:rPr>
                <w:rStyle w:val="Hyperlink"/>
              </w:rPr>
              <w:t>1.2. Aim</w:t>
            </w:r>
            <w:r w:rsidR="001D177C">
              <w:tab/>
            </w:r>
            <w:r>
              <w:fldChar w:fldCharType="begin"/>
            </w:r>
            <w:r w:rsidR="001D177C">
              <w:instrText>PAGEREF _Toc1623095563 \h</w:instrText>
            </w:r>
            <w:r>
              <w:fldChar w:fldCharType="separate"/>
            </w:r>
            <w:r w:rsidR="1F9AEEA0" w:rsidRPr="1F9AEEA0">
              <w:rPr>
                <w:rStyle w:val="Hyperlink"/>
              </w:rPr>
              <w:t>4</w:t>
            </w:r>
            <w:r>
              <w:fldChar w:fldCharType="end"/>
            </w:r>
          </w:hyperlink>
        </w:p>
        <w:p w:rsidR="004F7263" w:rsidRDefault="004F7263" w:rsidP="1F9AEEA0">
          <w:pPr>
            <w:pStyle w:val="TOC2"/>
            <w:tabs>
              <w:tab w:val="right" w:leader="dot" w:pos="9015"/>
            </w:tabs>
            <w:rPr>
              <w:rStyle w:val="Hyperlink"/>
            </w:rPr>
          </w:pPr>
          <w:hyperlink w:anchor="_Toc236363101">
            <w:r w:rsidR="1F9AEEA0" w:rsidRPr="1F9AEEA0">
              <w:rPr>
                <w:rStyle w:val="Hyperlink"/>
              </w:rPr>
              <w:t>1.3. Objectives</w:t>
            </w:r>
            <w:r w:rsidR="001D177C">
              <w:tab/>
            </w:r>
            <w:r>
              <w:fldChar w:fldCharType="begin"/>
            </w:r>
            <w:r w:rsidR="001D177C">
              <w:instrText>PAGEREF _Toc236363101 \h</w:instrText>
            </w:r>
            <w:r>
              <w:fldChar w:fldCharType="separate"/>
            </w:r>
            <w:r w:rsidR="1F9AEEA0" w:rsidRPr="1F9AEEA0">
              <w:rPr>
                <w:rStyle w:val="Hyperlink"/>
              </w:rPr>
              <w:t>4</w:t>
            </w:r>
            <w:r>
              <w:fldChar w:fldCharType="end"/>
            </w:r>
          </w:hyperlink>
        </w:p>
        <w:p w:rsidR="004F7263" w:rsidRDefault="004F7263" w:rsidP="1F9AEEA0">
          <w:pPr>
            <w:pStyle w:val="TOC1"/>
            <w:tabs>
              <w:tab w:val="left" w:pos="480"/>
              <w:tab w:val="right" w:leader="dot" w:pos="9015"/>
            </w:tabs>
            <w:rPr>
              <w:rStyle w:val="Hyperlink"/>
            </w:rPr>
          </w:pPr>
          <w:hyperlink w:anchor="_Toc264502285">
            <w:r w:rsidR="1F9AEEA0" w:rsidRPr="1F9AEEA0">
              <w:rPr>
                <w:rStyle w:val="Hyperlink"/>
              </w:rPr>
              <w:t>2.</w:t>
            </w:r>
            <w:r w:rsidR="001D177C">
              <w:tab/>
            </w:r>
            <w:r w:rsidR="1F9AEEA0" w:rsidRPr="1F9AEEA0">
              <w:rPr>
                <w:rStyle w:val="Hyperlink"/>
              </w:rPr>
              <w:t>Background</w:t>
            </w:r>
            <w:r w:rsidR="001D177C">
              <w:tab/>
            </w:r>
            <w:r>
              <w:fldChar w:fldCharType="begin"/>
            </w:r>
            <w:r w:rsidR="001D177C">
              <w:instrText>PAGEREF _Toc264502285 \h</w:instrText>
            </w:r>
            <w:r>
              <w:fldChar w:fldCharType="separate"/>
            </w:r>
            <w:r w:rsidR="1F9AEEA0" w:rsidRPr="1F9AEEA0">
              <w:rPr>
                <w:rStyle w:val="Hyperlink"/>
              </w:rPr>
              <w:t>4</w:t>
            </w:r>
            <w:r>
              <w:fldChar w:fldCharType="end"/>
            </w:r>
          </w:hyperlink>
        </w:p>
        <w:p w:rsidR="004F7263" w:rsidRDefault="004F7263" w:rsidP="1F9AEEA0">
          <w:pPr>
            <w:pStyle w:val="TOC1"/>
            <w:tabs>
              <w:tab w:val="left" w:pos="480"/>
              <w:tab w:val="right" w:leader="dot" w:pos="9015"/>
            </w:tabs>
            <w:rPr>
              <w:rStyle w:val="Hyperlink"/>
            </w:rPr>
          </w:pPr>
          <w:hyperlink w:anchor="_Toc606200513">
            <w:r w:rsidR="1F9AEEA0" w:rsidRPr="1F9AEEA0">
              <w:rPr>
                <w:rStyle w:val="Hyperlink"/>
              </w:rPr>
              <w:t>3.</w:t>
            </w:r>
            <w:r w:rsidR="001D177C">
              <w:tab/>
            </w:r>
            <w:r w:rsidR="1F9AEEA0" w:rsidRPr="1F9AEEA0">
              <w:rPr>
                <w:rStyle w:val="Hyperlink"/>
              </w:rPr>
              <w:t>Methods</w:t>
            </w:r>
            <w:r w:rsidR="001D177C">
              <w:tab/>
            </w:r>
            <w:r>
              <w:fldChar w:fldCharType="begin"/>
            </w:r>
            <w:r w:rsidR="001D177C">
              <w:instrText>PAGEREF _Toc606200513 \h</w:instrText>
            </w:r>
            <w:r>
              <w:fldChar w:fldCharType="separate"/>
            </w:r>
            <w:r w:rsidR="1F9AEEA0" w:rsidRPr="1F9AEEA0">
              <w:rPr>
                <w:rStyle w:val="Hyperlink"/>
              </w:rPr>
              <w:t>5</w:t>
            </w:r>
            <w:r>
              <w:fldChar w:fldCharType="end"/>
            </w:r>
          </w:hyperlink>
        </w:p>
        <w:p w:rsidR="004F7263" w:rsidRDefault="004F7263" w:rsidP="1F9AEEA0">
          <w:pPr>
            <w:pStyle w:val="TOC1"/>
            <w:tabs>
              <w:tab w:val="left" w:pos="480"/>
              <w:tab w:val="right" w:leader="dot" w:pos="9015"/>
            </w:tabs>
            <w:rPr>
              <w:rStyle w:val="Hyperlink"/>
            </w:rPr>
          </w:pPr>
          <w:hyperlink w:anchor="_Toc496312082">
            <w:r w:rsidR="1F9AEEA0" w:rsidRPr="1F9AEEA0">
              <w:rPr>
                <w:rStyle w:val="Hyperlink"/>
              </w:rPr>
              <w:t>4.</w:t>
            </w:r>
            <w:r w:rsidR="001D177C">
              <w:tab/>
            </w:r>
            <w:r w:rsidR="1F9AEEA0" w:rsidRPr="1F9AEEA0">
              <w:rPr>
                <w:rStyle w:val="Hyperlink"/>
              </w:rPr>
              <w:t>Results</w:t>
            </w:r>
            <w:r w:rsidR="001D177C">
              <w:tab/>
            </w:r>
            <w:r>
              <w:fldChar w:fldCharType="begin"/>
            </w:r>
            <w:r w:rsidR="001D177C">
              <w:instrText>PAGEREF _Toc496312082 \h</w:instrText>
            </w:r>
            <w:r>
              <w:fldChar w:fldCharType="separate"/>
            </w:r>
            <w:r w:rsidR="1F9AEEA0" w:rsidRPr="1F9AEEA0">
              <w:rPr>
                <w:rStyle w:val="Hyperlink"/>
              </w:rPr>
              <w:t>6</w:t>
            </w:r>
            <w:r>
              <w:fldChar w:fldCharType="end"/>
            </w:r>
          </w:hyperlink>
        </w:p>
        <w:p w:rsidR="004F7263" w:rsidRDefault="004F7263" w:rsidP="1F9AEEA0">
          <w:pPr>
            <w:pStyle w:val="TOC2"/>
            <w:tabs>
              <w:tab w:val="right" w:leader="dot" w:pos="9015"/>
            </w:tabs>
            <w:rPr>
              <w:rStyle w:val="Hyperlink"/>
            </w:rPr>
          </w:pPr>
          <w:hyperlink w:anchor="_Toc1445882623">
            <w:r w:rsidR="1F9AEEA0" w:rsidRPr="1F9AEEA0">
              <w:rPr>
                <w:rStyle w:val="Hyperlink"/>
              </w:rPr>
              <w:t>Theme 1: School settings are central but not automatically effective</w:t>
            </w:r>
            <w:r w:rsidR="001D177C">
              <w:tab/>
            </w:r>
            <w:r>
              <w:fldChar w:fldCharType="begin"/>
            </w:r>
            <w:r w:rsidR="001D177C">
              <w:instrText>PAGEREF _Toc1445882623 \h</w:instrText>
            </w:r>
            <w:r>
              <w:fldChar w:fldCharType="separate"/>
            </w:r>
            <w:r w:rsidR="1F9AEEA0" w:rsidRPr="1F9AEEA0">
              <w:rPr>
                <w:rStyle w:val="Hyperlink"/>
              </w:rPr>
              <w:t>7</w:t>
            </w:r>
            <w:r>
              <w:fldChar w:fldCharType="end"/>
            </w:r>
          </w:hyperlink>
        </w:p>
        <w:p w:rsidR="004F7263" w:rsidRDefault="004F7263" w:rsidP="1F9AEEA0">
          <w:pPr>
            <w:pStyle w:val="TOC2"/>
            <w:tabs>
              <w:tab w:val="right" w:leader="dot" w:pos="9015"/>
            </w:tabs>
            <w:rPr>
              <w:rStyle w:val="Hyperlink"/>
            </w:rPr>
          </w:pPr>
          <w:hyperlink w:anchor="_Toc891974835">
            <w:r w:rsidR="1F9AEEA0" w:rsidRPr="1F9AEEA0">
              <w:rPr>
                <w:rStyle w:val="Hyperlink"/>
              </w:rPr>
              <w:t>Theme 2: Targeted interventions tend to show stronger promise than universal ones</w:t>
            </w:r>
            <w:r w:rsidR="001D177C">
              <w:tab/>
            </w:r>
            <w:r>
              <w:fldChar w:fldCharType="begin"/>
            </w:r>
            <w:r w:rsidR="001D177C">
              <w:instrText>PAGEREF _Toc89197483</w:instrText>
            </w:r>
            <w:r w:rsidR="001D177C">
              <w:instrText>5 \h</w:instrText>
            </w:r>
            <w:r>
              <w:fldChar w:fldCharType="separate"/>
            </w:r>
            <w:r w:rsidR="1F9AEEA0" w:rsidRPr="1F9AEEA0">
              <w:rPr>
                <w:rStyle w:val="Hyperlink"/>
              </w:rPr>
              <w:t>7</w:t>
            </w:r>
            <w:r>
              <w:fldChar w:fldCharType="end"/>
            </w:r>
          </w:hyperlink>
        </w:p>
        <w:p w:rsidR="004F7263" w:rsidRDefault="004F7263" w:rsidP="1F9AEEA0">
          <w:pPr>
            <w:pStyle w:val="TOC2"/>
            <w:tabs>
              <w:tab w:val="right" w:leader="dot" w:pos="9015"/>
            </w:tabs>
            <w:rPr>
              <w:rStyle w:val="Hyperlink"/>
            </w:rPr>
          </w:pPr>
          <w:hyperlink w:anchor="_Toc277798737">
            <w:r w:rsidR="1F9AEEA0" w:rsidRPr="1F9AEEA0">
              <w:rPr>
                <w:rStyle w:val="Hyperlink"/>
              </w:rPr>
              <w:t>Theme 3: Acceptability, co-design and engagement are crucial</w:t>
            </w:r>
            <w:r w:rsidR="001D177C">
              <w:tab/>
            </w:r>
            <w:r>
              <w:fldChar w:fldCharType="begin"/>
            </w:r>
            <w:r w:rsidR="001D177C">
              <w:instrText>PAGEREF _Toc277798737 \h</w:instrText>
            </w:r>
            <w:r>
              <w:fldChar w:fldCharType="separate"/>
            </w:r>
            <w:r w:rsidR="1F9AEEA0" w:rsidRPr="1F9AEEA0">
              <w:rPr>
                <w:rStyle w:val="Hyperlink"/>
              </w:rPr>
              <w:t>8</w:t>
            </w:r>
            <w:r>
              <w:fldChar w:fldCharType="end"/>
            </w:r>
          </w:hyperlink>
        </w:p>
        <w:p w:rsidR="004F7263" w:rsidRDefault="004F7263" w:rsidP="1F9AEEA0">
          <w:pPr>
            <w:pStyle w:val="TOC2"/>
            <w:tabs>
              <w:tab w:val="right" w:leader="dot" w:pos="9015"/>
            </w:tabs>
            <w:rPr>
              <w:rStyle w:val="Hyperlink"/>
            </w:rPr>
          </w:pPr>
          <w:hyperlink w:anchor="_Toc1910697529">
            <w:r w:rsidR="1F9AEEA0" w:rsidRPr="1F9AEEA0">
              <w:rPr>
                <w:rStyle w:val="Hyperlink"/>
              </w:rPr>
              <w:t>Theme 4: Relational and supportive elements remain essential</w:t>
            </w:r>
            <w:r w:rsidR="001D177C">
              <w:tab/>
            </w:r>
            <w:r>
              <w:fldChar w:fldCharType="begin"/>
            </w:r>
            <w:r w:rsidR="001D177C">
              <w:instrText>PAGEREF _Toc1910697529 \h</w:instrText>
            </w:r>
            <w:r>
              <w:fldChar w:fldCharType="separate"/>
            </w:r>
            <w:r w:rsidR="1F9AEEA0" w:rsidRPr="1F9AEEA0">
              <w:rPr>
                <w:rStyle w:val="Hyperlink"/>
              </w:rPr>
              <w:t>8</w:t>
            </w:r>
            <w:r>
              <w:fldChar w:fldCharType="end"/>
            </w:r>
          </w:hyperlink>
        </w:p>
        <w:p w:rsidR="004F7263" w:rsidRDefault="004F7263" w:rsidP="1F9AEEA0">
          <w:pPr>
            <w:pStyle w:val="TOC2"/>
            <w:tabs>
              <w:tab w:val="right" w:leader="dot" w:pos="9015"/>
            </w:tabs>
            <w:rPr>
              <w:rStyle w:val="Hyperlink"/>
            </w:rPr>
          </w:pPr>
          <w:hyperlink w:anchor="_Toc2100017193">
            <w:r w:rsidR="1F9AEEA0" w:rsidRPr="1F9AEEA0">
              <w:rPr>
                <w:rStyle w:val="Hyperlink"/>
              </w:rPr>
              <w:t>Theme 5: The evidence base is promising but mixed, with important gaps</w:t>
            </w:r>
            <w:r w:rsidR="001D177C">
              <w:tab/>
            </w:r>
            <w:r>
              <w:fldChar w:fldCharType="begin"/>
            </w:r>
            <w:r w:rsidR="001D177C">
              <w:instrText>PAGEREF _Toc2100017193 \h</w:instrText>
            </w:r>
            <w:r>
              <w:fldChar w:fldCharType="separate"/>
            </w:r>
            <w:r w:rsidR="1F9AEEA0" w:rsidRPr="1F9AEEA0">
              <w:rPr>
                <w:rStyle w:val="Hyperlink"/>
              </w:rPr>
              <w:t>9</w:t>
            </w:r>
            <w:r>
              <w:fldChar w:fldCharType="end"/>
            </w:r>
          </w:hyperlink>
        </w:p>
        <w:p w:rsidR="004F7263" w:rsidRDefault="004F7263" w:rsidP="1F9AEEA0">
          <w:pPr>
            <w:pStyle w:val="TOC1"/>
            <w:tabs>
              <w:tab w:val="left" w:pos="480"/>
              <w:tab w:val="right" w:leader="dot" w:pos="9015"/>
            </w:tabs>
            <w:rPr>
              <w:rStyle w:val="Hyperlink"/>
            </w:rPr>
          </w:pPr>
          <w:hyperlink w:anchor="_Toc1621474466">
            <w:r w:rsidR="1F9AEEA0" w:rsidRPr="1F9AEEA0">
              <w:rPr>
                <w:rStyle w:val="Hyperlink"/>
              </w:rPr>
              <w:t>5.</w:t>
            </w:r>
            <w:r w:rsidR="001D177C">
              <w:tab/>
            </w:r>
            <w:r w:rsidR="1F9AEEA0" w:rsidRPr="1F9AEEA0">
              <w:rPr>
                <w:rStyle w:val="Hyperlink"/>
              </w:rPr>
              <w:t>Discussion</w:t>
            </w:r>
            <w:r w:rsidR="001D177C">
              <w:tab/>
            </w:r>
            <w:r>
              <w:fldChar w:fldCharType="begin"/>
            </w:r>
            <w:r w:rsidR="001D177C">
              <w:instrText>PAGEREF _Toc1621474466 \h</w:instrText>
            </w:r>
            <w:r>
              <w:fldChar w:fldCharType="separate"/>
            </w:r>
            <w:r w:rsidR="1F9AEEA0" w:rsidRPr="1F9AEEA0">
              <w:rPr>
                <w:rStyle w:val="Hyperlink"/>
              </w:rPr>
              <w:t>9</w:t>
            </w:r>
            <w:r>
              <w:fldChar w:fldCharType="end"/>
            </w:r>
          </w:hyperlink>
        </w:p>
        <w:p w:rsidR="004F7263" w:rsidRDefault="004F7263" w:rsidP="1F9AEEA0">
          <w:pPr>
            <w:pStyle w:val="TOC1"/>
            <w:tabs>
              <w:tab w:val="left" w:pos="480"/>
              <w:tab w:val="right" w:leader="dot" w:pos="9015"/>
            </w:tabs>
            <w:rPr>
              <w:rStyle w:val="Hyperlink"/>
            </w:rPr>
          </w:pPr>
          <w:hyperlink w:anchor="_Toc1531063418">
            <w:r w:rsidR="1F9AEEA0" w:rsidRPr="1F9AEEA0">
              <w:rPr>
                <w:rStyle w:val="Hyperlink"/>
              </w:rPr>
              <w:t>6.</w:t>
            </w:r>
            <w:r w:rsidR="001D177C">
              <w:tab/>
            </w:r>
            <w:r w:rsidR="1F9AEEA0" w:rsidRPr="1F9AEEA0">
              <w:rPr>
                <w:rStyle w:val="Hyperlink"/>
              </w:rPr>
              <w:t>Conclusion and Recommendations</w:t>
            </w:r>
            <w:r w:rsidR="001D177C">
              <w:tab/>
            </w:r>
            <w:r>
              <w:fldChar w:fldCharType="begin"/>
            </w:r>
            <w:r w:rsidR="001D177C">
              <w:instrText>PAGEREF _Toc1531063418 \h</w:instrText>
            </w:r>
            <w:r>
              <w:fldChar w:fldCharType="separate"/>
            </w:r>
            <w:r w:rsidR="1F9AEEA0" w:rsidRPr="1F9AEEA0">
              <w:rPr>
                <w:rStyle w:val="Hyperlink"/>
              </w:rPr>
              <w:t>11</w:t>
            </w:r>
            <w:r>
              <w:fldChar w:fldCharType="end"/>
            </w:r>
          </w:hyperlink>
        </w:p>
        <w:p w:rsidR="004F7263" w:rsidRDefault="004F7263" w:rsidP="1F9AEEA0">
          <w:pPr>
            <w:pStyle w:val="TOC1"/>
            <w:tabs>
              <w:tab w:val="right" w:leader="dot" w:pos="9015"/>
            </w:tabs>
            <w:rPr>
              <w:rStyle w:val="Hyperlink"/>
            </w:rPr>
          </w:pPr>
          <w:hyperlink w:anchor="_Toc1397886043">
            <w:r w:rsidR="1F9AEEA0" w:rsidRPr="1F9AEEA0">
              <w:rPr>
                <w:rStyle w:val="Hyperlink"/>
              </w:rPr>
              <w:t>Reference list</w:t>
            </w:r>
            <w:r w:rsidR="001D177C">
              <w:tab/>
            </w:r>
            <w:r>
              <w:fldChar w:fldCharType="begin"/>
            </w:r>
            <w:r w:rsidR="001D177C">
              <w:instrText>PAGEREF _Toc1397886043 \h</w:instrText>
            </w:r>
            <w:r>
              <w:fldChar w:fldCharType="separate"/>
            </w:r>
            <w:r w:rsidR="1F9AEEA0" w:rsidRPr="1F9AEEA0">
              <w:rPr>
                <w:rStyle w:val="Hyperlink"/>
              </w:rPr>
              <w:t>12</w:t>
            </w:r>
            <w:r>
              <w:fldChar w:fldCharType="end"/>
            </w:r>
          </w:hyperlink>
          <w:r>
            <w:fldChar w:fldCharType="end"/>
          </w:r>
        </w:p>
      </w:sdtContent>
    </w:sdt>
    <w:p w:rsidR="004F7263" w:rsidRDefault="004F7263" w:rsidP="1F9AEEA0">
      <w:pPr>
        <w:spacing w:line="360" w:lineRule="auto"/>
        <w:jc w:val="both"/>
        <w:rPr>
          <w:rFonts w:ascii="Arial" w:eastAsia="Arial" w:hAnsi="Arial" w:cs="Arial"/>
          <w:b/>
          <w:bCs/>
          <w:sz w:val="22"/>
          <w:szCs w:val="22"/>
        </w:rPr>
      </w:pPr>
    </w:p>
    <w:p w:rsidR="004F7263" w:rsidRDefault="004F7263" w:rsidP="1F9AEEA0">
      <w:pPr>
        <w:spacing w:line="360" w:lineRule="auto"/>
        <w:jc w:val="both"/>
        <w:rPr>
          <w:rFonts w:ascii="Arial" w:eastAsia="Arial" w:hAnsi="Arial" w:cs="Arial"/>
          <w:b/>
          <w:bCs/>
          <w:sz w:val="22"/>
          <w:szCs w:val="22"/>
        </w:rPr>
      </w:pPr>
    </w:p>
    <w:p w:rsidR="004F7263" w:rsidRDefault="001D177C" w:rsidP="1F9AEEA0">
      <w:pPr>
        <w:spacing w:line="360" w:lineRule="auto"/>
        <w:rPr>
          <w:rFonts w:ascii="Arial" w:eastAsia="Arial" w:hAnsi="Arial" w:cs="Arial"/>
          <w:sz w:val="22"/>
          <w:szCs w:val="22"/>
        </w:rPr>
      </w:pPr>
      <w:r w:rsidRPr="1F9AEEA0">
        <w:rPr>
          <w:rFonts w:ascii="Arial" w:eastAsia="Arial" w:hAnsi="Arial" w:cs="Arial"/>
          <w:sz w:val="22"/>
          <w:szCs w:val="22"/>
        </w:rPr>
        <w:br w:type="page"/>
      </w:r>
    </w:p>
    <w:p w:rsidR="004F7263" w:rsidRDefault="2FD90095" w:rsidP="1F9AEEA0">
      <w:pPr>
        <w:pStyle w:val="Heading1"/>
        <w:numPr>
          <w:ilvl w:val="0"/>
          <w:numId w:val="1"/>
        </w:numPr>
        <w:spacing w:line="360" w:lineRule="auto"/>
        <w:rPr>
          <w:rFonts w:ascii="Arial" w:eastAsia="Arial" w:hAnsi="Arial" w:cs="Arial"/>
          <w:b/>
          <w:bCs/>
          <w:color w:val="auto"/>
          <w:sz w:val="22"/>
          <w:szCs w:val="22"/>
        </w:rPr>
      </w:pPr>
      <w:bookmarkStart w:id="0" w:name="_Toc138986638"/>
      <w:r w:rsidRPr="1F9AEEA0">
        <w:rPr>
          <w:rFonts w:ascii="Arial" w:eastAsia="Arial" w:hAnsi="Arial" w:cs="Arial"/>
          <w:b/>
          <w:bCs/>
          <w:color w:val="auto"/>
          <w:sz w:val="22"/>
          <w:szCs w:val="22"/>
        </w:rPr>
        <w:lastRenderedPageBreak/>
        <w:t>Introduction</w:t>
      </w:r>
      <w:bookmarkEnd w:id="0"/>
    </w:p>
    <w:p w:rsidR="004F7263" w:rsidRDefault="2DE409AE"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In the United Kingdom, adolescent mental health is a significant area of concern in terms of public health and social care. Adolescence is a critical developmental phase during which the emotional, social and cognitive changes take place very fast and any emerging mental health problems may influence education, family relations, identity and eventual adult health. According to the World Health Organization, a mental disorder is experienced by one in seven 10–19-year-olds in the world and that anxiety, depression and behavioural disorders are some of the most prevalent causes of illness and disability among this age group (World Health Organization, 2025). The latest national survey in England documented that an estimated one in every five children and young people aged 8 -25 had a likely mental disorder in 2023, with 20.3% of children aged 8-16. In the same survey, poor mental health was also attributed to bullying, financial difficulty and decreased engagement in social activities, which revealed that the mental health of adolescence is influenced by clinical and social factors.</w:t>
      </w:r>
    </w:p>
    <w:p w:rsidR="004F7263" w:rsidRDefault="64CB0982"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In this background, non-pharmacological interventions gained more significance. In this review, non-pharmacological interventions include therapeutic, psychosocial, educational, behavioural, creative or digitally aided interventions, which are not based mainly on medication. These involve school-based counselling, mindfulness training, psychoeducation, music therapy, self-harm support applications and additional psychosocial approaches. This focus is aligned with the UK guidance. NICE suggests stepped care on depression among children and young people aged 518, with a high preference to psychological therapies and psychosocial assistance, particularly in light of severe to moderate problems and as an aspect of more person-focused treatment (NICE, 2019). Recent parliamentary briefing material at a policy level also indicates an increase in demand, long waiting lists, and the necessity of more powerful community-based and multidisciplinary mental health support in England and as such the quality and suitability of non-pharmacological responses places a particular premium (Parkin, 2024).</w:t>
      </w:r>
    </w:p>
    <w:p w:rsidR="004F7263" w:rsidRDefault="59E15D37"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This scoping review rationale is due to the fact that the evidence on the interventions related to adolescents which non-pharmacological interventions are is rather wide, diverse, and, in some cases, contradictory. Techniques seem promising in controlled or local contexts but deliver less satisfactory results in large-scale contexts. Others show a level of acceptability and safety but are still without clear long-term outcome data. The scoping review is thus appropriate since it allows the researcher to sketch out the scope of evidence, pinpoint the themes that are repeated and show gaps as opposed to a tightly focused question on effectiveness. The methodological part of this review is based on the five-stage </w:t>
      </w:r>
      <w:r w:rsidRPr="1F9AEEA0">
        <w:rPr>
          <w:rFonts w:ascii="Arial" w:eastAsia="Arial" w:hAnsi="Arial" w:cs="Arial"/>
          <w:sz w:val="22"/>
          <w:szCs w:val="22"/>
        </w:rPr>
        <w:lastRenderedPageBreak/>
        <w:t>scoping framework developed by Arksey and O’Malley and uses a simplified version of thematic analysis as proposed by Aveyard to systematise the chosen literature into concise and practice-relevant themes (Arksey and O’Malley, 2005; Aveyard, 2014).</w:t>
      </w:r>
    </w:p>
    <w:p w:rsidR="004F7263" w:rsidRDefault="51DB3D44" w:rsidP="1F9AEEA0">
      <w:pPr>
        <w:pStyle w:val="Heading2"/>
        <w:spacing w:line="360" w:lineRule="auto"/>
        <w:rPr>
          <w:rFonts w:ascii="Arial" w:eastAsia="Arial" w:hAnsi="Arial" w:cs="Arial"/>
          <w:b/>
          <w:bCs/>
          <w:color w:val="auto"/>
          <w:sz w:val="22"/>
          <w:szCs w:val="22"/>
        </w:rPr>
      </w:pPr>
      <w:bookmarkStart w:id="1" w:name="_Toc2129000997"/>
      <w:r w:rsidRPr="1F9AEEA0">
        <w:rPr>
          <w:rFonts w:ascii="Arial" w:eastAsia="Arial" w:hAnsi="Arial" w:cs="Arial"/>
          <w:b/>
          <w:bCs/>
          <w:color w:val="auto"/>
          <w:sz w:val="22"/>
          <w:szCs w:val="22"/>
        </w:rPr>
        <w:t xml:space="preserve">1.1. </w:t>
      </w:r>
      <w:r w:rsidR="2FD90095" w:rsidRPr="1F9AEEA0">
        <w:rPr>
          <w:rFonts w:ascii="Arial" w:eastAsia="Arial" w:hAnsi="Arial" w:cs="Arial"/>
          <w:b/>
          <w:bCs/>
          <w:color w:val="auto"/>
          <w:sz w:val="22"/>
          <w:szCs w:val="22"/>
        </w:rPr>
        <w:t>Review question</w:t>
      </w:r>
      <w:bookmarkEnd w:id="1"/>
    </w:p>
    <w:p w:rsidR="004F7263" w:rsidRDefault="2FD90095" w:rsidP="1F9AEEA0">
      <w:pPr>
        <w:spacing w:before="240" w:after="240" w:line="360" w:lineRule="auto"/>
        <w:jc w:val="both"/>
        <w:rPr>
          <w:rFonts w:ascii="Arial" w:eastAsia="Arial" w:hAnsi="Arial" w:cs="Arial"/>
          <w:sz w:val="22"/>
          <w:szCs w:val="22"/>
        </w:rPr>
      </w:pPr>
      <w:r w:rsidRPr="1F9AEEA0">
        <w:rPr>
          <w:rFonts w:ascii="Arial" w:eastAsia="Arial" w:hAnsi="Arial" w:cs="Arial"/>
          <w:sz w:val="22"/>
          <w:szCs w:val="22"/>
        </w:rPr>
        <w:t>What are the key themes in peer-reviewed literature on non-pharmacological interventions for adolescent mental health in the UK?</w:t>
      </w:r>
    </w:p>
    <w:p w:rsidR="004F7263" w:rsidRDefault="6CE024E5" w:rsidP="1F9AEEA0">
      <w:pPr>
        <w:pStyle w:val="Heading2"/>
        <w:spacing w:line="360" w:lineRule="auto"/>
        <w:rPr>
          <w:rFonts w:ascii="Arial" w:eastAsia="Arial" w:hAnsi="Arial" w:cs="Arial"/>
          <w:b/>
          <w:bCs/>
          <w:color w:val="auto"/>
          <w:sz w:val="22"/>
          <w:szCs w:val="22"/>
        </w:rPr>
      </w:pPr>
      <w:bookmarkStart w:id="2" w:name="_Toc1623095563"/>
      <w:r w:rsidRPr="1F9AEEA0">
        <w:rPr>
          <w:rFonts w:ascii="Arial" w:eastAsia="Arial" w:hAnsi="Arial" w:cs="Arial"/>
          <w:b/>
          <w:bCs/>
          <w:color w:val="auto"/>
          <w:sz w:val="22"/>
          <w:szCs w:val="22"/>
        </w:rPr>
        <w:t xml:space="preserve">1.2. </w:t>
      </w:r>
      <w:r w:rsidR="2FD90095" w:rsidRPr="1F9AEEA0">
        <w:rPr>
          <w:rFonts w:ascii="Arial" w:eastAsia="Arial" w:hAnsi="Arial" w:cs="Arial"/>
          <w:b/>
          <w:bCs/>
          <w:color w:val="auto"/>
          <w:sz w:val="22"/>
          <w:szCs w:val="22"/>
        </w:rPr>
        <w:t>Aim</w:t>
      </w:r>
      <w:bookmarkEnd w:id="2"/>
    </w:p>
    <w:p w:rsidR="004F7263" w:rsidRDefault="46028690" w:rsidP="1F9AEEA0">
      <w:pPr>
        <w:spacing w:before="240" w:after="240" w:line="360" w:lineRule="auto"/>
        <w:jc w:val="both"/>
        <w:rPr>
          <w:rFonts w:ascii="Arial" w:eastAsia="Arial" w:hAnsi="Arial" w:cs="Arial"/>
          <w:sz w:val="22"/>
          <w:szCs w:val="22"/>
        </w:rPr>
      </w:pPr>
      <w:r w:rsidRPr="1F9AEEA0">
        <w:rPr>
          <w:rFonts w:ascii="Arial" w:eastAsia="Arial" w:hAnsi="Arial" w:cs="Arial"/>
          <w:sz w:val="22"/>
          <w:szCs w:val="22"/>
        </w:rPr>
        <w:t>The aim of this scoping review is expected to provide a mapping of peer-reviewed literature on non-pharmacological interventions to support adolescent mental health in the UK and pinpoint the major themes in the context of health and social care practice.</w:t>
      </w:r>
    </w:p>
    <w:p w:rsidR="004F7263" w:rsidRDefault="02236204" w:rsidP="1F9AEEA0">
      <w:pPr>
        <w:pStyle w:val="Heading2"/>
        <w:spacing w:line="360" w:lineRule="auto"/>
        <w:rPr>
          <w:rFonts w:ascii="Arial" w:eastAsia="Arial" w:hAnsi="Arial" w:cs="Arial"/>
          <w:b/>
          <w:bCs/>
          <w:color w:val="auto"/>
          <w:sz w:val="22"/>
          <w:szCs w:val="22"/>
        </w:rPr>
      </w:pPr>
      <w:bookmarkStart w:id="3" w:name="_Toc236363101"/>
      <w:r w:rsidRPr="1F9AEEA0">
        <w:rPr>
          <w:rFonts w:ascii="Arial" w:eastAsia="Arial" w:hAnsi="Arial" w:cs="Arial"/>
          <w:b/>
          <w:bCs/>
          <w:color w:val="auto"/>
          <w:sz w:val="22"/>
          <w:szCs w:val="22"/>
        </w:rPr>
        <w:t xml:space="preserve">1.3. </w:t>
      </w:r>
      <w:r w:rsidR="2FD90095" w:rsidRPr="1F9AEEA0">
        <w:rPr>
          <w:rFonts w:ascii="Arial" w:eastAsia="Arial" w:hAnsi="Arial" w:cs="Arial"/>
          <w:b/>
          <w:bCs/>
          <w:color w:val="auto"/>
          <w:sz w:val="22"/>
          <w:szCs w:val="22"/>
        </w:rPr>
        <w:t>Objectives</w:t>
      </w:r>
      <w:bookmarkEnd w:id="3"/>
    </w:p>
    <w:p w:rsidR="004F7263" w:rsidRDefault="50D74BA6"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objective of the review are to find out and classify important themes in the literature, pinpoint gaps in evidence that can guide research in the future, and make insights about practical application of the evidence to UK health and social care services.</w:t>
      </w:r>
    </w:p>
    <w:p w:rsidR="004F7263" w:rsidRDefault="2FD90095" w:rsidP="1F9AEEA0">
      <w:pPr>
        <w:pStyle w:val="Heading1"/>
        <w:numPr>
          <w:ilvl w:val="0"/>
          <w:numId w:val="1"/>
        </w:numPr>
        <w:spacing w:line="360" w:lineRule="auto"/>
        <w:rPr>
          <w:rFonts w:ascii="Arial" w:eastAsia="Arial" w:hAnsi="Arial" w:cs="Arial"/>
          <w:b/>
          <w:bCs/>
          <w:color w:val="auto"/>
          <w:sz w:val="22"/>
          <w:szCs w:val="22"/>
        </w:rPr>
      </w:pPr>
      <w:bookmarkStart w:id="4" w:name="_Toc264502285"/>
      <w:r w:rsidRPr="1F9AEEA0">
        <w:rPr>
          <w:rFonts w:ascii="Arial" w:eastAsia="Arial" w:hAnsi="Arial" w:cs="Arial"/>
          <w:b/>
          <w:bCs/>
          <w:color w:val="auto"/>
          <w:sz w:val="22"/>
          <w:szCs w:val="22"/>
        </w:rPr>
        <w:t>Background</w:t>
      </w:r>
      <w:bookmarkEnd w:id="4"/>
    </w:p>
    <w:p w:rsidR="004F7263" w:rsidRDefault="27AE1CCD"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growing rate of mental health challenges among the adolescent population has accelerated the demands on the UK services. According to NHS England survey data, mental health issues amongst children and the youth have not been reduced and according to the House of Commons briefing material, the demand has increased over the years, and also long waits have become a norm in certain sections of the system. These pressures are important as the lack of prompt support may aggravate distress and decrease the probability of preventing intervention in its early stages. Accessible non-pharmacological support is particularly significant in the case of adolescents, the problems which in most cases are influenced by school stress, peer relations, identity formation and family conditions.</w:t>
      </w:r>
    </w:p>
    <w:p w:rsidR="004F7263" w:rsidRDefault="4A9B4028"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The Non-pharmacological interventions are especially applicable due to their suitability to the developmental, educational, and social models of support. The adolescents require not just reduction of symptoms but also better coping skills, emotional literacy, safer relationships, resilience, school involvement and acceptable and non-stigmatising support. Psychological and social interventions can thus be more appropriate than medication alone to a large proportion of young people, and at earlier stages of distress. The NICE guidance on depression in children and young people is founded on stepped care and clearly </w:t>
      </w:r>
      <w:r w:rsidRPr="1F9AEEA0">
        <w:rPr>
          <w:rFonts w:ascii="Arial" w:eastAsia="Arial" w:hAnsi="Arial" w:cs="Arial"/>
          <w:sz w:val="22"/>
          <w:szCs w:val="22"/>
        </w:rPr>
        <w:lastRenderedPageBreak/>
        <w:t>encompasses psychological therapies of mild and moderate to severe depression, meaning that medication is no longer the sole or automatic reaction (NICE, 2019).</w:t>
      </w:r>
    </w:p>
    <w:p w:rsidR="004F7263" w:rsidRDefault="4A9B4028"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Setting and delivery is also very important in the UK context. The initial disclosure of distress is in schools and not in specialist clinics by many adolescents. CAMHS, school nurses, youth workers or social care professionals or voluntary-sector organisations may be known to others. It will imply that school-based interventions, community-based ones, or digital-based ones that are part of the existing services can be particularly useful. Nonetheless, effective delivery cannot be taken as a matter of course because an intervention is out there. Engagement, quality of implementation, family engagement, protection and inequality are all factors that influence support in practice. Both parliamentary and NHS material also indicate that access, unmet need and inequality need to be considered in service reform, not just the provision of treatment.</w:t>
      </w:r>
    </w:p>
    <w:p w:rsidR="004F7263" w:rsidRDefault="673BFDF7"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This complexity is captured in recent studies of the UK. Mindfulness-based school-based training has produced varied results on the large-scale level. Humanistic counselling has been shown to have short term positive effects in schools through certain groups. The digital tools, like MoodHwb and BlueIce, can be seen as acceptable and potentially helpful, but with different levels of the strength of the outcome. Music therapy in CAMHS has been demonstrated to have positive effects on certain secondary outcomes and not necessarily primary outcomes. The combination of these studies creates a possible indication that there is no universally effective intervention in the literature. Rather, it demonstrates significant trends regarding access, acceptability, relational support, implementation and the fit between intervention type and need among adolescents.</w:t>
      </w:r>
    </w:p>
    <w:p w:rsidR="004F7263" w:rsidRDefault="2FD90095" w:rsidP="1F9AEEA0">
      <w:pPr>
        <w:pStyle w:val="Heading1"/>
        <w:numPr>
          <w:ilvl w:val="0"/>
          <w:numId w:val="1"/>
        </w:numPr>
        <w:spacing w:line="360" w:lineRule="auto"/>
        <w:rPr>
          <w:rFonts w:ascii="Arial" w:eastAsia="Arial" w:hAnsi="Arial" w:cs="Arial"/>
          <w:b/>
          <w:bCs/>
          <w:color w:val="auto"/>
          <w:sz w:val="22"/>
          <w:szCs w:val="22"/>
        </w:rPr>
      </w:pPr>
      <w:bookmarkStart w:id="5" w:name="_Toc606200513"/>
      <w:r w:rsidRPr="1F9AEEA0">
        <w:rPr>
          <w:rFonts w:ascii="Arial" w:eastAsia="Arial" w:hAnsi="Arial" w:cs="Arial"/>
          <w:b/>
          <w:bCs/>
          <w:color w:val="auto"/>
          <w:sz w:val="22"/>
          <w:szCs w:val="22"/>
        </w:rPr>
        <w:t>Methods</w:t>
      </w:r>
      <w:bookmarkEnd w:id="5"/>
    </w:p>
    <w:p w:rsidR="004F7263" w:rsidRDefault="5E4F7592"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research design used in this paper is scoping review since the issue is wide and encompasses various forms of non-pharmacological intervention. Scoping reviews prove valuable in mapping both the scope and breadth and nature of research activity and address gaps in knowledge as opposed to generating a small pooled estimate of effectiveness. The review methodology framework applied by Arksey and O’Malley to the review process consisted of five steps: identifying the research question, identifying relevant studies, selecting studies, charting the data, and collating, summarising and reporting the results (Arksey and O’Malley, 2005).</w:t>
      </w:r>
    </w:p>
    <w:p w:rsidR="004F7263" w:rsidRDefault="5E4F7592"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A conceptualized search plan was formulated based on the concepts of adolescence, mental health, non-pharmacological intervention and the UK. The key databases used in </w:t>
      </w:r>
      <w:r w:rsidRPr="1F9AEEA0">
        <w:rPr>
          <w:rFonts w:ascii="Arial" w:eastAsia="Arial" w:hAnsi="Arial" w:cs="Arial"/>
          <w:sz w:val="22"/>
          <w:szCs w:val="22"/>
        </w:rPr>
        <w:lastRenderedPageBreak/>
        <w:t>accordance with the suggestion included PubMed, PsycINFO and CINAHL. Sample search terms comprised of adolescent mental health, non-pharmacological intervention, psychological therapy, school-based counselling, mindfulness, digital intervention, self-harm application, music therapy and UK. Results were narrowed or broadened with the help of such operators like AND and OR. The search was limited to peer-reviewed publications published in the past decade in the English language.</w:t>
      </w:r>
    </w:p>
    <w:p w:rsidR="004F7263" w:rsidRDefault="2ACECB49"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inclusion criteria included peer-reviewed journal articles published in English in the last ten years dedicated to the non-pharmacological interventions in the adolescent mental health and applicable to the UK practice. The studies could be either primary or secondary but had to be evidently relevant to adolescents and non-pharmacological support. Policy papers, commentaries, non-peer-reviewed material, studies that were not within the time frame, and those that primarily dealt with pharmacological treatment were used as exclusion criteria. Though there is wider international literature, the review was specific to UK evidence in order to present the assignment brief and enhance relevance to national health and social care practice.</w:t>
      </w:r>
    </w:p>
    <w:p w:rsidR="004F7263" w:rsidRDefault="633CC53B"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A close analysis of five major studies was carried out due to their one very diverse and at the same time consistent set of interventions in the UK: school-based humanistic counselling, school-based mindfulness training, a self-harm support app, a digital psychoeducational depression intervention, and music therapy in CAMHS. The simplified thematic analysis of Aveyard was then used to examine these studies. The method used by Aveyard entails reading the same text repeatedly, pinpointing recurrent areas of significance, writing of some basic codes, creating a group of other codes into larger groups, and subsequently citing themes that respond to the review question. This approach is particularly appropriate in the context of the undergraduate health and social care research due to the ability to help synthesize the data clearly without engaging in the more complicated line-by-line processes typical of the primary qualitative research (Aveyard, 2014).</w:t>
      </w:r>
    </w:p>
    <w:p w:rsidR="004F7263" w:rsidRDefault="633CC53B"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This review was a secondary analysis of published research studies and thus did not need formal approval of ethics. Nevertheless, ethical principles were applicable. These were proper presentation of study results, study selection transparency, plagiarism avoidance, certainty and exaggerated statements on effectiveness. This was of particular significance since the mental health interventions among adolescents have practical implications on the safeguarding, access and quality of care.</w:t>
      </w:r>
    </w:p>
    <w:p w:rsidR="004F7263" w:rsidRDefault="2FD90095" w:rsidP="1F9AEEA0">
      <w:pPr>
        <w:pStyle w:val="Heading1"/>
        <w:numPr>
          <w:ilvl w:val="0"/>
          <w:numId w:val="1"/>
        </w:numPr>
        <w:spacing w:line="360" w:lineRule="auto"/>
        <w:rPr>
          <w:rFonts w:ascii="Arial" w:eastAsia="Arial" w:hAnsi="Arial" w:cs="Arial"/>
          <w:b/>
          <w:bCs/>
          <w:color w:val="auto"/>
          <w:sz w:val="22"/>
          <w:szCs w:val="22"/>
        </w:rPr>
      </w:pPr>
      <w:bookmarkStart w:id="6" w:name="_Toc496312082"/>
      <w:r w:rsidRPr="1F9AEEA0">
        <w:rPr>
          <w:rFonts w:ascii="Arial" w:eastAsia="Arial" w:hAnsi="Arial" w:cs="Arial"/>
          <w:b/>
          <w:bCs/>
          <w:color w:val="auto"/>
          <w:sz w:val="22"/>
          <w:szCs w:val="22"/>
        </w:rPr>
        <w:lastRenderedPageBreak/>
        <w:t>Results</w:t>
      </w:r>
      <w:bookmarkEnd w:id="6"/>
    </w:p>
    <w:p w:rsidR="004F7263" w:rsidRDefault="4898F9AB"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five articles chosen were based in the UK and were published within the years 2017-2024. They included school, CAMHS and digital settings and both universal and targeted interventions. They collectively mirrored the variety of existing non-pharmacological practice with adolescent mental health in the UK.</w:t>
      </w:r>
    </w:p>
    <w:tbl>
      <w:tblPr>
        <w:tblStyle w:val="TableGrid"/>
        <w:bidiVisual/>
        <w:tblW w:w="0" w:type="auto"/>
        <w:tblLook w:val="06A0"/>
      </w:tblPr>
      <w:tblGrid>
        <w:gridCol w:w="1964"/>
        <w:gridCol w:w="2441"/>
        <w:gridCol w:w="1705"/>
        <w:gridCol w:w="2906"/>
      </w:tblGrid>
      <w:tr w:rsidR="1F9AEEA0" w:rsidTr="1F9AEEA0">
        <w:trPr>
          <w:trHeight w:val="300"/>
        </w:trPr>
        <w:tc>
          <w:tcPr>
            <w:tcW w:w="1964" w:type="dxa"/>
          </w:tcPr>
          <w:p w:rsidR="1F9AEEA0" w:rsidRDefault="1F9AEEA0" w:rsidP="1F9AEEA0">
            <w:pPr>
              <w:spacing w:line="360" w:lineRule="auto"/>
              <w:jc w:val="center"/>
              <w:rPr>
                <w:rFonts w:ascii="Arial" w:eastAsia="Arial" w:hAnsi="Arial" w:cs="Arial"/>
                <w:b/>
                <w:bCs/>
                <w:sz w:val="22"/>
                <w:szCs w:val="22"/>
              </w:rPr>
            </w:pPr>
            <w:r w:rsidRPr="1F9AEEA0">
              <w:rPr>
                <w:rFonts w:ascii="Arial" w:eastAsia="Arial" w:hAnsi="Arial" w:cs="Arial"/>
                <w:b/>
                <w:bCs/>
                <w:sz w:val="22"/>
                <w:szCs w:val="22"/>
              </w:rPr>
              <w:t>Study</w:t>
            </w:r>
          </w:p>
        </w:tc>
        <w:tc>
          <w:tcPr>
            <w:tcW w:w="2441" w:type="dxa"/>
          </w:tcPr>
          <w:p w:rsidR="1F9AEEA0" w:rsidRDefault="1F9AEEA0" w:rsidP="1F9AEEA0">
            <w:pPr>
              <w:spacing w:line="360" w:lineRule="auto"/>
              <w:jc w:val="center"/>
              <w:rPr>
                <w:rFonts w:ascii="Arial" w:eastAsia="Arial" w:hAnsi="Arial" w:cs="Arial"/>
                <w:b/>
                <w:bCs/>
                <w:sz w:val="22"/>
                <w:szCs w:val="22"/>
              </w:rPr>
            </w:pPr>
            <w:r w:rsidRPr="1F9AEEA0">
              <w:rPr>
                <w:rFonts w:ascii="Arial" w:eastAsia="Arial" w:hAnsi="Arial" w:cs="Arial"/>
                <w:b/>
                <w:bCs/>
                <w:sz w:val="22"/>
                <w:szCs w:val="22"/>
              </w:rPr>
              <w:t>Intervention</w:t>
            </w:r>
          </w:p>
        </w:tc>
        <w:tc>
          <w:tcPr>
            <w:tcW w:w="1705" w:type="dxa"/>
          </w:tcPr>
          <w:p w:rsidR="1F9AEEA0" w:rsidRDefault="1F9AEEA0" w:rsidP="1F9AEEA0">
            <w:pPr>
              <w:spacing w:line="360" w:lineRule="auto"/>
              <w:jc w:val="center"/>
              <w:rPr>
                <w:rFonts w:ascii="Arial" w:eastAsia="Arial" w:hAnsi="Arial" w:cs="Arial"/>
                <w:b/>
                <w:bCs/>
                <w:sz w:val="22"/>
                <w:szCs w:val="22"/>
              </w:rPr>
            </w:pPr>
            <w:r w:rsidRPr="1F9AEEA0">
              <w:rPr>
                <w:rFonts w:ascii="Arial" w:eastAsia="Arial" w:hAnsi="Arial" w:cs="Arial"/>
                <w:b/>
                <w:bCs/>
                <w:sz w:val="22"/>
                <w:szCs w:val="22"/>
              </w:rPr>
              <w:t>Setting</w:t>
            </w:r>
          </w:p>
        </w:tc>
        <w:tc>
          <w:tcPr>
            <w:tcW w:w="2906" w:type="dxa"/>
          </w:tcPr>
          <w:p w:rsidR="1F9AEEA0" w:rsidRDefault="1F9AEEA0" w:rsidP="1F9AEEA0">
            <w:pPr>
              <w:spacing w:line="360" w:lineRule="auto"/>
              <w:jc w:val="center"/>
              <w:rPr>
                <w:rFonts w:ascii="Arial" w:eastAsia="Arial" w:hAnsi="Arial" w:cs="Arial"/>
                <w:b/>
                <w:bCs/>
                <w:sz w:val="22"/>
                <w:szCs w:val="22"/>
              </w:rPr>
            </w:pPr>
            <w:r w:rsidRPr="1F9AEEA0">
              <w:rPr>
                <w:rFonts w:ascii="Arial" w:eastAsia="Arial" w:hAnsi="Arial" w:cs="Arial"/>
                <w:b/>
                <w:bCs/>
                <w:sz w:val="22"/>
                <w:szCs w:val="22"/>
              </w:rPr>
              <w:t>Main finding</w:t>
            </w:r>
          </w:p>
        </w:tc>
      </w:tr>
      <w:tr w:rsidR="1F9AEEA0" w:rsidTr="1F9AEEA0">
        <w:trPr>
          <w:trHeight w:val="300"/>
        </w:trPr>
        <w:tc>
          <w:tcPr>
            <w:tcW w:w="1964"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Cooper et al. (2021) ETHOS</w:t>
            </w:r>
          </w:p>
        </w:tc>
        <w:tc>
          <w:tcPr>
            <w:tcW w:w="2441"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School-based humanistic counselling</w:t>
            </w:r>
          </w:p>
        </w:tc>
        <w:tc>
          <w:tcPr>
            <w:tcW w:w="1705"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UK state schools</w:t>
            </w:r>
          </w:p>
        </w:tc>
        <w:tc>
          <w:tcPr>
            <w:tcW w:w="2906"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Short-term reduction in distress; cost-effectiveness less clear</w:t>
            </w:r>
          </w:p>
        </w:tc>
      </w:tr>
      <w:tr w:rsidR="1F9AEEA0" w:rsidTr="1F9AEEA0">
        <w:trPr>
          <w:trHeight w:val="300"/>
        </w:trPr>
        <w:tc>
          <w:tcPr>
            <w:tcW w:w="1964"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Kuyken et al. (2022) MYRIAD</w:t>
            </w:r>
          </w:p>
        </w:tc>
        <w:tc>
          <w:tcPr>
            <w:tcW w:w="2441"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Universal school-based mindfulness training</w:t>
            </w:r>
          </w:p>
        </w:tc>
        <w:tc>
          <w:tcPr>
            <w:tcW w:w="1705"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UK secondary schools</w:t>
            </w:r>
          </w:p>
        </w:tc>
        <w:tc>
          <w:tcPr>
            <w:tcW w:w="2906"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No evidence of superiority over teaching-as-usual at 1 year</w:t>
            </w:r>
          </w:p>
        </w:tc>
      </w:tr>
      <w:tr w:rsidR="1F9AEEA0" w:rsidTr="1F9AEEA0">
        <w:trPr>
          <w:trHeight w:val="300"/>
        </w:trPr>
        <w:tc>
          <w:tcPr>
            <w:tcW w:w="1964"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Stallard et al. (2018; 2024) BlueIce/BASH</w:t>
            </w:r>
          </w:p>
        </w:tc>
        <w:tc>
          <w:tcPr>
            <w:tcW w:w="2441"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Self-harm prevention app with CBT/DBT techniques</w:t>
            </w:r>
          </w:p>
        </w:tc>
        <w:tc>
          <w:tcPr>
            <w:tcW w:w="1705"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CAMHS</w:t>
            </w:r>
          </w:p>
        </w:tc>
        <w:tc>
          <w:tcPr>
            <w:tcW w:w="2906"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High acceptability and safety; mixed clinical outcome evidence</w:t>
            </w:r>
          </w:p>
        </w:tc>
      </w:tr>
      <w:tr w:rsidR="1F9AEEA0" w:rsidTr="1F9AEEA0">
        <w:trPr>
          <w:trHeight w:val="300"/>
        </w:trPr>
        <w:tc>
          <w:tcPr>
            <w:tcW w:w="1964"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Jones et al. (2020) MoodHwb</w:t>
            </w:r>
          </w:p>
        </w:tc>
        <w:tc>
          <w:tcPr>
            <w:tcW w:w="2441"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Co-designed digital psychoeducation for depression</w:t>
            </w:r>
          </w:p>
        </w:tc>
        <w:tc>
          <w:tcPr>
            <w:tcW w:w="1705"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Health, education and youth contexts</w:t>
            </w:r>
          </w:p>
        </w:tc>
        <w:tc>
          <w:tcPr>
            <w:tcW w:w="2906"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Feasible and acceptable; potential early intervention value</w:t>
            </w:r>
          </w:p>
        </w:tc>
      </w:tr>
      <w:tr w:rsidR="1F9AEEA0" w:rsidTr="1F9AEEA0">
        <w:trPr>
          <w:trHeight w:val="300"/>
        </w:trPr>
        <w:tc>
          <w:tcPr>
            <w:tcW w:w="1964"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Porter et al. (2017)</w:t>
            </w:r>
          </w:p>
        </w:tc>
        <w:tc>
          <w:tcPr>
            <w:tcW w:w="2441"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Music therapy plus usual care</w:t>
            </w:r>
          </w:p>
        </w:tc>
        <w:tc>
          <w:tcPr>
            <w:tcW w:w="1705"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Northern Ireland CAMHS</w:t>
            </w:r>
          </w:p>
        </w:tc>
        <w:tc>
          <w:tcPr>
            <w:tcW w:w="2906" w:type="dxa"/>
          </w:tcPr>
          <w:p w:rsidR="1F9AEEA0" w:rsidRDefault="1F9AEEA0" w:rsidP="1F9AEEA0">
            <w:pPr>
              <w:spacing w:line="360" w:lineRule="auto"/>
              <w:rPr>
                <w:rFonts w:ascii="Arial" w:eastAsia="Arial" w:hAnsi="Arial" w:cs="Arial"/>
                <w:sz w:val="22"/>
                <w:szCs w:val="22"/>
              </w:rPr>
            </w:pPr>
            <w:r w:rsidRPr="1F9AEEA0">
              <w:rPr>
                <w:rFonts w:ascii="Arial" w:eastAsia="Arial" w:hAnsi="Arial" w:cs="Arial"/>
                <w:sz w:val="22"/>
                <w:szCs w:val="22"/>
              </w:rPr>
              <w:t>Mixed results; some gains in self-esteem and depression</w:t>
            </w:r>
          </w:p>
        </w:tc>
      </w:tr>
    </w:tbl>
    <w:p w:rsidR="004F7263" w:rsidRDefault="2FD90095" w:rsidP="1F9AEEA0">
      <w:pPr>
        <w:pStyle w:val="Heading2"/>
        <w:spacing w:line="360" w:lineRule="auto"/>
        <w:rPr>
          <w:rFonts w:ascii="Arial" w:eastAsia="Arial" w:hAnsi="Arial" w:cs="Arial"/>
          <w:b/>
          <w:bCs/>
          <w:color w:val="auto"/>
          <w:sz w:val="22"/>
          <w:szCs w:val="22"/>
        </w:rPr>
      </w:pPr>
      <w:bookmarkStart w:id="7" w:name="_Toc1445882623"/>
      <w:r w:rsidRPr="1F9AEEA0">
        <w:rPr>
          <w:rFonts w:ascii="Arial" w:eastAsia="Arial" w:hAnsi="Arial" w:cs="Arial"/>
          <w:b/>
          <w:bCs/>
          <w:color w:val="auto"/>
          <w:sz w:val="22"/>
          <w:szCs w:val="22"/>
        </w:rPr>
        <w:t>Theme 1: School settings are central but not automatically effective</w:t>
      </w:r>
      <w:bookmarkEnd w:id="7"/>
    </w:p>
    <w:p w:rsidR="004F7263" w:rsidRDefault="62355AB7"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One of the key themes was the primary role of schools as a place of intervention. Both ETHOS and MYRIAD were school based, which is a fact since schools are typically the most available place to provide mental health assistance to teenagers. School-based provision is able to decrease stigma, enhance convenience and accessibility to young people who would never go to specialist services. Nevertheless, the data indicated that location of schools is not a sufficient factor on its own to ensure effectiveness. In ETHOS trial, humanistic counselling in school and pastoral care was associated with the decrease in psychological distress among adolescents with emotional symptoms, which supports the importance of specific school counselling. In comparison, the MYRIAD did not support a greater effect of universal school-based mindfulness training over the teaching-as-usual one year. This implies that schools are significant delivery settings and that the type of intervention, quality of targets and implementation are significant.</w:t>
      </w:r>
    </w:p>
    <w:p w:rsidR="004F7263" w:rsidRDefault="2FD90095" w:rsidP="1F9AEEA0">
      <w:pPr>
        <w:pStyle w:val="Heading2"/>
        <w:spacing w:line="360" w:lineRule="auto"/>
        <w:rPr>
          <w:rFonts w:ascii="Arial" w:eastAsia="Arial" w:hAnsi="Arial" w:cs="Arial"/>
          <w:b/>
          <w:bCs/>
          <w:color w:val="auto"/>
          <w:sz w:val="22"/>
          <w:szCs w:val="22"/>
        </w:rPr>
      </w:pPr>
      <w:bookmarkStart w:id="8" w:name="_Toc891974835"/>
      <w:r w:rsidRPr="1F9AEEA0">
        <w:rPr>
          <w:rFonts w:ascii="Arial" w:eastAsia="Arial" w:hAnsi="Arial" w:cs="Arial"/>
          <w:b/>
          <w:bCs/>
          <w:color w:val="auto"/>
          <w:sz w:val="22"/>
          <w:szCs w:val="22"/>
        </w:rPr>
        <w:lastRenderedPageBreak/>
        <w:t>Theme 2: Targeted interventions tend to show stronger promise than universal ones</w:t>
      </w:r>
      <w:bookmarkEnd w:id="8"/>
    </w:p>
    <w:p w:rsidR="004F7263" w:rsidRDefault="7E38D327"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A second theme was that specific adolescent interventions provided in the presence of primary distress were sometimes more promising than universal adolescent interventions provided to entire school groups. ETHOS targeted moderate to severe emotionally symptomatic pupils aged 1316 and was short-term beneficial. BlueIce was developed to include adolescents with a history or current self-injury and demonstrated excellent acceptability and some positive clinical results, including the reduction of emergency department attendance towards statistical significance in the subsequent randomised trial. In comparison, MYRIAD provided universal mindfulness to highly inclusive pupils and was not better than provision in normal schools. This trend suggests that interventions can be more useful when they are balanced to discernible requirement instead of being provided identically to every adolescent with or without baseline distress.</w:t>
      </w:r>
    </w:p>
    <w:p w:rsidR="004F7263" w:rsidRDefault="2FD90095" w:rsidP="1F9AEEA0">
      <w:pPr>
        <w:pStyle w:val="Heading2"/>
        <w:spacing w:line="360" w:lineRule="auto"/>
        <w:rPr>
          <w:rFonts w:ascii="Arial" w:eastAsia="Arial" w:hAnsi="Arial" w:cs="Arial"/>
          <w:b/>
          <w:bCs/>
          <w:color w:val="auto"/>
          <w:sz w:val="22"/>
          <w:szCs w:val="22"/>
        </w:rPr>
      </w:pPr>
      <w:bookmarkStart w:id="9" w:name="_Toc277798737"/>
      <w:r w:rsidRPr="1F9AEEA0">
        <w:rPr>
          <w:rFonts w:ascii="Arial" w:eastAsia="Arial" w:hAnsi="Arial" w:cs="Arial"/>
          <w:b/>
          <w:bCs/>
          <w:color w:val="auto"/>
          <w:sz w:val="22"/>
          <w:szCs w:val="22"/>
        </w:rPr>
        <w:t>Theme 3: Acceptability, co-design and engagement are crucial</w:t>
      </w:r>
      <w:bookmarkEnd w:id="9"/>
    </w:p>
    <w:p w:rsidR="004F7263" w:rsidRDefault="6786BDB1"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reviewed articles all indicated that acceptance and involvement are core to intervention achievement. MoodHwb was also co-designed explicitly and was identified to be feasible and acceptable to the adolescents, parents and professionals. BlueIce was also found to be highly uptaken and perceived useful, as the majority of the participants decided to use it even after familiarisation. These results can indicate that the most common type of interventions is more likely to attract adolescents in case of the user-centred design being relevant and developmentally appropriate. This is relevant in practice because theoretically sound interventions may fail in the event that they are seen by the young people as dull, stigmatising, confusing or irrelevant to their lived experience. Co-design thus became not so much an additional bonus, but a more important quality indicator in teenage mental health support.</w:t>
      </w:r>
    </w:p>
    <w:p w:rsidR="004F7263" w:rsidRDefault="2FD90095" w:rsidP="1F9AEEA0">
      <w:pPr>
        <w:pStyle w:val="Heading2"/>
        <w:spacing w:line="360" w:lineRule="auto"/>
        <w:rPr>
          <w:rFonts w:ascii="Arial" w:eastAsia="Arial" w:hAnsi="Arial" w:cs="Arial"/>
          <w:b/>
          <w:bCs/>
          <w:color w:val="auto"/>
          <w:sz w:val="22"/>
          <w:szCs w:val="22"/>
        </w:rPr>
      </w:pPr>
      <w:bookmarkStart w:id="10" w:name="_Toc1910697529"/>
      <w:r w:rsidRPr="1F9AEEA0">
        <w:rPr>
          <w:rFonts w:ascii="Arial" w:eastAsia="Arial" w:hAnsi="Arial" w:cs="Arial"/>
          <w:b/>
          <w:bCs/>
          <w:color w:val="auto"/>
          <w:sz w:val="22"/>
          <w:szCs w:val="22"/>
        </w:rPr>
        <w:t>Theme 4: Relational and supportive elements remain essential</w:t>
      </w:r>
      <w:bookmarkEnd w:id="10"/>
    </w:p>
    <w:p w:rsidR="004F7263" w:rsidRDefault="0EC7F9AE"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Even though the interventions that were applied were digital or structured, the evidence indicated that adolescents can still benefit with the help of relational and supportive aspects of care. The humanistic counselling is founded on the therapeutic relationship, empathy and emotional expression. Relational engagement, creativity and emotional communication is also associated with music therapy as opposed to symptom management. Digital interventions like MoodHwb and BlueIce were also not introduced as substitutes to professional care, but were supposed to be added to the support of CAMHS, families, schools or other services. The significance of this theme lies in the fact that it undermines </w:t>
      </w:r>
      <w:r w:rsidRPr="1F9AEEA0">
        <w:rPr>
          <w:rFonts w:ascii="Arial" w:eastAsia="Arial" w:hAnsi="Arial" w:cs="Arial"/>
          <w:sz w:val="22"/>
          <w:szCs w:val="22"/>
        </w:rPr>
        <w:lastRenderedPageBreak/>
        <w:t>any naive belief that classroom or digital interventions, which can be scaled and implemented by robots, can substitute human interaction. Rather, the literature indicates that non-pharmacological interventions are most effective in cases where they are integrated into supportive care relationships and systems.</w:t>
      </w:r>
    </w:p>
    <w:p w:rsidR="004F7263" w:rsidRDefault="2FD90095" w:rsidP="1F9AEEA0">
      <w:pPr>
        <w:pStyle w:val="Heading2"/>
        <w:spacing w:line="360" w:lineRule="auto"/>
        <w:rPr>
          <w:rFonts w:ascii="Arial" w:eastAsia="Arial" w:hAnsi="Arial" w:cs="Arial"/>
          <w:b/>
          <w:bCs/>
          <w:color w:val="auto"/>
          <w:sz w:val="22"/>
          <w:szCs w:val="22"/>
        </w:rPr>
      </w:pPr>
      <w:bookmarkStart w:id="11" w:name="_Toc2100017193"/>
      <w:r w:rsidRPr="1F9AEEA0">
        <w:rPr>
          <w:rFonts w:ascii="Arial" w:eastAsia="Arial" w:hAnsi="Arial" w:cs="Arial"/>
          <w:b/>
          <w:bCs/>
          <w:color w:val="auto"/>
          <w:sz w:val="22"/>
          <w:szCs w:val="22"/>
        </w:rPr>
        <w:t>Theme 5: The evidence base is promising but mixed, with important gaps</w:t>
      </w:r>
      <w:bookmarkEnd w:id="11"/>
    </w:p>
    <w:p w:rsidR="004F7263" w:rsidRDefault="307B9DFD"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last theme was lack of congruence in findings and persisting evidence gaps. The Northern Ireland CAMHS trial increased music therapy self-esteem and depression scores but did not increase all primary outcomes. MYRIAD was very big, strong trial and there was no better outcome of school-based mindfulness at one year though there was optimism in literature. BlueIce demonstrated acceptable and good safety, but mixed outcome evidence of self-harm reduction. MoodHbw was viable and acceptable, but it still needed a larger trial to prove effectiveness. This trend indicates that non-pharmacological interventions in the UK are encouraging, but there is an unbalanced evidence base. The lack of strong conclusions is due to shorter follow-up periods, outcome variability, and implementation differences and the fact that feasibility and acceptability are not necessarily the same as clinical effectiveness.</w:t>
      </w:r>
    </w:p>
    <w:p w:rsidR="004F7263" w:rsidRDefault="511EA482" w:rsidP="1F9AEEA0">
      <w:pPr>
        <w:pStyle w:val="Heading1"/>
        <w:numPr>
          <w:ilvl w:val="0"/>
          <w:numId w:val="1"/>
        </w:numPr>
        <w:spacing w:line="360" w:lineRule="auto"/>
        <w:rPr>
          <w:rFonts w:ascii="Arial" w:eastAsia="Arial" w:hAnsi="Arial" w:cs="Arial"/>
          <w:b/>
          <w:bCs/>
          <w:color w:val="auto"/>
          <w:sz w:val="22"/>
          <w:szCs w:val="22"/>
        </w:rPr>
      </w:pPr>
      <w:bookmarkStart w:id="12" w:name="_Toc1621474466"/>
      <w:r w:rsidRPr="1F9AEEA0">
        <w:rPr>
          <w:rFonts w:ascii="Arial" w:eastAsia="Arial" w:hAnsi="Arial" w:cs="Arial"/>
          <w:b/>
          <w:bCs/>
          <w:color w:val="auto"/>
          <w:sz w:val="22"/>
          <w:szCs w:val="22"/>
        </w:rPr>
        <w:t>Discussion</w:t>
      </w:r>
      <w:bookmarkEnd w:id="12"/>
    </w:p>
    <w:p w:rsidR="004F7263" w:rsidRDefault="5FF51591"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This scoping review illustrates that non-pharmacological interventions of mental health among adolescents are diverse in nature, location and desired outcome, which depicts the complexity of the issue of adolescent mental health and the policy focus on early intervention, prevention and psychosocial care. The literature proposes that these interventions play the significant role in the UK health and social care practice, yet the effect of them is uneven and depends on various interacting factors, including the type of intervention, the needs of the adolescent population, and aspects of its implementation, as well as the context of providing the support (Arksey and O’Malley, 2005; Parkin, 2024). Instead of recognizing one best practice, the review suggests that the most effective actions are those that, according to the level of distress the young person is in, are suitably provided in a manner that is meaningful, acceptable and practical.</w:t>
      </w:r>
    </w:p>
    <w:p w:rsidR="004F7263" w:rsidRDefault="08DCCC94"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Among the most obvious trends in the studies reviewed, it is possible to single out the fact that targeted interventions seem to be more effective compared to universal ones. This is especially clear in the comparison between the trial with ETHOS and the study with Myriad. The ETHOS researchers established that humanistic counselling in the school setting, when provided to adolescents who are already emotionally distressed, created more </w:t>
      </w:r>
      <w:r w:rsidRPr="1F9AEEA0">
        <w:rPr>
          <w:rFonts w:ascii="Arial" w:eastAsia="Arial" w:hAnsi="Arial" w:cs="Arial"/>
          <w:sz w:val="22"/>
          <w:szCs w:val="22"/>
        </w:rPr>
        <w:lastRenderedPageBreak/>
        <w:t>favourable short-term results as compared to pastoral care (Cooper et al., 2021). In comparison, MYRIAD reported that mindfulness training provided by the schools universally was not superior to regular school provision at one-year follow-up (Kuyken et al., 2022). Such difference can be attributed to the reality whereby specific interventions are given to youths who have distinguishable emotional requirements, so the content becomes more specific and the incentive to participate can be higher. Universal interventions might not be entirely worthless in terms of emotional literacy and prevention, yet as per the evidence in this review, they might not be effective as a standalone response in those adolescents who have developed more serious mental health problems. This underlines a stepped-care model where universal treatment is augmented with more targeted interventions on individuals at higher risk or individuals with symptoms (NICE, 2019).</w:t>
      </w:r>
    </w:p>
    <w:p w:rsidR="004F7263" w:rsidRDefault="08DCCC94"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 second significant conclusion is that accessibility is not to be confused with effectiveness. Programs implemented in schools or online might seem appealing since they could be much more extensive since they may limit stigma and be more easily integrated into the routine of adolescents. Nevertheless, access does not ensure therapeutic value. The analyzed literature shows that low-cost or scalable interventions continue to rely on well-executed implementation, protective measures, significant interactions with adolescents and connection to larger support systems. This is significant in the UK where services are still experiencing lengthy wait times and need going unmet, putting a strain on the need to implement interventions that can be implemented speedily or in large quantities (Parkin, 2024). However, the material examined here indicates that schools and applications are not the solutions that are easy. Rather, they can be effective only when well-crafted, properly targeted, and incorporated into broader mental pathways.</w:t>
      </w:r>
    </w:p>
    <w:p w:rsidR="004F7263" w:rsidRDefault="2EB5BECF"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Person-centred and adolescent-informed design is also mentioned as crucial in the review. MoodHwb and BlueIce are especially applicable in this regard since both interventions were developed based on the experiences and preferences of young people, and both of them were found to be good or at least acceptable (Jones et al., 2020; Stallard, Porter and Grist, 2018). This implies that more meaningful use of interventions is likely to be effective in situations where they are based on the language, priorities and help-seeking patterns of adolescents. This has broader applications to anti-oppressive and inclusive practice. Teenagers are not a homogeneous group and their reactions to intervention can be influenced based on their factors like poverty, gender, culture, neurodiversity, bullying and previous service experience. Domestic statistics in England also reflect a connection between likely mental disorder and such factors as social disadvantage and bullying, which confirms the necessity of interventions aimed at responding to the social circumstances of </w:t>
      </w:r>
      <w:r w:rsidRPr="1F9AEEA0">
        <w:rPr>
          <w:rFonts w:ascii="Arial" w:eastAsia="Arial" w:hAnsi="Arial" w:cs="Arial"/>
          <w:sz w:val="22"/>
          <w:szCs w:val="22"/>
        </w:rPr>
        <w:lastRenderedPageBreak/>
        <w:t>distress instead of considering mental health problems as individual issues (NHS England Digital, 2023).</w:t>
      </w:r>
    </w:p>
    <w:p w:rsidR="004F7263" w:rsidRDefault="2EB5BECF"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There are also significant strengths and limitations of evidence base reviewed. Its strong points are availability of randomised controlled trials in the UK, utilisation of real-life context in the form of schools and CAMHS as well as availability of a variety of interventions that are applicable in the contemporaneous practice. Nonetheless, the literature has weaknesses on its mixed outcome measures, limited follow-up periods and uneven demonstrations of benefit in the long term. There are also studies that primarily revolve around feasibility and acceptability and not long-term clinical viability. Consequently, the current review justifies further research on the development of non-pharmacological interventions, albeit cautiously. Essential but not substitutes are acceptability, innovation and policy alignment, which require demonstration of long-term gain (Aveyard, 2014; Cooper et al., 2021).</w:t>
      </w:r>
    </w:p>
    <w:p w:rsidR="004F7263" w:rsidRDefault="2EB5BECF" w:rsidP="1F9AEEA0">
      <w:pPr>
        <w:pStyle w:val="Heading1"/>
        <w:numPr>
          <w:ilvl w:val="0"/>
          <w:numId w:val="1"/>
        </w:numPr>
        <w:spacing w:line="360" w:lineRule="auto"/>
        <w:rPr>
          <w:rFonts w:ascii="Arial" w:eastAsia="Arial" w:hAnsi="Arial" w:cs="Arial"/>
          <w:b/>
          <w:bCs/>
          <w:color w:val="auto"/>
          <w:sz w:val="22"/>
          <w:szCs w:val="22"/>
        </w:rPr>
      </w:pPr>
      <w:bookmarkStart w:id="13" w:name="_Toc1531063418"/>
      <w:r w:rsidRPr="1F9AEEA0">
        <w:rPr>
          <w:rFonts w:ascii="Arial" w:eastAsia="Arial" w:hAnsi="Arial" w:cs="Arial"/>
          <w:b/>
          <w:bCs/>
          <w:color w:val="auto"/>
          <w:sz w:val="22"/>
          <w:szCs w:val="22"/>
        </w:rPr>
        <w:t>Conclusion and Recommendations</w:t>
      </w:r>
      <w:bookmarkEnd w:id="13"/>
    </w:p>
    <w:p w:rsidR="004F7263" w:rsidRDefault="3B6C3093"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This scoping review identified five major themes of peer-reviewed UK research on non-pharmacological interventions in adolescent mental health, including the importance of school-related settings, the higher potential of targeted as opposed to universal intervention, the importance of acceptability and co-design, the persistent significance of relational support, and the promising but ambivalent nature of the evidence base. Combined, these themes indicate that non-pharmacological intervention has a significant role to play in adolescent mental health care in the UK, especially with the growing demand, excessive waiting time and policy advocacy in support of early intervention and psychosocial care. Nonetheless, the review also demonstrates that there can be no intervention that should be regarded as universal. This is because their success is determined by their ability to fit the needs of teenagers, the way they are administered and whether they are incorporated into broader systems of support within schools, CAMHS and community services.</w:t>
      </w:r>
    </w:p>
    <w:p w:rsidR="004F7263" w:rsidRDefault="3B6C3093"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 xml:space="preserve">As a practice, the UK health and social care professionals are to be encouraged to extend access to and growth of accessible, developmentally appropriate and responsive to lived experiences of the young adult adolescent non-pharmacological pathways. Not only needs to be available, but also inviting, accommodating and connected with supportive relationships with professional workers, family and school environments. Regarding policy, commissioners and service planners must not become overly dependent on using universal or digital interventions as cheap solutions without paying attention to the quality of implementation, protection, equity and long-term efficacy. Policy decisions must </w:t>
      </w:r>
      <w:r w:rsidRPr="1F9AEEA0">
        <w:rPr>
          <w:rFonts w:ascii="Arial" w:eastAsia="Arial" w:hAnsi="Arial" w:cs="Arial"/>
          <w:sz w:val="22"/>
          <w:szCs w:val="22"/>
        </w:rPr>
        <w:lastRenderedPageBreak/>
        <w:t>acknowledge that there is no guarantee that accessibility will result in any meaningful consequences.</w:t>
      </w:r>
    </w:p>
    <w:p w:rsidR="004F7263" w:rsidRDefault="3B6C3093" w:rsidP="1F9AEEA0">
      <w:pPr>
        <w:spacing w:before="240" w:after="240" w:line="360" w:lineRule="auto"/>
        <w:ind w:firstLine="720"/>
        <w:jc w:val="both"/>
        <w:rPr>
          <w:rFonts w:ascii="Arial" w:eastAsia="Arial" w:hAnsi="Arial" w:cs="Arial"/>
          <w:sz w:val="22"/>
          <w:szCs w:val="22"/>
        </w:rPr>
      </w:pPr>
      <w:r w:rsidRPr="1F9AEEA0">
        <w:rPr>
          <w:rFonts w:ascii="Arial" w:eastAsia="Arial" w:hAnsi="Arial" w:cs="Arial"/>
          <w:sz w:val="22"/>
          <w:szCs w:val="22"/>
        </w:rPr>
        <w:t>In future studies, there is a definite necessity of additional long-term studies of the UK that could evaluate the long-term results of various types of interventions. More direct comparison of targeted and universal should also be done in future studies and a broader population of adolescents should be covered such as those who are victims of socioeconomic disadvantage, bullies, neurodiversity and cultural marginalisation. Further enhancing this evidence base will serve to assure that non-pharmacological interventions are innovative, acceptable as well as effective, equitable and relevant to reality in adolescent mental health practice.</w:t>
      </w:r>
    </w:p>
    <w:p w:rsidR="004F7263" w:rsidRDefault="004F7263" w:rsidP="1F9AEEA0">
      <w:pPr>
        <w:spacing w:before="240" w:after="240" w:line="360" w:lineRule="auto"/>
        <w:jc w:val="both"/>
        <w:rPr>
          <w:rFonts w:ascii="Arial" w:eastAsia="Arial" w:hAnsi="Arial" w:cs="Arial"/>
          <w:sz w:val="22"/>
          <w:szCs w:val="22"/>
        </w:rPr>
      </w:pPr>
    </w:p>
    <w:p w:rsidR="1F9AEEA0" w:rsidRDefault="1F9AEEA0">
      <w:r>
        <w:br w:type="page"/>
      </w:r>
    </w:p>
    <w:p w:rsidR="202A1F30" w:rsidRDefault="202A1F30" w:rsidP="1F9AEEA0">
      <w:pPr>
        <w:pStyle w:val="Heading1"/>
        <w:spacing w:before="0" w:after="360" w:line="360" w:lineRule="auto"/>
        <w:rPr>
          <w:rFonts w:ascii="Times New Roman" w:eastAsia="Times New Roman" w:hAnsi="Times New Roman" w:cs="Times New Roman"/>
          <w:b/>
          <w:bCs/>
          <w:sz w:val="36"/>
          <w:szCs w:val="36"/>
        </w:rPr>
      </w:pPr>
      <w:bookmarkStart w:id="14" w:name="_Toc1397886043"/>
      <w:r w:rsidRPr="1F9AEEA0">
        <w:rPr>
          <w:rFonts w:ascii="Times New Roman" w:eastAsia="Times New Roman" w:hAnsi="Times New Roman" w:cs="Times New Roman"/>
          <w:b/>
          <w:bCs/>
          <w:sz w:val="36"/>
          <w:szCs w:val="36"/>
        </w:rPr>
        <w:lastRenderedPageBreak/>
        <w:t>Reference list</w:t>
      </w:r>
      <w:bookmarkEnd w:id="14"/>
    </w:p>
    <w:p w:rsidR="202A1F30" w:rsidRDefault="202A1F30" w:rsidP="1F9AEEA0">
      <w:pPr>
        <w:spacing w:before="240" w:after="240"/>
      </w:pPr>
      <w:r w:rsidRPr="1F9AEEA0">
        <w:rPr>
          <w:rFonts w:ascii="Arial" w:eastAsia="Arial" w:hAnsi="Arial" w:cs="Arial"/>
          <w:sz w:val="22"/>
          <w:szCs w:val="22"/>
        </w:rPr>
        <w:t xml:space="preserve">Arksey, H. and O’Malley, L. (2005) ‘Scoping studies: towards a methodological framework’, </w:t>
      </w:r>
      <w:r w:rsidRPr="1F9AEEA0">
        <w:rPr>
          <w:rFonts w:ascii="Arial" w:eastAsia="Arial" w:hAnsi="Arial" w:cs="Arial"/>
          <w:i/>
          <w:iCs/>
          <w:sz w:val="22"/>
          <w:szCs w:val="22"/>
        </w:rPr>
        <w:t>International Journal of Social Research Methodology</w:t>
      </w:r>
      <w:r w:rsidRPr="1F9AEEA0">
        <w:rPr>
          <w:rFonts w:ascii="Arial" w:eastAsia="Arial" w:hAnsi="Arial" w:cs="Arial"/>
          <w:sz w:val="22"/>
          <w:szCs w:val="22"/>
        </w:rPr>
        <w:t>, 8(1), pp. 19–32.</w:t>
      </w:r>
    </w:p>
    <w:p w:rsidR="202A1F30" w:rsidRDefault="202A1F30" w:rsidP="1F9AEEA0">
      <w:pPr>
        <w:spacing w:before="240" w:after="240"/>
      </w:pPr>
      <w:r w:rsidRPr="1F9AEEA0">
        <w:rPr>
          <w:rFonts w:ascii="Arial" w:eastAsia="Arial" w:hAnsi="Arial" w:cs="Arial"/>
          <w:sz w:val="22"/>
          <w:szCs w:val="22"/>
        </w:rPr>
        <w:t xml:space="preserve">Aveyard, H. (2014) </w:t>
      </w:r>
      <w:r w:rsidRPr="1F9AEEA0">
        <w:rPr>
          <w:rFonts w:ascii="Arial" w:eastAsia="Arial" w:hAnsi="Arial" w:cs="Arial"/>
          <w:i/>
          <w:iCs/>
          <w:sz w:val="22"/>
          <w:szCs w:val="22"/>
        </w:rPr>
        <w:t>Doing a literature review in health and social care: a practical guide</w:t>
      </w:r>
      <w:r w:rsidRPr="1F9AEEA0">
        <w:rPr>
          <w:rFonts w:ascii="Arial" w:eastAsia="Arial" w:hAnsi="Arial" w:cs="Arial"/>
          <w:sz w:val="22"/>
          <w:szCs w:val="22"/>
        </w:rPr>
        <w:t>. 3rd edn. Maidenhead: Open University Press.</w:t>
      </w:r>
    </w:p>
    <w:p w:rsidR="202A1F30" w:rsidRDefault="202A1F30" w:rsidP="1F9AEEA0">
      <w:pPr>
        <w:spacing w:before="240" w:after="240"/>
      </w:pPr>
      <w:r w:rsidRPr="1F9AEEA0">
        <w:rPr>
          <w:rFonts w:ascii="Arial" w:eastAsia="Arial" w:hAnsi="Arial" w:cs="Arial"/>
          <w:sz w:val="22"/>
          <w:szCs w:val="22"/>
        </w:rPr>
        <w:t xml:space="preserve">Cooper, M., Stafford, M.R., Deighton, J., Wolpert, M., Pearce, P., Patel, V., Stein, K., Jones, R., Fielding, A., Cromarty, K. and Huntley, C. et al. (2021) ‘Humanistic counselling plus pastoral care as usual versus pastoral care as usual for the treatment of psychological distress in adolescents in UK state schools (ETHOS): a randomised controlled trial’, </w:t>
      </w:r>
      <w:r w:rsidRPr="1F9AEEA0">
        <w:rPr>
          <w:rFonts w:ascii="Arial" w:eastAsia="Arial" w:hAnsi="Arial" w:cs="Arial"/>
          <w:i/>
          <w:iCs/>
          <w:sz w:val="22"/>
          <w:szCs w:val="22"/>
        </w:rPr>
        <w:t>The Lancet Child &amp; Adolescent Health</w:t>
      </w:r>
      <w:r w:rsidRPr="1F9AEEA0">
        <w:rPr>
          <w:rFonts w:ascii="Arial" w:eastAsia="Arial" w:hAnsi="Arial" w:cs="Arial"/>
          <w:sz w:val="22"/>
          <w:szCs w:val="22"/>
        </w:rPr>
        <w:t>, 5(3), pp. 178–189.</w:t>
      </w:r>
    </w:p>
    <w:p w:rsidR="202A1F30" w:rsidRDefault="202A1F30" w:rsidP="1F9AEEA0">
      <w:pPr>
        <w:spacing w:before="240" w:after="240"/>
      </w:pPr>
      <w:r w:rsidRPr="1F9AEEA0">
        <w:rPr>
          <w:rFonts w:ascii="Arial" w:eastAsia="Arial" w:hAnsi="Arial" w:cs="Arial"/>
          <w:sz w:val="22"/>
          <w:szCs w:val="22"/>
        </w:rPr>
        <w:t xml:space="preserve">Jones, R.B., Thapar, A., Stone, Z., Thapar, A.K., Jones, I., Smith, D., Simpson, S.A., Merry, S., Stallard, P., Rice, F. and Williams, J. (2020) ‘A digital intervention for adolescent depression (MoodHwb): mixed methods feasibility evaluation’, </w:t>
      </w:r>
      <w:r w:rsidRPr="1F9AEEA0">
        <w:rPr>
          <w:rFonts w:ascii="Arial" w:eastAsia="Arial" w:hAnsi="Arial" w:cs="Arial"/>
          <w:i/>
          <w:iCs/>
          <w:sz w:val="22"/>
          <w:szCs w:val="22"/>
        </w:rPr>
        <w:t>JMIR Mental Health</w:t>
      </w:r>
      <w:r w:rsidRPr="1F9AEEA0">
        <w:rPr>
          <w:rFonts w:ascii="Arial" w:eastAsia="Arial" w:hAnsi="Arial" w:cs="Arial"/>
          <w:sz w:val="22"/>
          <w:szCs w:val="22"/>
        </w:rPr>
        <w:t>, 7(7), e14536.</w:t>
      </w:r>
    </w:p>
    <w:p w:rsidR="202A1F30" w:rsidRDefault="202A1F30" w:rsidP="1F9AEEA0">
      <w:pPr>
        <w:spacing w:before="240" w:after="240"/>
      </w:pPr>
      <w:r w:rsidRPr="1F9AEEA0">
        <w:rPr>
          <w:rFonts w:ascii="Arial" w:eastAsia="Arial" w:hAnsi="Arial" w:cs="Arial"/>
          <w:sz w:val="22"/>
          <w:szCs w:val="22"/>
        </w:rPr>
        <w:t xml:space="preserve">Kuyken, W., Ball, S., Crane, C., Ganguli, P., Jones, B., Montero-Marin, J., Nuthall, E., Raja, A., Taylor, L., Tudor, K. and Viner, R.M. et al. (2022) ‘Effectiveness and cost-effectiveness of universal school-based mindfulness training compared with normal school provision in reducing risk of mental health problems and promoting well-being in adolescence: the MYRIAD cluster randomised controlled trial’, </w:t>
      </w:r>
      <w:r w:rsidRPr="1F9AEEA0">
        <w:rPr>
          <w:rFonts w:ascii="Arial" w:eastAsia="Arial" w:hAnsi="Arial" w:cs="Arial"/>
          <w:i/>
          <w:iCs/>
          <w:sz w:val="22"/>
          <w:szCs w:val="22"/>
        </w:rPr>
        <w:t>Evidence-Based Mental Health</w:t>
      </w:r>
      <w:r w:rsidRPr="1F9AEEA0">
        <w:rPr>
          <w:rFonts w:ascii="Arial" w:eastAsia="Arial" w:hAnsi="Arial" w:cs="Arial"/>
          <w:sz w:val="22"/>
          <w:szCs w:val="22"/>
        </w:rPr>
        <w:t>, 25(3), pp. 99–109.</w:t>
      </w:r>
    </w:p>
    <w:p w:rsidR="202A1F30" w:rsidRDefault="202A1F30" w:rsidP="1F9AEEA0">
      <w:pPr>
        <w:spacing w:before="240" w:after="240"/>
      </w:pPr>
      <w:r w:rsidRPr="1F9AEEA0">
        <w:rPr>
          <w:rFonts w:ascii="Arial" w:eastAsia="Arial" w:hAnsi="Arial" w:cs="Arial"/>
          <w:sz w:val="22"/>
          <w:szCs w:val="22"/>
        </w:rPr>
        <w:t xml:space="preserve">NHS England Digital (2023) </w:t>
      </w:r>
      <w:r w:rsidRPr="1F9AEEA0">
        <w:rPr>
          <w:rFonts w:ascii="Arial" w:eastAsia="Arial" w:hAnsi="Arial" w:cs="Arial"/>
          <w:i/>
          <w:iCs/>
          <w:sz w:val="22"/>
          <w:szCs w:val="22"/>
        </w:rPr>
        <w:t>Mental health of children and young people in England, 2023 - wave 4 follow up to the 2017 survey</w:t>
      </w:r>
      <w:r w:rsidRPr="1F9AEEA0">
        <w:rPr>
          <w:rFonts w:ascii="Arial" w:eastAsia="Arial" w:hAnsi="Arial" w:cs="Arial"/>
          <w:sz w:val="22"/>
          <w:szCs w:val="22"/>
        </w:rPr>
        <w:t xml:space="preserve">. Available at: </w:t>
      </w:r>
      <w:hyperlink r:id="rId7">
        <w:r w:rsidRPr="1F9AEEA0">
          <w:rPr>
            <w:rStyle w:val="Hyperlink"/>
            <w:rFonts w:ascii="Arial" w:eastAsia="Arial" w:hAnsi="Arial" w:cs="Arial"/>
            <w:sz w:val="22"/>
            <w:szCs w:val="22"/>
          </w:rPr>
          <w:t>https://digital.nhs.uk/data-and-information/publications/statistical/mental-health-of-children-and-young-people-in-england/2023-wave-4-follow-up</w:t>
        </w:r>
      </w:hyperlink>
      <w:r w:rsidRPr="1F9AEEA0">
        <w:rPr>
          <w:rFonts w:ascii="Arial" w:eastAsia="Arial" w:hAnsi="Arial" w:cs="Arial"/>
          <w:sz w:val="22"/>
          <w:szCs w:val="22"/>
        </w:rPr>
        <w:t xml:space="preserve"> (Accessed: 12 March 2026).</w:t>
      </w:r>
    </w:p>
    <w:p w:rsidR="202A1F30" w:rsidRDefault="202A1F30" w:rsidP="1F9AEEA0">
      <w:pPr>
        <w:spacing w:before="240" w:after="240"/>
      </w:pPr>
      <w:r w:rsidRPr="1F9AEEA0">
        <w:rPr>
          <w:rFonts w:ascii="Arial" w:eastAsia="Arial" w:hAnsi="Arial" w:cs="Arial"/>
          <w:sz w:val="22"/>
          <w:szCs w:val="22"/>
        </w:rPr>
        <w:t xml:space="preserve">National Institute for Health and Care Excellence (NICE) (2019) </w:t>
      </w:r>
      <w:r w:rsidRPr="1F9AEEA0">
        <w:rPr>
          <w:rFonts w:ascii="Arial" w:eastAsia="Arial" w:hAnsi="Arial" w:cs="Arial"/>
          <w:i/>
          <w:iCs/>
          <w:sz w:val="22"/>
          <w:szCs w:val="22"/>
        </w:rPr>
        <w:t>Depression in children and young people: identification and management (NG134)</w:t>
      </w:r>
      <w:r w:rsidRPr="1F9AEEA0">
        <w:rPr>
          <w:rFonts w:ascii="Arial" w:eastAsia="Arial" w:hAnsi="Arial" w:cs="Arial"/>
          <w:sz w:val="22"/>
          <w:szCs w:val="22"/>
        </w:rPr>
        <w:t xml:space="preserve">. London: NICE. Available at: </w:t>
      </w:r>
      <w:hyperlink r:id="rId8">
        <w:r w:rsidRPr="1F9AEEA0">
          <w:rPr>
            <w:rStyle w:val="Hyperlink"/>
            <w:rFonts w:ascii="Arial" w:eastAsia="Arial" w:hAnsi="Arial" w:cs="Arial"/>
            <w:sz w:val="22"/>
            <w:szCs w:val="22"/>
          </w:rPr>
          <w:t>https://www.nice.org.uk/guidance/ng134</w:t>
        </w:r>
      </w:hyperlink>
      <w:r w:rsidRPr="1F9AEEA0">
        <w:rPr>
          <w:rFonts w:ascii="Arial" w:eastAsia="Arial" w:hAnsi="Arial" w:cs="Arial"/>
          <w:sz w:val="22"/>
          <w:szCs w:val="22"/>
        </w:rPr>
        <w:t xml:space="preserve"> (Accessed: 12 March 2026).</w:t>
      </w:r>
    </w:p>
    <w:p w:rsidR="202A1F30" w:rsidRDefault="202A1F30" w:rsidP="1F9AEEA0">
      <w:pPr>
        <w:spacing w:before="240" w:after="240"/>
      </w:pPr>
      <w:r w:rsidRPr="1F9AEEA0">
        <w:rPr>
          <w:rFonts w:ascii="Arial" w:eastAsia="Arial" w:hAnsi="Arial" w:cs="Arial"/>
          <w:sz w:val="22"/>
          <w:szCs w:val="22"/>
        </w:rPr>
        <w:t xml:space="preserve">Parkin, E. (2024) </w:t>
      </w:r>
      <w:r w:rsidRPr="1F9AEEA0">
        <w:rPr>
          <w:rFonts w:ascii="Arial" w:eastAsia="Arial" w:hAnsi="Arial" w:cs="Arial"/>
          <w:i/>
          <w:iCs/>
          <w:sz w:val="22"/>
          <w:szCs w:val="22"/>
        </w:rPr>
        <w:t>Mental health policy and services in England</w:t>
      </w:r>
      <w:r w:rsidRPr="1F9AEEA0">
        <w:rPr>
          <w:rFonts w:ascii="Arial" w:eastAsia="Arial" w:hAnsi="Arial" w:cs="Arial"/>
          <w:sz w:val="22"/>
          <w:szCs w:val="22"/>
        </w:rPr>
        <w:t xml:space="preserve">. House of Commons Library Research Briefing CBP-7547. London: House of Commons Library. Available at: </w:t>
      </w:r>
      <w:hyperlink r:id="rId9">
        <w:r w:rsidRPr="1F9AEEA0">
          <w:rPr>
            <w:rStyle w:val="Hyperlink"/>
            <w:rFonts w:ascii="Arial" w:eastAsia="Arial" w:hAnsi="Arial" w:cs="Arial"/>
            <w:sz w:val="22"/>
            <w:szCs w:val="22"/>
          </w:rPr>
          <w:t>https://commonslibrary.parliament.uk/research-briefings/cbp-7547/</w:t>
        </w:r>
      </w:hyperlink>
      <w:r w:rsidRPr="1F9AEEA0">
        <w:rPr>
          <w:rFonts w:ascii="Arial" w:eastAsia="Arial" w:hAnsi="Arial" w:cs="Arial"/>
          <w:sz w:val="22"/>
          <w:szCs w:val="22"/>
        </w:rPr>
        <w:t xml:space="preserve"> (Accessed: 12 March 2026).</w:t>
      </w:r>
    </w:p>
    <w:p w:rsidR="202A1F30" w:rsidRDefault="202A1F30" w:rsidP="1F9AEEA0">
      <w:pPr>
        <w:spacing w:before="240" w:after="240"/>
      </w:pPr>
      <w:r w:rsidRPr="1F9AEEA0">
        <w:rPr>
          <w:rFonts w:ascii="Arial" w:eastAsia="Arial" w:hAnsi="Arial" w:cs="Arial"/>
          <w:sz w:val="22"/>
          <w:szCs w:val="22"/>
        </w:rPr>
        <w:t xml:space="preserve">Porter, S., McConnell, T., McLaughlin, K., Lynn, F., Cardwell, C., Braiden, H.J., Boylan, J. and Holmes, V. (2017) ‘Music therapy for children and adolescents with behavioural and emotional problems: a randomised controlled trial’, </w:t>
      </w:r>
      <w:r w:rsidRPr="1F9AEEA0">
        <w:rPr>
          <w:rFonts w:ascii="Arial" w:eastAsia="Arial" w:hAnsi="Arial" w:cs="Arial"/>
          <w:i/>
          <w:iCs/>
          <w:sz w:val="22"/>
          <w:szCs w:val="22"/>
        </w:rPr>
        <w:t>Journal of Child Psychology and Psychiatry</w:t>
      </w:r>
      <w:r w:rsidRPr="1F9AEEA0">
        <w:rPr>
          <w:rFonts w:ascii="Arial" w:eastAsia="Arial" w:hAnsi="Arial" w:cs="Arial"/>
          <w:sz w:val="22"/>
          <w:szCs w:val="22"/>
        </w:rPr>
        <w:t>, 58(5), pp. 586–594.</w:t>
      </w:r>
    </w:p>
    <w:p w:rsidR="202A1F30" w:rsidRDefault="202A1F30" w:rsidP="1F9AEEA0">
      <w:pPr>
        <w:spacing w:before="240" w:after="240"/>
      </w:pPr>
      <w:r w:rsidRPr="1F9AEEA0">
        <w:rPr>
          <w:rFonts w:ascii="Arial" w:eastAsia="Arial" w:hAnsi="Arial" w:cs="Arial"/>
          <w:sz w:val="22"/>
          <w:szCs w:val="22"/>
        </w:rPr>
        <w:t xml:space="preserve">Stallard, P., Porter, J. and Grist, R. (2018) ‘A smartphone app (BlueIce) for young people who self-harm: open phase 1 pre-post trial’, </w:t>
      </w:r>
      <w:r w:rsidRPr="1F9AEEA0">
        <w:rPr>
          <w:rFonts w:ascii="Arial" w:eastAsia="Arial" w:hAnsi="Arial" w:cs="Arial"/>
          <w:i/>
          <w:iCs/>
          <w:sz w:val="22"/>
          <w:szCs w:val="22"/>
        </w:rPr>
        <w:t>JMIR mHealth and uHealth</w:t>
      </w:r>
      <w:r w:rsidRPr="1F9AEEA0">
        <w:rPr>
          <w:rFonts w:ascii="Arial" w:eastAsia="Arial" w:hAnsi="Arial" w:cs="Arial"/>
          <w:sz w:val="22"/>
          <w:szCs w:val="22"/>
        </w:rPr>
        <w:t>, 6(1), e32.</w:t>
      </w:r>
    </w:p>
    <w:p w:rsidR="202A1F30" w:rsidRDefault="202A1F30" w:rsidP="1F9AEEA0">
      <w:pPr>
        <w:spacing w:before="240" w:after="240"/>
      </w:pPr>
      <w:r w:rsidRPr="1F9AEEA0">
        <w:rPr>
          <w:rFonts w:ascii="Arial" w:eastAsia="Arial" w:hAnsi="Arial" w:cs="Arial"/>
          <w:sz w:val="22"/>
          <w:szCs w:val="22"/>
        </w:rPr>
        <w:lastRenderedPageBreak/>
        <w:t xml:space="preserve">Stallard, P., Sayal, K., Phillips, R., Taylor, J.A., Spears, M., Anderson, R., Morrish, N., Greenhalgh, I., Osman, M., Townsend, E. and Sanderson, E. et al. (2024) ‘Clinical effectiveness and safety of adding a self-harm prevention app (BlueIce) to specialist mental health care for adolescents who repeatedly self-harm: a single blind randomised controlled trial’, </w:t>
      </w:r>
      <w:r w:rsidRPr="1F9AEEA0">
        <w:rPr>
          <w:rFonts w:ascii="Arial" w:eastAsia="Arial" w:hAnsi="Arial" w:cs="Arial"/>
          <w:i/>
          <w:iCs/>
          <w:sz w:val="22"/>
          <w:szCs w:val="22"/>
        </w:rPr>
        <w:t>Psychiatry Research</w:t>
      </w:r>
      <w:r w:rsidRPr="1F9AEEA0">
        <w:rPr>
          <w:rFonts w:ascii="Arial" w:eastAsia="Arial" w:hAnsi="Arial" w:cs="Arial"/>
          <w:sz w:val="22"/>
          <w:szCs w:val="22"/>
        </w:rPr>
        <w:t>, 339, 116017.</w:t>
      </w:r>
    </w:p>
    <w:p w:rsidR="202A1F30" w:rsidRDefault="202A1F30" w:rsidP="1F9AEEA0">
      <w:pPr>
        <w:spacing w:before="240" w:after="240"/>
      </w:pPr>
      <w:r w:rsidRPr="1F9AEEA0">
        <w:rPr>
          <w:rFonts w:ascii="Arial" w:eastAsia="Arial" w:hAnsi="Arial" w:cs="Arial"/>
          <w:sz w:val="22"/>
          <w:szCs w:val="22"/>
        </w:rPr>
        <w:t xml:space="preserve">World Health Organization (2025) </w:t>
      </w:r>
      <w:r w:rsidRPr="1F9AEEA0">
        <w:rPr>
          <w:rFonts w:ascii="Arial" w:eastAsia="Arial" w:hAnsi="Arial" w:cs="Arial"/>
          <w:i/>
          <w:iCs/>
          <w:sz w:val="22"/>
          <w:szCs w:val="22"/>
        </w:rPr>
        <w:t>Mental health of adolescents</w:t>
      </w:r>
      <w:r w:rsidRPr="1F9AEEA0">
        <w:rPr>
          <w:rFonts w:ascii="Arial" w:eastAsia="Arial" w:hAnsi="Arial" w:cs="Arial"/>
          <w:sz w:val="22"/>
          <w:szCs w:val="22"/>
        </w:rPr>
        <w:t xml:space="preserve">. Available at: </w:t>
      </w:r>
      <w:hyperlink r:id="rId10">
        <w:r w:rsidRPr="1F9AEEA0">
          <w:rPr>
            <w:rStyle w:val="Hyperlink"/>
            <w:rFonts w:ascii="Arial" w:eastAsia="Arial" w:hAnsi="Arial" w:cs="Arial"/>
            <w:sz w:val="22"/>
            <w:szCs w:val="22"/>
          </w:rPr>
          <w:t>https://www.who.int/news-room/fact-sheets/detail/adolescent-mental-health</w:t>
        </w:r>
      </w:hyperlink>
      <w:r w:rsidRPr="1F9AEEA0">
        <w:rPr>
          <w:rFonts w:ascii="Arial" w:eastAsia="Arial" w:hAnsi="Arial" w:cs="Arial"/>
          <w:sz w:val="22"/>
          <w:szCs w:val="22"/>
        </w:rPr>
        <w:t xml:space="preserve"> (Accessed: 12 March 2026).</w:t>
      </w:r>
    </w:p>
    <w:p w:rsidR="1F9AEEA0" w:rsidRDefault="1F9AEEA0" w:rsidP="1F9AEEA0">
      <w:pPr>
        <w:spacing w:before="240" w:after="240" w:line="360" w:lineRule="auto"/>
        <w:rPr>
          <w:rFonts w:ascii="Arial" w:eastAsia="Arial" w:hAnsi="Arial" w:cs="Arial"/>
          <w:sz w:val="22"/>
          <w:szCs w:val="22"/>
        </w:rPr>
      </w:pPr>
    </w:p>
    <w:sectPr w:rsidR="1F9AEEA0" w:rsidSect="004F7263">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177C" w:rsidRDefault="001D177C" w:rsidP="004F7263">
      <w:pPr>
        <w:spacing w:after="0" w:line="240" w:lineRule="auto"/>
      </w:pPr>
      <w:r>
        <w:separator/>
      </w:r>
    </w:p>
  </w:endnote>
  <w:endnote w:type="continuationSeparator" w:id="1">
    <w:p w:rsidR="001D177C" w:rsidRDefault="001D177C" w:rsidP="004F72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6A0"/>
    </w:tblPr>
    <w:tblGrid>
      <w:gridCol w:w="3005"/>
      <w:gridCol w:w="3005"/>
      <w:gridCol w:w="3005"/>
    </w:tblGrid>
    <w:tr w:rsidR="1F9AEEA0" w:rsidTr="1F9AEEA0">
      <w:trPr>
        <w:trHeight w:val="300"/>
      </w:trPr>
      <w:tc>
        <w:tcPr>
          <w:tcW w:w="3005" w:type="dxa"/>
        </w:tcPr>
        <w:p w:rsidR="1F9AEEA0" w:rsidRDefault="1F9AEEA0" w:rsidP="1F9AEEA0">
          <w:pPr>
            <w:pStyle w:val="Header"/>
            <w:ind w:left="-115"/>
          </w:pPr>
        </w:p>
      </w:tc>
      <w:tc>
        <w:tcPr>
          <w:tcW w:w="3005" w:type="dxa"/>
        </w:tcPr>
        <w:p w:rsidR="1F9AEEA0" w:rsidRDefault="1F9AEEA0" w:rsidP="1F9AEEA0">
          <w:pPr>
            <w:pStyle w:val="Header"/>
            <w:jc w:val="center"/>
          </w:pPr>
        </w:p>
      </w:tc>
      <w:tc>
        <w:tcPr>
          <w:tcW w:w="3005" w:type="dxa"/>
        </w:tcPr>
        <w:p w:rsidR="1F9AEEA0" w:rsidRDefault="1F9AEEA0" w:rsidP="1F9AEEA0">
          <w:pPr>
            <w:pStyle w:val="Header"/>
            <w:ind w:right="-115"/>
            <w:jc w:val="right"/>
          </w:pPr>
        </w:p>
      </w:tc>
    </w:tr>
  </w:tbl>
  <w:p w:rsidR="1F9AEEA0" w:rsidRDefault="1F9AEEA0" w:rsidP="1F9AEEA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177C" w:rsidRDefault="001D177C" w:rsidP="004F7263">
      <w:pPr>
        <w:spacing w:after="0" w:line="240" w:lineRule="auto"/>
      </w:pPr>
      <w:r>
        <w:separator/>
      </w:r>
    </w:p>
  </w:footnote>
  <w:footnote w:type="continuationSeparator" w:id="1">
    <w:p w:rsidR="001D177C" w:rsidRDefault="001D177C" w:rsidP="004F726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bidiVisual/>
      <w:tblW w:w="0" w:type="auto"/>
      <w:tblLook w:val="06A0"/>
    </w:tblPr>
    <w:tblGrid>
      <w:gridCol w:w="3005"/>
      <w:gridCol w:w="3005"/>
      <w:gridCol w:w="3005"/>
    </w:tblGrid>
    <w:tr w:rsidR="1F9AEEA0" w:rsidTr="1F9AEEA0">
      <w:trPr>
        <w:trHeight w:val="300"/>
      </w:trPr>
      <w:tc>
        <w:tcPr>
          <w:tcW w:w="3005" w:type="dxa"/>
        </w:tcPr>
        <w:p w:rsidR="1F9AEEA0" w:rsidRDefault="1F9AEEA0" w:rsidP="1F9AEEA0">
          <w:pPr>
            <w:pStyle w:val="Header"/>
            <w:ind w:left="-115"/>
          </w:pPr>
        </w:p>
      </w:tc>
      <w:tc>
        <w:tcPr>
          <w:tcW w:w="3005" w:type="dxa"/>
        </w:tcPr>
        <w:p w:rsidR="1F9AEEA0" w:rsidRDefault="1F9AEEA0" w:rsidP="1F9AEEA0">
          <w:pPr>
            <w:pStyle w:val="Header"/>
            <w:jc w:val="center"/>
          </w:pPr>
        </w:p>
      </w:tc>
      <w:tc>
        <w:tcPr>
          <w:tcW w:w="3005" w:type="dxa"/>
        </w:tcPr>
        <w:p w:rsidR="1F9AEEA0" w:rsidRDefault="004F7263" w:rsidP="1F9AEEA0">
          <w:pPr>
            <w:pStyle w:val="Header"/>
            <w:ind w:right="-115"/>
            <w:jc w:val="right"/>
          </w:pPr>
          <w:r>
            <w:fldChar w:fldCharType="begin"/>
          </w:r>
          <w:r w:rsidR="1F9AEEA0">
            <w:instrText>PAGE</w:instrText>
          </w:r>
          <w:r w:rsidR="00ED7942">
            <w:fldChar w:fldCharType="separate"/>
          </w:r>
          <w:r w:rsidR="00ED7942">
            <w:rPr>
              <w:noProof/>
            </w:rPr>
            <w:t>1</w:t>
          </w:r>
          <w:r>
            <w:fldChar w:fldCharType="end"/>
          </w:r>
        </w:p>
      </w:tc>
    </w:tr>
  </w:tbl>
  <w:p w:rsidR="1F9AEEA0" w:rsidRDefault="1F9AEEA0" w:rsidP="1F9AEEA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52EAE5"/>
    <w:multiLevelType w:val="hybridMultilevel"/>
    <w:tmpl w:val="468A8BD4"/>
    <w:lvl w:ilvl="0" w:tplc="C74AFEBA">
      <w:start w:val="1"/>
      <w:numFmt w:val="bullet"/>
      <w:lvlText w:val=""/>
      <w:lvlJc w:val="left"/>
      <w:pPr>
        <w:ind w:left="720" w:hanging="360"/>
      </w:pPr>
      <w:rPr>
        <w:rFonts w:ascii="Symbol" w:hAnsi="Symbol" w:hint="default"/>
      </w:rPr>
    </w:lvl>
    <w:lvl w:ilvl="1" w:tplc="ABD2401C">
      <w:start w:val="1"/>
      <w:numFmt w:val="bullet"/>
      <w:lvlText w:val="o"/>
      <w:lvlJc w:val="left"/>
      <w:pPr>
        <w:ind w:left="1440" w:hanging="360"/>
      </w:pPr>
      <w:rPr>
        <w:rFonts w:ascii="Courier New" w:hAnsi="Courier New" w:hint="default"/>
      </w:rPr>
    </w:lvl>
    <w:lvl w:ilvl="2" w:tplc="EEF016F8">
      <w:start w:val="1"/>
      <w:numFmt w:val="bullet"/>
      <w:lvlText w:val=""/>
      <w:lvlJc w:val="left"/>
      <w:pPr>
        <w:ind w:left="2160" w:hanging="360"/>
      </w:pPr>
      <w:rPr>
        <w:rFonts w:ascii="Wingdings" w:hAnsi="Wingdings" w:hint="default"/>
      </w:rPr>
    </w:lvl>
    <w:lvl w:ilvl="3" w:tplc="AB845B46">
      <w:start w:val="1"/>
      <w:numFmt w:val="bullet"/>
      <w:lvlText w:val=""/>
      <w:lvlJc w:val="left"/>
      <w:pPr>
        <w:ind w:left="2880" w:hanging="360"/>
      </w:pPr>
      <w:rPr>
        <w:rFonts w:ascii="Symbol" w:hAnsi="Symbol" w:hint="default"/>
      </w:rPr>
    </w:lvl>
    <w:lvl w:ilvl="4" w:tplc="254E7920">
      <w:start w:val="1"/>
      <w:numFmt w:val="bullet"/>
      <w:lvlText w:val="o"/>
      <w:lvlJc w:val="left"/>
      <w:pPr>
        <w:ind w:left="3600" w:hanging="360"/>
      </w:pPr>
      <w:rPr>
        <w:rFonts w:ascii="Courier New" w:hAnsi="Courier New" w:hint="default"/>
      </w:rPr>
    </w:lvl>
    <w:lvl w:ilvl="5" w:tplc="4AD2D1EC">
      <w:start w:val="1"/>
      <w:numFmt w:val="bullet"/>
      <w:lvlText w:val=""/>
      <w:lvlJc w:val="left"/>
      <w:pPr>
        <w:ind w:left="4320" w:hanging="360"/>
      </w:pPr>
      <w:rPr>
        <w:rFonts w:ascii="Wingdings" w:hAnsi="Wingdings" w:hint="default"/>
      </w:rPr>
    </w:lvl>
    <w:lvl w:ilvl="6" w:tplc="E2A687C4">
      <w:start w:val="1"/>
      <w:numFmt w:val="bullet"/>
      <w:lvlText w:val=""/>
      <w:lvlJc w:val="left"/>
      <w:pPr>
        <w:ind w:left="5040" w:hanging="360"/>
      </w:pPr>
      <w:rPr>
        <w:rFonts w:ascii="Symbol" w:hAnsi="Symbol" w:hint="default"/>
      </w:rPr>
    </w:lvl>
    <w:lvl w:ilvl="7" w:tplc="D4F2EF22">
      <w:start w:val="1"/>
      <w:numFmt w:val="bullet"/>
      <w:lvlText w:val="o"/>
      <w:lvlJc w:val="left"/>
      <w:pPr>
        <w:ind w:left="5760" w:hanging="360"/>
      </w:pPr>
      <w:rPr>
        <w:rFonts w:ascii="Courier New" w:hAnsi="Courier New" w:hint="default"/>
      </w:rPr>
    </w:lvl>
    <w:lvl w:ilvl="8" w:tplc="8614462E">
      <w:start w:val="1"/>
      <w:numFmt w:val="bullet"/>
      <w:lvlText w:val=""/>
      <w:lvlJc w:val="left"/>
      <w:pPr>
        <w:ind w:left="6480" w:hanging="360"/>
      </w:pPr>
      <w:rPr>
        <w:rFonts w:ascii="Wingdings" w:hAnsi="Wingdings" w:hint="default"/>
      </w:rPr>
    </w:lvl>
  </w:abstractNum>
  <w:abstractNum w:abstractNumId="1">
    <w:nsid w:val="448AF6C1"/>
    <w:multiLevelType w:val="hybridMultilevel"/>
    <w:tmpl w:val="A1688F84"/>
    <w:lvl w:ilvl="0" w:tplc="617C707A">
      <w:start w:val="1"/>
      <w:numFmt w:val="bullet"/>
      <w:lvlText w:val=""/>
      <w:lvlJc w:val="left"/>
      <w:pPr>
        <w:ind w:left="720" w:hanging="360"/>
      </w:pPr>
      <w:rPr>
        <w:rFonts w:ascii="Symbol" w:hAnsi="Symbol" w:hint="default"/>
      </w:rPr>
    </w:lvl>
    <w:lvl w:ilvl="1" w:tplc="8238FD96">
      <w:start w:val="1"/>
      <w:numFmt w:val="bullet"/>
      <w:lvlText w:val="o"/>
      <w:lvlJc w:val="left"/>
      <w:pPr>
        <w:ind w:left="1440" w:hanging="360"/>
      </w:pPr>
      <w:rPr>
        <w:rFonts w:ascii="Courier New" w:hAnsi="Courier New" w:hint="default"/>
      </w:rPr>
    </w:lvl>
    <w:lvl w:ilvl="2" w:tplc="E91C6BD8">
      <w:start w:val="1"/>
      <w:numFmt w:val="bullet"/>
      <w:lvlText w:val=""/>
      <w:lvlJc w:val="left"/>
      <w:pPr>
        <w:ind w:left="2160" w:hanging="360"/>
      </w:pPr>
      <w:rPr>
        <w:rFonts w:ascii="Wingdings" w:hAnsi="Wingdings" w:hint="default"/>
      </w:rPr>
    </w:lvl>
    <w:lvl w:ilvl="3" w:tplc="949C9036">
      <w:start w:val="1"/>
      <w:numFmt w:val="bullet"/>
      <w:lvlText w:val=""/>
      <w:lvlJc w:val="left"/>
      <w:pPr>
        <w:ind w:left="2880" w:hanging="360"/>
      </w:pPr>
      <w:rPr>
        <w:rFonts w:ascii="Symbol" w:hAnsi="Symbol" w:hint="default"/>
      </w:rPr>
    </w:lvl>
    <w:lvl w:ilvl="4" w:tplc="D19C0AFC">
      <w:start w:val="1"/>
      <w:numFmt w:val="bullet"/>
      <w:lvlText w:val="o"/>
      <w:lvlJc w:val="left"/>
      <w:pPr>
        <w:ind w:left="3600" w:hanging="360"/>
      </w:pPr>
      <w:rPr>
        <w:rFonts w:ascii="Courier New" w:hAnsi="Courier New" w:hint="default"/>
      </w:rPr>
    </w:lvl>
    <w:lvl w:ilvl="5" w:tplc="D5F82AAC">
      <w:start w:val="1"/>
      <w:numFmt w:val="bullet"/>
      <w:lvlText w:val=""/>
      <w:lvlJc w:val="left"/>
      <w:pPr>
        <w:ind w:left="4320" w:hanging="360"/>
      </w:pPr>
      <w:rPr>
        <w:rFonts w:ascii="Wingdings" w:hAnsi="Wingdings" w:hint="default"/>
      </w:rPr>
    </w:lvl>
    <w:lvl w:ilvl="6" w:tplc="7322805C">
      <w:start w:val="1"/>
      <w:numFmt w:val="bullet"/>
      <w:lvlText w:val=""/>
      <w:lvlJc w:val="left"/>
      <w:pPr>
        <w:ind w:left="5040" w:hanging="360"/>
      </w:pPr>
      <w:rPr>
        <w:rFonts w:ascii="Symbol" w:hAnsi="Symbol" w:hint="default"/>
      </w:rPr>
    </w:lvl>
    <w:lvl w:ilvl="7" w:tplc="B26A14EE">
      <w:start w:val="1"/>
      <w:numFmt w:val="bullet"/>
      <w:lvlText w:val="o"/>
      <w:lvlJc w:val="left"/>
      <w:pPr>
        <w:ind w:left="5760" w:hanging="360"/>
      </w:pPr>
      <w:rPr>
        <w:rFonts w:ascii="Courier New" w:hAnsi="Courier New" w:hint="default"/>
      </w:rPr>
    </w:lvl>
    <w:lvl w:ilvl="8" w:tplc="67E08B88">
      <w:start w:val="1"/>
      <w:numFmt w:val="bullet"/>
      <w:lvlText w:val=""/>
      <w:lvlJc w:val="left"/>
      <w:pPr>
        <w:ind w:left="6480" w:hanging="360"/>
      </w:pPr>
      <w:rPr>
        <w:rFonts w:ascii="Wingdings" w:hAnsi="Wingdings" w:hint="default"/>
      </w:rPr>
    </w:lvl>
  </w:abstractNum>
  <w:abstractNum w:abstractNumId="2">
    <w:nsid w:val="455AB979"/>
    <w:multiLevelType w:val="hybridMultilevel"/>
    <w:tmpl w:val="8480B046"/>
    <w:lvl w:ilvl="0" w:tplc="F81ACA5C">
      <w:start w:val="1"/>
      <w:numFmt w:val="bullet"/>
      <w:lvlText w:val=""/>
      <w:lvlJc w:val="left"/>
      <w:pPr>
        <w:ind w:left="720" w:hanging="360"/>
      </w:pPr>
      <w:rPr>
        <w:rFonts w:ascii="Symbol" w:hAnsi="Symbol" w:hint="default"/>
      </w:rPr>
    </w:lvl>
    <w:lvl w:ilvl="1" w:tplc="A080BAEC">
      <w:start w:val="1"/>
      <w:numFmt w:val="bullet"/>
      <w:lvlText w:val="o"/>
      <w:lvlJc w:val="left"/>
      <w:pPr>
        <w:ind w:left="1440" w:hanging="360"/>
      </w:pPr>
      <w:rPr>
        <w:rFonts w:ascii="Courier New" w:hAnsi="Courier New" w:hint="default"/>
      </w:rPr>
    </w:lvl>
    <w:lvl w:ilvl="2" w:tplc="7D7CA122">
      <w:start w:val="1"/>
      <w:numFmt w:val="bullet"/>
      <w:lvlText w:val=""/>
      <w:lvlJc w:val="left"/>
      <w:pPr>
        <w:ind w:left="2160" w:hanging="360"/>
      </w:pPr>
      <w:rPr>
        <w:rFonts w:ascii="Wingdings" w:hAnsi="Wingdings" w:hint="default"/>
      </w:rPr>
    </w:lvl>
    <w:lvl w:ilvl="3" w:tplc="15D869B6">
      <w:start w:val="1"/>
      <w:numFmt w:val="bullet"/>
      <w:lvlText w:val=""/>
      <w:lvlJc w:val="left"/>
      <w:pPr>
        <w:ind w:left="2880" w:hanging="360"/>
      </w:pPr>
      <w:rPr>
        <w:rFonts w:ascii="Symbol" w:hAnsi="Symbol" w:hint="default"/>
      </w:rPr>
    </w:lvl>
    <w:lvl w:ilvl="4" w:tplc="EEE20C76">
      <w:start w:val="1"/>
      <w:numFmt w:val="bullet"/>
      <w:lvlText w:val="o"/>
      <w:lvlJc w:val="left"/>
      <w:pPr>
        <w:ind w:left="3600" w:hanging="360"/>
      </w:pPr>
      <w:rPr>
        <w:rFonts w:ascii="Courier New" w:hAnsi="Courier New" w:hint="default"/>
      </w:rPr>
    </w:lvl>
    <w:lvl w:ilvl="5" w:tplc="7F5A011C">
      <w:start w:val="1"/>
      <w:numFmt w:val="bullet"/>
      <w:lvlText w:val=""/>
      <w:lvlJc w:val="left"/>
      <w:pPr>
        <w:ind w:left="4320" w:hanging="360"/>
      </w:pPr>
      <w:rPr>
        <w:rFonts w:ascii="Wingdings" w:hAnsi="Wingdings" w:hint="default"/>
      </w:rPr>
    </w:lvl>
    <w:lvl w:ilvl="6" w:tplc="F0AEE05C">
      <w:start w:val="1"/>
      <w:numFmt w:val="bullet"/>
      <w:lvlText w:val=""/>
      <w:lvlJc w:val="left"/>
      <w:pPr>
        <w:ind w:left="5040" w:hanging="360"/>
      </w:pPr>
      <w:rPr>
        <w:rFonts w:ascii="Symbol" w:hAnsi="Symbol" w:hint="default"/>
      </w:rPr>
    </w:lvl>
    <w:lvl w:ilvl="7" w:tplc="CC0CA1E6">
      <w:start w:val="1"/>
      <w:numFmt w:val="bullet"/>
      <w:lvlText w:val="o"/>
      <w:lvlJc w:val="left"/>
      <w:pPr>
        <w:ind w:left="5760" w:hanging="360"/>
      </w:pPr>
      <w:rPr>
        <w:rFonts w:ascii="Courier New" w:hAnsi="Courier New" w:hint="default"/>
      </w:rPr>
    </w:lvl>
    <w:lvl w:ilvl="8" w:tplc="7F741FBE">
      <w:start w:val="1"/>
      <w:numFmt w:val="bullet"/>
      <w:lvlText w:val=""/>
      <w:lvlJc w:val="left"/>
      <w:pPr>
        <w:ind w:left="6480" w:hanging="360"/>
      </w:pPr>
      <w:rPr>
        <w:rFonts w:ascii="Wingdings" w:hAnsi="Wingdings" w:hint="default"/>
      </w:rPr>
    </w:lvl>
  </w:abstractNum>
  <w:abstractNum w:abstractNumId="3">
    <w:nsid w:val="53554262"/>
    <w:multiLevelType w:val="hybridMultilevel"/>
    <w:tmpl w:val="B962797A"/>
    <w:lvl w:ilvl="0" w:tplc="BC20A81A">
      <w:start w:val="1"/>
      <w:numFmt w:val="decimal"/>
      <w:lvlText w:val="%1."/>
      <w:lvlJc w:val="left"/>
      <w:pPr>
        <w:ind w:left="720" w:hanging="360"/>
      </w:pPr>
    </w:lvl>
    <w:lvl w:ilvl="1" w:tplc="8A86B826">
      <w:start w:val="1"/>
      <w:numFmt w:val="lowerLetter"/>
      <w:lvlText w:val="%2."/>
      <w:lvlJc w:val="left"/>
      <w:pPr>
        <w:ind w:left="1440" w:hanging="360"/>
      </w:pPr>
    </w:lvl>
    <w:lvl w:ilvl="2" w:tplc="1BD2ACD2">
      <w:start w:val="1"/>
      <w:numFmt w:val="lowerRoman"/>
      <w:lvlText w:val="%3."/>
      <w:lvlJc w:val="right"/>
      <w:pPr>
        <w:ind w:left="2160" w:hanging="180"/>
      </w:pPr>
    </w:lvl>
    <w:lvl w:ilvl="3" w:tplc="A40E250A">
      <w:start w:val="1"/>
      <w:numFmt w:val="decimal"/>
      <w:lvlText w:val="%4."/>
      <w:lvlJc w:val="left"/>
      <w:pPr>
        <w:ind w:left="2880" w:hanging="360"/>
      </w:pPr>
    </w:lvl>
    <w:lvl w:ilvl="4" w:tplc="4028B7DC">
      <w:start w:val="1"/>
      <w:numFmt w:val="lowerLetter"/>
      <w:lvlText w:val="%5."/>
      <w:lvlJc w:val="left"/>
      <w:pPr>
        <w:ind w:left="3600" w:hanging="360"/>
      </w:pPr>
    </w:lvl>
    <w:lvl w:ilvl="5" w:tplc="22C08A62">
      <w:start w:val="1"/>
      <w:numFmt w:val="lowerRoman"/>
      <w:lvlText w:val="%6."/>
      <w:lvlJc w:val="right"/>
      <w:pPr>
        <w:ind w:left="4320" w:hanging="180"/>
      </w:pPr>
    </w:lvl>
    <w:lvl w:ilvl="6" w:tplc="6D34BF5A">
      <w:start w:val="1"/>
      <w:numFmt w:val="decimal"/>
      <w:lvlText w:val="%7."/>
      <w:lvlJc w:val="left"/>
      <w:pPr>
        <w:ind w:left="5040" w:hanging="360"/>
      </w:pPr>
    </w:lvl>
    <w:lvl w:ilvl="7" w:tplc="63C27166">
      <w:start w:val="1"/>
      <w:numFmt w:val="lowerLetter"/>
      <w:lvlText w:val="%8."/>
      <w:lvlJc w:val="left"/>
      <w:pPr>
        <w:ind w:left="5760" w:hanging="360"/>
      </w:pPr>
    </w:lvl>
    <w:lvl w:ilvl="8" w:tplc="D1F2E358">
      <w:start w:val="1"/>
      <w:numFmt w:val="lowerRoman"/>
      <w:lvlText w:val="%9."/>
      <w:lvlJc w:val="right"/>
      <w:pPr>
        <w:ind w:left="6480" w:hanging="180"/>
      </w:pPr>
    </w:lvl>
  </w:abstractNum>
  <w:abstractNum w:abstractNumId="4">
    <w:nsid w:val="6BA8EC16"/>
    <w:multiLevelType w:val="hybridMultilevel"/>
    <w:tmpl w:val="2D7E9CE0"/>
    <w:lvl w:ilvl="0" w:tplc="B9407478">
      <w:start w:val="1"/>
      <w:numFmt w:val="decimal"/>
      <w:lvlText w:val="%1."/>
      <w:lvlJc w:val="left"/>
      <w:pPr>
        <w:ind w:left="720" w:hanging="360"/>
      </w:pPr>
    </w:lvl>
    <w:lvl w:ilvl="1" w:tplc="A6BE5758">
      <w:start w:val="1"/>
      <w:numFmt w:val="lowerLetter"/>
      <w:lvlText w:val="%2."/>
      <w:lvlJc w:val="left"/>
      <w:pPr>
        <w:ind w:left="1440" w:hanging="360"/>
      </w:pPr>
    </w:lvl>
    <w:lvl w:ilvl="2" w:tplc="394C660A">
      <w:start w:val="1"/>
      <w:numFmt w:val="lowerRoman"/>
      <w:lvlText w:val="%3."/>
      <w:lvlJc w:val="right"/>
      <w:pPr>
        <w:ind w:left="2160" w:hanging="180"/>
      </w:pPr>
    </w:lvl>
    <w:lvl w:ilvl="3" w:tplc="E826A0CC">
      <w:start w:val="1"/>
      <w:numFmt w:val="decimal"/>
      <w:lvlText w:val="%4."/>
      <w:lvlJc w:val="left"/>
      <w:pPr>
        <w:ind w:left="2880" w:hanging="360"/>
      </w:pPr>
    </w:lvl>
    <w:lvl w:ilvl="4" w:tplc="4E8E1AEC">
      <w:start w:val="1"/>
      <w:numFmt w:val="lowerLetter"/>
      <w:lvlText w:val="%5."/>
      <w:lvlJc w:val="left"/>
      <w:pPr>
        <w:ind w:left="3600" w:hanging="360"/>
      </w:pPr>
    </w:lvl>
    <w:lvl w:ilvl="5" w:tplc="16D8DDBE">
      <w:start w:val="1"/>
      <w:numFmt w:val="lowerRoman"/>
      <w:lvlText w:val="%6."/>
      <w:lvlJc w:val="right"/>
      <w:pPr>
        <w:ind w:left="4320" w:hanging="180"/>
      </w:pPr>
    </w:lvl>
    <w:lvl w:ilvl="6" w:tplc="3F78432E">
      <w:start w:val="1"/>
      <w:numFmt w:val="decimal"/>
      <w:lvlText w:val="%7."/>
      <w:lvlJc w:val="left"/>
      <w:pPr>
        <w:ind w:left="5040" w:hanging="360"/>
      </w:pPr>
    </w:lvl>
    <w:lvl w:ilvl="7" w:tplc="C0B09C56">
      <w:start w:val="1"/>
      <w:numFmt w:val="lowerLetter"/>
      <w:lvlText w:val="%8."/>
      <w:lvlJc w:val="left"/>
      <w:pPr>
        <w:ind w:left="5760" w:hanging="360"/>
      </w:pPr>
    </w:lvl>
    <w:lvl w:ilvl="8" w:tplc="FF783860">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3FB2B547"/>
    <w:rsid w:val="001D177C"/>
    <w:rsid w:val="004F7263"/>
    <w:rsid w:val="00ED7942"/>
    <w:rsid w:val="02236204"/>
    <w:rsid w:val="03DB2F40"/>
    <w:rsid w:val="04DCDE59"/>
    <w:rsid w:val="05A71053"/>
    <w:rsid w:val="067C8163"/>
    <w:rsid w:val="06CE7144"/>
    <w:rsid w:val="07F47540"/>
    <w:rsid w:val="08582DC9"/>
    <w:rsid w:val="08DCCC94"/>
    <w:rsid w:val="09C2E642"/>
    <w:rsid w:val="0A00AB25"/>
    <w:rsid w:val="0A70EA38"/>
    <w:rsid w:val="0D27D48E"/>
    <w:rsid w:val="0E8ECEFC"/>
    <w:rsid w:val="0EC7F9AE"/>
    <w:rsid w:val="0FB28D4A"/>
    <w:rsid w:val="102F35F7"/>
    <w:rsid w:val="11352F46"/>
    <w:rsid w:val="13AC25EA"/>
    <w:rsid w:val="16F1CE69"/>
    <w:rsid w:val="1981D03D"/>
    <w:rsid w:val="1F9AEEA0"/>
    <w:rsid w:val="202A1F30"/>
    <w:rsid w:val="20AF10F4"/>
    <w:rsid w:val="221CCC3C"/>
    <w:rsid w:val="2230698F"/>
    <w:rsid w:val="24D713B8"/>
    <w:rsid w:val="25E547E0"/>
    <w:rsid w:val="27AE1CCD"/>
    <w:rsid w:val="28DFE246"/>
    <w:rsid w:val="2ACECB49"/>
    <w:rsid w:val="2C89D9B8"/>
    <w:rsid w:val="2DE409AE"/>
    <w:rsid w:val="2EB5BECF"/>
    <w:rsid w:val="2EC256F9"/>
    <w:rsid w:val="2FD90095"/>
    <w:rsid w:val="307B9DFD"/>
    <w:rsid w:val="30B2EC15"/>
    <w:rsid w:val="31C1272C"/>
    <w:rsid w:val="31DAE690"/>
    <w:rsid w:val="31F3F35B"/>
    <w:rsid w:val="33E0170C"/>
    <w:rsid w:val="3579F0AA"/>
    <w:rsid w:val="367A7EDA"/>
    <w:rsid w:val="3ACAFD24"/>
    <w:rsid w:val="3B6C3093"/>
    <w:rsid w:val="3C4231EB"/>
    <w:rsid w:val="3CEDD2AC"/>
    <w:rsid w:val="3D35F33B"/>
    <w:rsid w:val="3E4F6D8C"/>
    <w:rsid w:val="3FB2B547"/>
    <w:rsid w:val="44735D9E"/>
    <w:rsid w:val="4533381F"/>
    <w:rsid w:val="45520EC6"/>
    <w:rsid w:val="46028690"/>
    <w:rsid w:val="4898F9AB"/>
    <w:rsid w:val="491A6442"/>
    <w:rsid w:val="493BD5D3"/>
    <w:rsid w:val="496963C5"/>
    <w:rsid w:val="49BD6399"/>
    <w:rsid w:val="4A9B4028"/>
    <w:rsid w:val="4AFFEB3F"/>
    <w:rsid w:val="4D0C959F"/>
    <w:rsid w:val="4EDF12FA"/>
    <w:rsid w:val="4FCF174B"/>
    <w:rsid w:val="50D74BA6"/>
    <w:rsid w:val="50F630D4"/>
    <w:rsid w:val="511EA482"/>
    <w:rsid w:val="51DB3D44"/>
    <w:rsid w:val="59E15D37"/>
    <w:rsid w:val="5E4F7592"/>
    <w:rsid w:val="5FF51591"/>
    <w:rsid w:val="60B38292"/>
    <w:rsid w:val="61A1402C"/>
    <w:rsid w:val="62355AB7"/>
    <w:rsid w:val="633CC53B"/>
    <w:rsid w:val="64CB0982"/>
    <w:rsid w:val="66E25532"/>
    <w:rsid w:val="673BFDF7"/>
    <w:rsid w:val="6786BDB1"/>
    <w:rsid w:val="68DBB771"/>
    <w:rsid w:val="69B0725E"/>
    <w:rsid w:val="6AFA8F48"/>
    <w:rsid w:val="6B2C6FFA"/>
    <w:rsid w:val="6C906632"/>
    <w:rsid w:val="6CE024E5"/>
    <w:rsid w:val="750F8C9A"/>
    <w:rsid w:val="7C13E0C9"/>
    <w:rsid w:val="7E38D327"/>
    <w:rsid w:val="7E3BFDDA"/>
    <w:rsid w:val="7F184A66"/>
    <w:rsid w:val="7F9024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7263"/>
  </w:style>
  <w:style w:type="paragraph" w:styleId="Heading1">
    <w:name w:val="heading 1"/>
    <w:basedOn w:val="Normal"/>
    <w:next w:val="Normal"/>
    <w:uiPriority w:val="9"/>
    <w:qFormat/>
    <w:rsid w:val="1F9AE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F9AE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F9AEEA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F9AEEA0"/>
    <w:pPr>
      <w:ind w:left="720"/>
      <w:contextualSpacing/>
    </w:pPr>
  </w:style>
  <w:style w:type="paragraph" w:styleId="Header">
    <w:name w:val="header"/>
    <w:basedOn w:val="Normal"/>
    <w:uiPriority w:val="99"/>
    <w:unhideWhenUsed/>
    <w:rsid w:val="1F9AEEA0"/>
    <w:pPr>
      <w:tabs>
        <w:tab w:val="center" w:pos="4680"/>
        <w:tab w:val="right" w:pos="9360"/>
      </w:tabs>
      <w:spacing w:after="0" w:line="240" w:lineRule="auto"/>
    </w:pPr>
  </w:style>
  <w:style w:type="paragraph" w:styleId="Footer">
    <w:name w:val="footer"/>
    <w:basedOn w:val="Normal"/>
    <w:uiPriority w:val="99"/>
    <w:unhideWhenUsed/>
    <w:rsid w:val="1F9AEEA0"/>
    <w:pPr>
      <w:tabs>
        <w:tab w:val="center" w:pos="4680"/>
        <w:tab w:val="right" w:pos="9360"/>
      </w:tabs>
      <w:spacing w:after="0" w:line="240" w:lineRule="auto"/>
    </w:pPr>
  </w:style>
  <w:style w:type="character" w:styleId="Hyperlink">
    <w:name w:val="Hyperlink"/>
    <w:basedOn w:val="DefaultParagraphFont"/>
    <w:uiPriority w:val="99"/>
    <w:unhideWhenUsed/>
    <w:rsid w:val="1F9AEEA0"/>
    <w:rPr>
      <w:color w:val="467886"/>
      <w:u w:val="single"/>
    </w:rPr>
  </w:style>
  <w:style w:type="paragraph" w:styleId="TOC1">
    <w:name w:val="toc 1"/>
    <w:basedOn w:val="Normal"/>
    <w:next w:val="Normal"/>
    <w:uiPriority w:val="39"/>
    <w:unhideWhenUsed/>
    <w:rsid w:val="1F9AEEA0"/>
    <w:pPr>
      <w:spacing w:after="100"/>
    </w:pPr>
  </w:style>
  <w:style w:type="paragraph" w:styleId="TOC2">
    <w:name w:val="toc 2"/>
    <w:basedOn w:val="Normal"/>
    <w:next w:val="Normal"/>
    <w:uiPriority w:val="39"/>
    <w:unhideWhenUsed/>
    <w:rsid w:val="1F9AEEA0"/>
    <w:pPr>
      <w:spacing w:after="100"/>
      <w:ind w:left="220"/>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D79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94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34?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data-and-information/publications/statistical/mental-health-of-children-and-young-people-in-england/2023-wave-4-follow-up?utm_source=chatgpt.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ho.int/news-room/fact-sheets/detail/adolescent-mental-health?utm_source=chatgpt.com"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7547/?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4549</Words>
  <Characters>25934</Characters>
  <Application>Microsoft Office Word</Application>
  <DocSecurity>0</DocSecurity>
  <Lines>216</Lines>
  <Paragraphs>60</Paragraphs>
  <ScaleCrop>false</ScaleCrop>
  <Company/>
  <LinksUpToDate>false</LinksUpToDate>
  <CharactersWithSpaces>30423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hifza kanwal</dc:creator>
  <cp:keywords/>
  <dc:description/>
  <cp:lastModifiedBy>Hp 2023</cp:lastModifiedBy>
  <cp:revision>3</cp:revision>
  <dcterms:created xsi:type="dcterms:W3CDTF">2026-03-12T13:30:00Z</dcterms:created>
  <dcterms:modified xsi:type="dcterms:W3CDTF">2026-03-23T13:39:00Z</dcterms:modified>
</cp:coreProperties>
</file>