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978371803"/>
        <w:docPartObj>
          <w:docPartGallery w:val="Cover Pages"/>
          <w:docPartUnique/>
        </w:docPartObj>
      </w:sdtPr>
      <w:sdtEndPr>
        <w:rPr>
          <w:rFonts w:eastAsiaTheme="minorHAnsi"/>
          <w:color w:val="auto"/>
          <w:lang w:val="en-GB"/>
        </w:rPr>
      </w:sdtEndPr>
      <w:sdtContent>
        <w:p w14:paraId="3682219F" w14:textId="6E7C05E5" w:rsidR="00266ADB" w:rsidRDefault="00266ADB">
          <w:pPr>
            <w:pStyle w:val="NoSpacing"/>
            <w:spacing w:before="1540" w:after="240"/>
            <w:jc w:val="center"/>
            <w:rPr>
              <w:color w:val="4472C4" w:themeColor="accent1"/>
            </w:rPr>
          </w:pPr>
          <w:r>
            <w:rPr>
              <w:noProof/>
              <w:color w:val="4472C4" w:themeColor="accent1"/>
            </w:rPr>
            <w:drawing>
              <wp:inline distT="0" distB="0" distL="0" distR="0" wp14:anchorId="05C7C43E" wp14:editId="5BC03AE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9166604AF1E48DA82C0602EE74BEA4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950A608" w14:textId="1CFAA247" w:rsidR="00266ADB" w:rsidRDefault="00266AD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w:t>
              </w:r>
            </w:p>
          </w:sdtContent>
        </w:sdt>
        <w:p w14:paraId="65FE4F81" w14:textId="155C4DD5" w:rsidR="00266ADB" w:rsidRDefault="00266ADB">
          <w:pPr>
            <w:pStyle w:val="NoSpacing"/>
            <w:jc w:val="center"/>
            <w:rPr>
              <w:color w:val="4472C4" w:themeColor="accent1"/>
              <w:sz w:val="28"/>
              <w:szCs w:val="28"/>
            </w:rPr>
          </w:pPr>
          <w:r>
            <w:rPr>
              <w:color w:val="4472C4" w:themeColor="accent1"/>
              <w:sz w:val="28"/>
              <w:szCs w:val="28"/>
            </w:rPr>
            <w:t xml:space="preserve">Module ID: </w:t>
          </w:r>
          <w:sdt>
            <w:sdtPr>
              <w:rPr>
                <w:color w:val="4472C4" w:themeColor="accent1"/>
                <w:sz w:val="28"/>
                <w:szCs w:val="28"/>
              </w:rPr>
              <w:alias w:val="Subtitle"/>
              <w:tag w:val=""/>
              <w:id w:val="328029620"/>
              <w:placeholder>
                <w:docPart w:val="AB177E019DE54ABE8109B7C0AF079FAE"/>
              </w:placeholder>
              <w:dataBinding w:prefixMappings="xmlns:ns0='http://purl.org/dc/elements/1.1/' xmlns:ns1='http://schemas.openxmlformats.org/package/2006/metadata/core-properties' " w:xpath="/ns1:coreProperties[1]/ns0:subject[1]" w:storeItemID="{6C3C8BC8-F283-45AE-878A-BAB7291924A1}"/>
              <w:text/>
            </w:sdtPr>
            <w:sdtContent>
              <w:r w:rsidRPr="00BE2661">
                <w:rPr>
                  <w:color w:val="4472C4" w:themeColor="accent1"/>
                  <w:sz w:val="28"/>
                  <w:szCs w:val="28"/>
                </w:rPr>
                <w:t>BMIH5006</w:t>
              </w:r>
            </w:sdtContent>
          </w:sdt>
        </w:p>
        <w:p w14:paraId="683CF675" w14:textId="77777777" w:rsidR="00266ADB" w:rsidRDefault="00266AD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8A10C47" wp14:editId="556107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ABF5E1" w14:textId="77777777" w:rsidR="00266ADB" w:rsidRDefault="00266ADB" w:rsidP="00266ADB">
                                <w:pPr>
                                  <w:pStyle w:val="NoSpacing"/>
                                  <w:jc w:val="center"/>
                                  <w:rPr>
                                    <w:caps/>
                                    <w:color w:val="4472C4" w:themeColor="accent1"/>
                                    <w:sz w:val="28"/>
                                    <w:szCs w:val="28"/>
                                  </w:rPr>
                                </w:pPr>
                                <w:r>
                                  <w:rPr>
                                    <w:caps/>
                                    <w:color w:val="4472C4" w:themeColor="accent1"/>
                                    <w:sz w:val="28"/>
                                    <w:szCs w:val="28"/>
                                  </w:rPr>
                                  <w:t>Syeda Begum</w:t>
                                </w:r>
                              </w:p>
                              <w:p w14:paraId="4A04AD07" w14:textId="77777777" w:rsidR="00266ADB" w:rsidRDefault="00266ADB" w:rsidP="00266ADB">
                                <w:pPr>
                                  <w:pStyle w:val="NoSpacing"/>
                                  <w:jc w:val="center"/>
                                  <w:rPr>
                                    <w:caps/>
                                    <w:color w:val="4472C4" w:themeColor="accent1"/>
                                    <w:sz w:val="28"/>
                                    <w:szCs w:val="28"/>
                                  </w:rPr>
                                </w:pPr>
                                <w:r>
                                  <w:rPr>
                                    <w:caps/>
                                    <w:color w:val="4472C4" w:themeColor="accent1"/>
                                    <w:sz w:val="28"/>
                                    <w:szCs w:val="28"/>
                                  </w:rPr>
                                  <w:t>Student ID: 2227588</w:t>
                                </w:r>
                              </w:p>
                              <w:p w14:paraId="306EBBC9" w14:textId="77777777" w:rsidR="00266ADB" w:rsidRDefault="00266ADB" w:rsidP="00266ADB">
                                <w:pPr>
                                  <w:pStyle w:val="NoSpacing"/>
                                  <w:jc w:val="center"/>
                                  <w:rPr>
                                    <w:caps/>
                                    <w:color w:val="4472C4" w:themeColor="accent1"/>
                                    <w:sz w:val="28"/>
                                    <w:szCs w:val="28"/>
                                  </w:rPr>
                                </w:pPr>
                                <w:r>
                                  <w:rPr>
                                    <w:caps/>
                                    <w:color w:val="4472C4" w:themeColor="accent1"/>
                                    <w:sz w:val="28"/>
                                    <w:szCs w:val="28"/>
                                  </w:rPr>
                                  <w:t>LECTURER: LISA-MARIE BASSIER</w:t>
                                </w:r>
                              </w:p>
                              <w:p w14:paraId="401F53B1" w14:textId="5F875122" w:rsidR="00266ADB" w:rsidRDefault="00266ADB" w:rsidP="00266ADB">
                                <w:pPr>
                                  <w:pStyle w:val="NoSpacing"/>
                                  <w:jc w:val="center"/>
                                  <w:rPr>
                                    <w:color w:val="4472C4" w:themeColor="accent1"/>
                                  </w:rPr>
                                </w:pPr>
                                <w:r>
                                  <w:rPr>
                                    <w:caps/>
                                    <w:color w:val="4472C4" w:themeColor="accent1"/>
                                    <w:sz w:val="28"/>
                                    <w:szCs w:val="28"/>
                                  </w:rPr>
                                  <w:t>WORD COUNT:</w:t>
                                </w:r>
                                <w:r w:rsidR="00B62175">
                                  <w:rPr>
                                    <w:caps/>
                                    <w:color w:val="4472C4" w:themeColor="accent1"/>
                                    <w:sz w:val="28"/>
                                    <w:szCs w:val="28"/>
                                  </w:rPr>
                                  <w:t>2077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A10C4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2ABF5E1" w14:textId="77777777" w:rsidR="00266ADB" w:rsidRDefault="00266ADB" w:rsidP="00266ADB">
                          <w:pPr>
                            <w:pStyle w:val="NoSpacing"/>
                            <w:jc w:val="center"/>
                            <w:rPr>
                              <w:caps/>
                              <w:color w:val="4472C4" w:themeColor="accent1"/>
                              <w:sz w:val="28"/>
                              <w:szCs w:val="28"/>
                            </w:rPr>
                          </w:pPr>
                          <w:r>
                            <w:rPr>
                              <w:caps/>
                              <w:color w:val="4472C4" w:themeColor="accent1"/>
                              <w:sz w:val="28"/>
                              <w:szCs w:val="28"/>
                            </w:rPr>
                            <w:t>Syeda Begum</w:t>
                          </w:r>
                        </w:p>
                        <w:p w14:paraId="4A04AD07" w14:textId="77777777" w:rsidR="00266ADB" w:rsidRDefault="00266ADB" w:rsidP="00266ADB">
                          <w:pPr>
                            <w:pStyle w:val="NoSpacing"/>
                            <w:jc w:val="center"/>
                            <w:rPr>
                              <w:caps/>
                              <w:color w:val="4472C4" w:themeColor="accent1"/>
                              <w:sz w:val="28"/>
                              <w:szCs w:val="28"/>
                            </w:rPr>
                          </w:pPr>
                          <w:r>
                            <w:rPr>
                              <w:caps/>
                              <w:color w:val="4472C4" w:themeColor="accent1"/>
                              <w:sz w:val="28"/>
                              <w:szCs w:val="28"/>
                            </w:rPr>
                            <w:t>Student ID: 2227588</w:t>
                          </w:r>
                        </w:p>
                        <w:p w14:paraId="306EBBC9" w14:textId="77777777" w:rsidR="00266ADB" w:rsidRDefault="00266ADB" w:rsidP="00266ADB">
                          <w:pPr>
                            <w:pStyle w:val="NoSpacing"/>
                            <w:jc w:val="center"/>
                            <w:rPr>
                              <w:caps/>
                              <w:color w:val="4472C4" w:themeColor="accent1"/>
                              <w:sz w:val="28"/>
                              <w:szCs w:val="28"/>
                            </w:rPr>
                          </w:pPr>
                          <w:r>
                            <w:rPr>
                              <w:caps/>
                              <w:color w:val="4472C4" w:themeColor="accent1"/>
                              <w:sz w:val="28"/>
                              <w:szCs w:val="28"/>
                            </w:rPr>
                            <w:t>LECTURER: LISA-MARIE BASSIER</w:t>
                          </w:r>
                        </w:p>
                        <w:p w14:paraId="401F53B1" w14:textId="5F875122" w:rsidR="00266ADB" w:rsidRDefault="00266ADB" w:rsidP="00266ADB">
                          <w:pPr>
                            <w:pStyle w:val="NoSpacing"/>
                            <w:jc w:val="center"/>
                            <w:rPr>
                              <w:color w:val="4472C4" w:themeColor="accent1"/>
                            </w:rPr>
                          </w:pPr>
                          <w:r>
                            <w:rPr>
                              <w:caps/>
                              <w:color w:val="4472C4" w:themeColor="accent1"/>
                              <w:sz w:val="28"/>
                              <w:szCs w:val="28"/>
                            </w:rPr>
                            <w:t>WORD COUNT:</w:t>
                          </w:r>
                          <w:r w:rsidR="00B62175">
                            <w:rPr>
                              <w:caps/>
                              <w:color w:val="4472C4" w:themeColor="accent1"/>
                              <w:sz w:val="28"/>
                              <w:szCs w:val="28"/>
                            </w:rPr>
                            <w:t>2077</w:t>
                          </w:r>
                        </w:p>
                      </w:txbxContent>
                    </v:textbox>
                    <w10:wrap anchorx="margin" anchory="page"/>
                  </v:shape>
                </w:pict>
              </mc:Fallback>
            </mc:AlternateContent>
          </w:r>
          <w:r>
            <w:rPr>
              <w:noProof/>
              <w:color w:val="4472C4" w:themeColor="accent1"/>
            </w:rPr>
            <w:drawing>
              <wp:inline distT="0" distB="0" distL="0" distR="0" wp14:anchorId="06777DBC" wp14:editId="311F3D9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C8871D" w14:textId="42771C0D" w:rsidR="00266ADB" w:rsidRDefault="00266ADB">
          <w:r>
            <w:br w:type="page"/>
          </w:r>
        </w:p>
      </w:sdtContent>
    </w:sdt>
    <w:p w14:paraId="5A682306" w14:textId="1F0242C7" w:rsidR="00266ADB" w:rsidRPr="00266ADB" w:rsidRDefault="00266ADB" w:rsidP="00A737AD">
      <w:pPr>
        <w:spacing w:line="360" w:lineRule="auto"/>
        <w:jc w:val="both"/>
        <w:rPr>
          <w:rFonts w:ascii="Arial" w:hAnsi="Arial" w:cs="Arial"/>
          <w:sz w:val="24"/>
          <w:szCs w:val="24"/>
        </w:rPr>
      </w:pPr>
      <w:r w:rsidRPr="00266ADB">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8148374" w14:textId="77777777" w:rsidR="00266ADB" w:rsidRPr="00266ADB" w:rsidRDefault="00266ADB" w:rsidP="00A737AD">
      <w:pPr>
        <w:spacing w:line="360" w:lineRule="auto"/>
        <w:jc w:val="both"/>
        <w:rPr>
          <w:rFonts w:ascii="Arial" w:hAnsi="Arial" w:cs="Arial"/>
          <w:sz w:val="24"/>
          <w:szCs w:val="24"/>
        </w:rPr>
      </w:pPr>
    </w:p>
    <w:p w14:paraId="7603F704" w14:textId="77777777" w:rsidR="00266ADB" w:rsidRPr="00266ADB" w:rsidRDefault="00266ADB" w:rsidP="00A737AD">
      <w:pPr>
        <w:spacing w:line="360" w:lineRule="auto"/>
        <w:jc w:val="both"/>
        <w:rPr>
          <w:rFonts w:ascii="Arial" w:hAnsi="Arial" w:cs="Arial"/>
          <w:sz w:val="24"/>
          <w:szCs w:val="24"/>
        </w:rPr>
      </w:pPr>
    </w:p>
    <w:p w14:paraId="11285AA7" w14:textId="77777777" w:rsidR="00266ADB" w:rsidRPr="00266ADB" w:rsidRDefault="00266ADB" w:rsidP="00266ADB"/>
    <w:p w14:paraId="542A786E" w14:textId="77777777" w:rsidR="00266ADB" w:rsidRPr="00266ADB" w:rsidRDefault="00266ADB" w:rsidP="00266ADB"/>
    <w:p w14:paraId="7C5B03E7" w14:textId="77777777" w:rsidR="00266ADB" w:rsidRPr="00266ADB" w:rsidRDefault="00266ADB" w:rsidP="00266ADB"/>
    <w:p w14:paraId="4AB19CFE" w14:textId="77777777" w:rsidR="00266ADB" w:rsidRPr="00266ADB" w:rsidRDefault="00266ADB" w:rsidP="00266ADB"/>
    <w:p w14:paraId="1AE0A1A7" w14:textId="77777777" w:rsidR="00266ADB" w:rsidRPr="00266ADB" w:rsidRDefault="00266ADB" w:rsidP="00266ADB"/>
    <w:p w14:paraId="36A6544B" w14:textId="77777777" w:rsidR="00266ADB" w:rsidRPr="00266ADB" w:rsidRDefault="00266ADB" w:rsidP="00266ADB"/>
    <w:p w14:paraId="25FC85CF" w14:textId="77777777" w:rsidR="00266ADB" w:rsidRPr="00266ADB" w:rsidRDefault="00266ADB" w:rsidP="00266ADB"/>
    <w:p w14:paraId="63A61164" w14:textId="77777777" w:rsidR="00266ADB" w:rsidRPr="00266ADB" w:rsidRDefault="00266ADB" w:rsidP="00266ADB"/>
    <w:p w14:paraId="74F61632" w14:textId="77777777" w:rsidR="00266ADB" w:rsidRPr="00266ADB" w:rsidRDefault="00266ADB" w:rsidP="00266ADB"/>
    <w:p w14:paraId="1FBE7972" w14:textId="77777777" w:rsidR="00266ADB" w:rsidRPr="00266ADB" w:rsidRDefault="00266ADB" w:rsidP="00266ADB"/>
    <w:p w14:paraId="2E0F5A09" w14:textId="77777777" w:rsidR="00266ADB" w:rsidRDefault="00266ADB"/>
    <w:p w14:paraId="2F9EBC9B" w14:textId="77777777" w:rsidR="00266ADB" w:rsidRDefault="00266ADB"/>
    <w:p w14:paraId="51330AEA" w14:textId="77777777" w:rsidR="00266ADB" w:rsidRDefault="00266ADB"/>
    <w:p w14:paraId="7D7895FE" w14:textId="77777777" w:rsidR="00266ADB" w:rsidRDefault="00266ADB"/>
    <w:p w14:paraId="45160E83" w14:textId="77777777" w:rsidR="00266ADB" w:rsidRDefault="00266ADB"/>
    <w:p w14:paraId="438D7B35" w14:textId="77777777" w:rsidR="00266ADB" w:rsidRDefault="00266ADB"/>
    <w:p w14:paraId="49FE03E4" w14:textId="77777777" w:rsidR="00266ADB" w:rsidRDefault="00266ADB"/>
    <w:p w14:paraId="54BC324F" w14:textId="77777777" w:rsidR="00266ADB" w:rsidRDefault="00266ADB"/>
    <w:p w14:paraId="63A774A6" w14:textId="77777777" w:rsidR="00266ADB" w:rsidRDefault="00266ADB"/>
    <w:p w14:paraId="7E866BD5" w14:textId="77777777" w:rsidR="00266ADB" w:rsidRDefault="00266ADB"/>
    <w:p w14:paraId="0CDFDEE6" w14:textId="77777777" w:rsidR="00266ADB" w:rsidRDefault="00266ADB"/>
    <w:p w14:paraId="01EA3E50" w14:textId="77777777" w:rsidR="00266ADB" w:rsidRDefault="00266ADB"/>
    <w:p w14:paraId="4FD03EF8" w14:textId="77777777" w:rsidR="00266ADB" w:rsidRDefault="00266ADB"/>
    <w:p w14:paraId="1644C2C5" w14:textId="77777777" w:rsidR="00266ADB" w:rsidRDefault="00266ADB"/>
    <w:p w14:paraId="3C39826A" w14:textId="5D0FCE3D" w:rsidR="00327991" w:rsidRPr="00327991" w:rsidRDefault="00327991" w:rsidP="00327991">
      <w:pPr>
        <w:spacing w:line="360" w:lineRule="auto"/>
        <w:jc w:val="both"/>
        <w:rPr>
          <w:rFonts w:ascii="Arial" w:hAnsi="Arial" w:cs="Arial"/>
          <w:sz w:val="24"/>
          <w:szCs w:val="24"/>
        </w:rPr>
      </w:pPr>
      <w:r w:rsidRPr="00327991">
        <w:rPr>
          <w:rFonts w:ascii="Arial" w:hAnsi="Arial" w:cs="Arial"/>
          <w:sz w:val="24"/>
          <w:szCs w:val="24"/>
        </w:rPr>
        <w:lastRenderedPageBreak/>
        <w:t xml:space="preserve">This report examines Hilton </w:t>
      </w:r>
      <w:r w:rsidR="00C807DF" w:rsidRPr="00327991">
        <w:rPr>
          <w:rFonts w:ascii="Arial" w:hAnsi="Arial" w:cs="Arial"/>
          <w:sz w:val="24"/>
          <w:szCs w:val="24"/>
        </w:rPr>
        <w:t>World wide’s</w:t>
      </w:r>
      <w:r w:rsidRPr="00327991">
        <w:rPr>
          <w:rFonts w:ascii="Arial" w:hAnsi="Arial" w:cs="Arial"/>
          <w:sz w:val="24"/>
          <w:szCs w:val="24"/>
        </w:rPr>
        <w:t xml:space="preserve"> proposed initiative to transition to renewable energy as a key sustainability practice. Renewable energy, sourced from natural, replenishable resources such as solar and wind, offers significant environmental benefits by reducing carbon emissions and supporting climate action goals. Hilton's strategy includes installing solar panels at properties, entering power purchase agreements (PPAs), and exploring local renewable energy partnerships.</w:t>
      </w:r>
    </w:p>
    <w:p w14:paraId="054CF29B" w14:textId="77777777" w:rsidR="00327991" w:rsidRPr="00327991" w:rsidRDefault="00327991" w:rsidP="00327991">
      <w:pPr>
        <w:spacing w:line="360" w:lineRule="auto"/>
        <w:jc w:val="both"/>
        <w:rPr>
          <w:rFonts w:ascii="Arial" w:hAnsi="Arial" w:cs="Arial"/>
          <w:sz w:val="24"/>
          <w:szCs w:val="24"/>
        </w:rPr>
      </w:pPr>
      <w:r w:rsidRPr="00327991">
        <w:rPr>
          <w:rFonts w:ascii="Arial" w:hAnsi="Arial" w:cs="Arial"/>
          <w:sz w:val="24"/>
          <w:szCs w:val="24"/>
        </w:rPr>
        <w:t>Transitioning to renewable energy aligns Hilton with global sustainability commitments and addresses the rising demand for eco-friendly hospitality. Industry leaders like Marriott and Accor have successfully implemented similar practices, demonstrating both environmental and operational advantages. Hilton can likewise benefit by reducing its carbon footprint, achieving green certifications, and appealing to environmentally conscious guests.</w:t>
      </w:r>
    </w:p>
    <w:p w14:paraId="7403CC78" w14:textId="77777777" w:rsidR="00327991" w:rsidRPr="00327991" w:rsidRDefault="00327991" w:rsidP="00327991">
      <w:pPr>
        <w:spacing w:line="360" w:lineRule="auto"/>
        <w:jc w:val="both"/>
        <w:rPr>
          <w:rFonts w:ascii="Arial" w:hAnsi="Arial" w:cs="Arial"/>
          <w:sz w:val="24"/>
          <w:szCs w:val="24"/>
        </w:rPr>
      </w:pPr>
      <w:r w:rsidRPr="00327991">
        <w:rPr>
          <w:rFonts w:ascii="Arial" w:hAnsi="Arial" w:cs="Arial"/>
          <w:sz w:val="24"/>
          <w:szCs w:val="24"/>
        </w:rPr>
        <w:t>While renewable energy adoption presents initial cost and logistical challenges, it is a viable long-term investment. This transition may involve high upfront expenses for equipment and infrastructure, but with decreasing technology costs and available incentives, Hilton can secure sustainable and stable energy sources.</w:t>
      </w:r>
    </w:p>
    <w:p w14:paraId="50C7FF38" w14:textId="77777777" w:rsidR="00327991" w:rsidRDefault="00327991" w:rsidP="00327991">
      <w:pPr>
        <w:spacing w:line="360" w:lineRule="auto"/>
        <w:jc w:val="both"/>
        <w:rPr>
          <w:rFonts w:ascii="Arial" w:hAnsi="Arial" w:cs="Arial"/>
          <w:sz w:val="24"/>
          <w:szCs w:val="24"/>
        </w:rPr>
      </w:pPr>
      <w:r w:rsidRPr="00327991">
        <w:rPr>
          <w:rFonts w:ascii="Arial" w:hAnsi="Arial" w:cs="Arial"/>
          <w:sz w:val="24"/>
          <w:szCs w:val="24"/>
        </w:rPr>
        <w:t>In conclusion, Hilton's shift toward renewable energy is a practical, cost-effective strategy that will enhance its environmental impact, improve operational efficiency, and position the brand as a leader in sustainable hospitality, aligning with both corporate and global sustainability goals.</w:t>
      </w:r>
    </w:p>
    <w:p w14:paraId="73652A50" w14:textId="77777777" w:rsidR="002E3CB6" w:rsidRPr="00327991" w:rsidRDefault="002E3CB6" w:rsidP="00327991">
      <w:pPr>
        <w:spacing w:line="360" w:lineRule="auto"/>
        <w:jc w:val="both"/>
        <w:rPr>
          <w:rFonts w:ascii="Arial" w:hAnsi="Arial" w:cs="Arial"/>
          <w:sz w:val="24"/>
          <w:szCs w:val="24"/>
        </w:rPr>
      </w:pPr>
    </w:p>
    <w:p w14:paraId="4D8266DF" w14:textId="77777777" w:rsidR="00266ADB" w:rsidRDefault="00266ADB"/>
    <w:p w14:paraId="16E922A9" w14:textId="77777777" w:rsidR="00266ADB" w:rsidRDefault="00266ADB"/>
    <w:p w14:paraId="1583E2A3" w14:textId="77777777" w:rsidR="00266ADB" w:rsidRDefault="00266ADB"/>
    <w:p w14:paraId="5A62EEA1" w14:textId="77777777" w:rsidR="00266ADB" w:rsidRDefault="00266ADB"/>
    <w:p w14:paraId="07382181" w14:textId="77777777" w:rsidR="00266ADB" w:rsidRDefault="00266ADB"/>
    <w:p w14:paraId="6FC37EA4" w14:textId="77777777" w:rsidR="00266ADB" w:rsidRDefault="00266ADB"/>
    <w:p w14:paraId="1DCBD195" w14:textId="77777777" w:rsidR="00266ADB" w:rsidRDefault="00266ADB"/>
    <w:p w14:paraId="7C1E17B8" w14:textId="77777777" w:rsidR="00266ADB" w:rsidRDefault="00266ADB"/>
    <w:p w14:paraId="53B762D4" w14:textId="77777777" w:rsidR="00266ADB" w:rsidRDefault="00266ADB"/>
    <w:p w14:paraId="5A34ECCD" w14:textId="77777777" w:rsidR="00266ADB" w:rsidRDefault="00266ADB"/>
    <w:sdt>
      <w:sdtPr>
        <w:rPr>
          <w:sz w:val="26"/>
          <w:szCs w:val="26"/>
        </w:rPr>
        <w:id w:val="-1499496489"/>
        <w:docPartObj>
          <w:docPartGallery w:val="Table of Contents"/>
          <w:docPartUnique/>
        </w:docPartObj>
      </w:sdtPr>
      <w:sdtEndPr>
        <w:rPr>
          <w:rFonts w:asciiTheme="minorHAnsi" w:eastAsiaTheme="minorHAnsi" w:hAnsiTheme="minorHAnsi" w:cstheme="minorBidi"/>
          <w:b/>
          <w:bCs/>
          <w:noProof/>
          <w:color w:val="auto"/>
          <w:lang w:val="en-GB"/>
        </w:rPr>
      </w:sdtEndPr>
      <w:sdtContent>
        <w:p w14:paraId="08F9823C" w14:textId="53C8A432" w:rsidR="002E3CB6" w:rsidRPr="00EA5B64" w:rsidRDefault="002E3CB6">
          <w:pPr>
            <w:pStyle w:val="TOCHeading"/>
          </w:pPr>
          <w:r w:rsidRPr="00EA5B64">
            <w:t>Contents</w:t>
          </w:r>
        </w:p>
        <w:p w14:paraId="129FE600" w14:textId="52D66A84" w:rsidR="002F7F99" w:rsidRDefault="002E3CB6">
          <w:pPr>
            <w:pStyle w:val="TOC1"/>
            <w:tabs>
              <w:tab w:val="right" w:leader="dot" w:pos="9016"/>
            </w:tabs>
            <w:rPr>
              <w:rFonts w:eastAsiaTheme="minorEastAsia"/>
              <w:noProof/>
              <w:kern w:val="2"/>
              <w:sz w:val="24"/>
              <w:szCs w:val="24"/>
              <w:lang w:eastAsia="en-GB"/>
              <w14:ligatures w14:val="standardContextual"/>
            </w:rPr>
          </w:pPr>
          <w:r w:rsidRPr="00EA5B64">
            <w:rPr>
              <w:sz w:val="26"/>
              <w:szCs w:val="26"/>
            </w:rPr>
            <w:fldChar w:fldCharType="begin"/>
          </w:r>
          <w:r w:rsidRPr="00EA5B64">
            <w:rPr>
              <w:sz w:val="26"/>
              <w:szCs w:val="26"/>
            </w:rPr>
            <w:instrText xml:space="preserve"> TOC \o "1-3" \h \z \u </w:instrText>
          </w:r>
          <w:r w:rsidRPr="00EA5B64">
            <w:rPr>
              <w:sz w:val="26"/>
              <w:szCs w:val="26"/>
            </w:rPr>
            <w:fldChar w:fldCharType="separate"/>
          </w:r>
          <w:hyperlink w:anchor="_Toc182167057" w:history="1">
            <w:r w:rsidR="002F7F99" w:rsidRPr="00E10F6B">
              <w:rPr>
                <w:rStyle w:val="Hyperlink"/>
                <w:noProof/>
              </w:rPr>
              <w:t>Introduction</w:t>
            </w:r>
            <w:r w:rsidR="002F7F99">
              <w:rPr>
                <w:noProof/>
                <w:webHidden/>
              </w:rPr>
              <w:tab/>
            </w:r>
            <w:r w:rsidR="002F7F99">
              <w:rPr>
                <w:noProof/>
                <w:webHidden/>
              </w:rPr>
              <w:fldChar w:fldCharType="begin"/>
            </w:r>
            <w:r w:rsidR="002F7F99">
              <w:rPr>
                <w:noProof/>
                <w:webHidden/>
              </w:rPr>
              <w:instrText xml:space="preserve"> PAGEREF _Toc182167057 \h </w:instrText>
            </w:r>
            <w:r w:rsidR="002F7F99">
              <w:rPr>
                <w:noProof/>
                <w:webHidden/>
              </w:rPr>
            </w:r>
            <w:r w:rsidR="002F7F99">
              <w:rPr>
                <w:noProof/>
                <w:webHidden/>
              </w:rPr>
              <w:fldChar w:fldCharType="separate"/>
            </w:r>
            <w:r w:rsidR="002F7F99">
              <w:rPr>
                <w:noProof/>
                <w:webHidden/>
              </w:rPr>
              <w:t>4</w:t>
            </w:r>
            <w:r w:rsidR="002F7F99">
              <w:rPr>
                <w:noProof/>
                <w:webHidden/>
              </w:rPr>
              <w:fldChar w:fldCharType="end"/>
            </w:r>
          </w:hyperlink>
        </w:p>
        <w:p w14:paraId="1B473CAF" w14:textId="4C4BB141" w:rsidR="002F7F99" w:rsidRDefault="002F7F99">
          <w:pPr>
            <w:pStyle w:val="TOC1"/>
            <w:tabs>
              <w:tab w:val="right" w:leader="dot" w:pos="9016"/>
            </w:tabs>
            <w:rPr>
              <w:rFonts w:eastAsiaTheme="minorEastAsia"/>
              <w:noProof/>
              <w:kern w:val="2"/>
              <w:sz w:val="24"/>
              <w:szCs w:val="24"/>
              <w:lang w:eastAsia="en-GB"/>
              <w14:ligatures w14:val="standardContextual"/>
            </w:rPr>
          </w:pPr>
          <w:hyperlink w:anchor="_Toc182167058" w:history="1">
            <w:r w:rsidRPr="00E10F6B">
              <w:rPr>
                <w:rStyle w:val="Hyperlink"/>
                <w:noProof/>
              </w:rPr>
              <w:t>Greener Practice Initiative: Transition to Renewable Energy Sources</w:t>
            </w:r>
            <w:r>
              <w:rPr>
                <w:noProof/>
                <w:webHidden/>
              </w:rPr>
              <w:tab/>
            </w:r>
            <w:r>
              <w:rPr>
                <w:noProof/>
                <w:webHidden/>
              </w:rPr>
              <w:fldChar w:fldCharType="begin"/>
            </w:r>
            <w:r>
              <w:rPr>
                <w:noProof/>
                <w:webHidden/>
              </w:rPr>
              <w:instrText xml:space="preserve"> PAGEREF _Toc182167058 \h </w:instrText>
            </w:r>
            <w:r>
              <w:rPr>
                <w:noProof/>
                <w:webHidden/>
              </w:rPr>
            </w:r>
            <w:r>
              <w:rPr>
                <w:noProof/>
                <w:webHidden/>
              </w:rPr>
              <w:fldChar w:fldCharType="separate"/>
            </w:r>
            <w:r>
              <w:rPr>
                <w:noProof/>
                <w:webHidden/>
              </w:rPr>
              <w:t>4</w:t>
            </w:r>
            <w:r>
              <w:rPr>
                <w:noProof/>
                <w:webHidden/>
              </w:rPr>
              <w:fldChar w:fldCharType="end"/>
            </w:r>
          </w:hyperlink>
        </w:p>
        <w:p w14:paraId="16EFBF46" w14:textId="2E17B9D5" w:rsidR="002F7F99" w:rsidRDefault="002F7F99">
          <w:pPr>
            <w:pStyle w:val="TOC1"/>
            <w:tabs>
              <w:tab w:val="right" w:leader="dot" w:pos="9016"/>
            </w:tabs>
            <w:rPr>
              <w:rFonts w:eastAsiaTheme="minorEastAsia"/>
              <w:noProof/>
              <w:kern w:val="2"/>
              <w:sz w:val="24"/>
              <w:szCs w:val="24"/>
              <w:lang w:eastAsia="en-GB"/>
              <w14:ligatures w14:val="standardContextual"/>
            </w:rPr>
          </w:pPr>
          <w:hyperlink w:anchor="_Toc182167059" w:history="1">
            <w:r w:rsidRPr="00E10F6B">
              <w:rPr>
                <w:rStyle w:val="Hyperlink"/>
                <w:noProof/>
              </w:rPr>
              <w:t>Sustainability</w:t>
            </w:r>
            <w:r>
              <w:rPr>
                <w:noProof/>
                <w:webHidden/>
              </w:rPr>
              <w:tab/>
            </w:r>
            <w:r>
              <w:rPr>
                <w:noProof/>
                <w:webHidden/>
              </w:rPr>
              <w:fldChar w:fldCharType="begin"/>
            </w:r>
            <w:r>
              <w:rPr>
                <w:noProof/>
                <w:webHidden/>
              </w:rPr>
              <w:instrText xml:space="preserve"> PAGEREF _Toc182167059 \h </w:instrText>
            </w:r>
            <w:r>
              <w:rPr>
                <w:noProof/>
                <w:webHidden/>
              </w:rPr>
            </w:r>
            <w:r>
              <w:rPr>
                <w:noProof/>
                <w:webHidden/>
              </w:rPr>
              <w:fldChar w:fldCharType="separate"/>
            </w:r>
            <w:r>
              <w:rPr>
                <w:noProof/>
                <w:webHidden/>
              </w:rPr>
              <w:t>6</w:t>
            </w:r>
            <w:r>
              <w:rPr>
                <w:noProof/>
                <w:webHidden/>
              </w:rPr>
              <w:fldChar w:fldCharType="end"/>
            </w:r>
          </w:hyperlink>
        </w:p>
        <w:p w14:paraId="06898EAA" w14:textId="2BEA4728" w:rsidR="002F7F99" w:rsidRDefault="002F7F99">
          <w:pPr>
            <w:pStyle w:val="TOC1"/>
            <w:tabs>
              <w:tab w:val="right" w:leader="dot" w:pos="9016"/>
            </w:tabs>
            <w:rPr>
              <w:rFonts w:eastAsiaTheme="minorEastAsia"/>
              <w:noProof/>
              <w:kern w:val="2"/>
              <w:sz w:val="24"/>
              <w:szCs w:val="24"/>
              <w:lang w:eastAsia="en-GB"/>
              <w14:ligatures w14:val="standardContextual"/>
            </w:rPr>
          </w:pPr>
          <w:hyperlink w:anchor="_Toc182167060" w:history="1">
            <w:r w:rsidRPr="00E10F6B">
              <w:rPr>
                <w:rStyle w:val="Hyperlink"/>
                <w:noProof/>
              </w:rPr>
              <w:t>Challenges the initiative might pose for the Hotel</w:t>
            </w:r>
            <w:r>
              <w:rPr>
                <w:noProof/>
                <w:webHidden/>
              </w:rPr>
              <w:tab/>
            </w:r>
            <w:r>
              <w:rPr>
                <w:noProof/>
                <w:webHidden/>
              </w:rPr>
              <w:fldChar w:fldCharType="begin"/>
            </w:r>
            <w:r>
              <w:rPr>
                <w:noProof/>
                <w:webHidden/>
              </w:rPr>
              <w:instrText xml:space="preserve"> PAGEREF _Toc182167060 \h </w:instrText>
            </w:r>
            <w:r>
              <w:rPr>
                <w:noProof/>
                <w:webHidden/>
              </w:rPr>
            </w:r>
            <w:r>
              <w:rPr>
                <w:noProof/>
                <w:webHidden/>
              </w:rPr>
              <w:fldChar w:fldCharType="separate"/>
            </w:r>
            <w:r>
              <w:rPr>
                <w:noProof/>
                <w:webHidden/>
              </w:rPr>
              <w:t>6</w:t>
            </w:r>
            <w:r>
              <w:rPr>
                <w:noProof/>
                <w:webHidden/>
              </w:rPr>
              <w:fldChar w:fldCharType="end"/>
            </w:r>
          </w:hyperlink>
        </w:p>
        <w:p w14:paraId="6632C601" w14:textId="1BBD960F" w:rsidR="002F7F99" w:rsidRDefault="002F7F99">
          <w:pPr>
            <w:pStyle w:val="TOC1"/>
            <w:tabs>
              <w:tab w:val="right" w:leader="dot" w:pos="9016"/>
            </w:tabs>
            <w:rPr>
              <w:rFonts w:eastAsiaTheme="minorEastAsia"/>
              <w:noProof/>
              <w:kern w:val="2"/>
              <w:sz w:val="24"/>
              <w:szCs w:val="24"/>
              <w:lang w:eastAsia="en-GB"/>
              <w14:ligatures w14:val="standardContextual"/>
            </w:rPr>
          </w:pPr>
          <w:hyperlink w:anchor="_Toc182167061" w:history="1">
            <w:r w:rsidRPr="00E10F6B">
              <w:rPr>
                <w:rStyle w:val="Hyperlink"/>
                <w:noProof/>
              </w:rPr>
              <w:t>Cost Effective</w:t>
            </w:r>
            <w:r>
              <w:rPr>
                <w:noProof/>
                <w:webHidden/>
              </w:rPr>
              <w:tab/>
            </w:r>
            <w:r>
              <w:rPr>
                <w:noProof/>
                <w:webHidden/>
              </w:rPr>
              <w:fldChar w:fldCharType="begin"/>
            </w:r>
            <w:r>
              <w:rPr>
                <w:noProof/>
                <w:webHidden/>
              </w:rPr>
              <w:instrText xml:space="preserve"> PAGEREF _Toc182167061 \h </w:instrText>
            </w:r>
            <w:r>
              <w:rPr>
                <w:noProof/>
                <w:webHidden/>
              </w:rPr>
            </w:r>
            <w:r>
              <w:rPr>
                <w:noProof/>
                <w:webHidden/>
              </w:rPr>
              <w:fldChar w:fldCharType="separate"/>
            </w:r>
            <w:r>
              <w:rPr>
                <w:noProof/>
                <w:webHidden/>
              </w:rPr>
              <w:t>7</w:t>
            </w:r>
            <w:r>
              <w:rPr>
                <w:noProof/>
                <w:webHidden/>
              </w:rPr>
              <w:fldChar w:fldCharType="end"/>
            </w:r>
          </w:hyperlink>
        </w:p>
        <w:p w14:paraId="44E301AF" w14:textId="1A0FFDE3" w:rsidR="002F7F99" w:rsidRDefault="002F7F99">
          <w:pPr>
            <w:pStyle w:val="TOC1"/>
            <w:tabs>
              <w:tab w:val="right" w:leader="dot" w:pos="9016"/>
            </w:tabs>
            <w:rPr>
              <w:rFonts w:eastAsiaTheme="minorEastAsia"/>
              <w:noProof/>
              <w:kern w:val="2"/>
              <w:sz w:val="24"/>
              <w:szCs w:val="24"/>
              <w:lang w:eastAsia="en-GB"/>
              <w14:ligatures w14:val="standardContextual"/>
            </w:rPr>
          </w:pPr>
          <w:hyperlink w:anchor="_Toc182167062" w:history="1">
            <w:r w:rsidRPr="00E10F6B">
              <w:rPr>
                <w:rStyle w:val="Hyperlink"/>
                <w:noProof/>
              </w:rPr>
              <w:t>Benefiting the Environment</w:t>
            </w:r>
            <w:r>
              <w:rPr>
                <w:noProof/>
                <w:webHidden/>
              </w:rPr>
              <w:tab/>
            </w:r>
            <w:r>
              <w:rPr>
                <w:noProof/>
                <w:webHidden/>
              </w:rPr>
              <w:fldChar w:fldCharType="begin"/>
            </w:r>
            <w:r>
              <w:rPr>
                <w:noProof/>
                <w:webHidden/>
              </w:rPr>
              <w:instrText xml:space="preserve"> PAGEREF _Toc182167062 \h </w:instrText>
            </w:r>
            <w:r>
              <w:rPr>
                <w:noProof/>
                <w:webHidden/>
              </w:rPr>
            </w:r>
            <w:r>
              <w:rPr>
                <w:noProof/>
                <w:webHidden/>
              </w:rPr>
              <w:fldChar w:fldCharType="separate"/>
            </w:r>
            <w:r>
              <w:rPr>
                <w:noProof/>
                <w:webHidden/>
              </w:rPr>
              <w:t>8</w:t>
            </w:r>
            <w:r>
              <w:rPr>
                <w:noProof/>
                <w:webHidden/>
              </w:rPr>
              <w:fldChar w:fldCharType="end"/>
            </w:r>
          </w:hyperlink>
        </w:p>
        <w:p w14:paraId="53C470F0" w14:textId="6ECAF7CF" w:rsidR="002F7F99" w:rsidRDefault="002F7F99">
          <w:pPr>
            <w:pStyle w:val="TOC1"/>
            <w:tabs>
              <w:tab w:val="right" w:leader="dot" w:pos="9016"/>
            </w:tabs>
            <w:rPr>
              <w:rFonts w:eastAsiaTheme="minorEastAsia"/>
              <w:noProof/>
              <w:kern w:val="2"/>
              <w:sz w:val="24"/>
              <w:szCs w:val="24"/>
              <w:lang w:eastAsia="en-GB"/>
              <w14:ligatures w14:val="standardContextual"/>
            </w:rPr>
          </w:pPr>
          <w:hyperlink w:anchor="_Toc182167063" w:history="1">
            <w:r w:rsidRPr="00E10F6B">
              <w:rPr>
                <w:rStyle w:val="Hyperlink"/>
                <w:noProof/>
              </w:rPr>
              <w:t>Conclusion</w:t>
            </w:r>
            <w:r>
              <w:rPr>
                <w:noProof/>
                <w:webHidden/>
              </w:rPr>
              <w:tab/>
            </w:r>
            <w:r>
              <w:rPr>
                <w:noProof/>
                <w:webHidden/>
              </w:rPr>
              <w:fldChar w:fldCharType="begin"/>
            </w:r>
            <w:r>
              <w:rPr>
                <w:noProof/>
                <w:webHidden/>
              </w:rPr>
              <w:instrText xml:space="preserve"> PAGEREF _Toc182167063 \h </w:instrText>
            </w:r>
            <w:r>
              <w:rPr>
                <w:noProof/>
                <w:webHidden/>
              </w:rPr>
            </w:r>
            <w:r>
              <w:rPr>
                <w:noProof/>
                <w:webHidden/>
              </w:rPr>
              <w:fldChar w:fldCharType="separate"/>
            </w:r>
            <w:r>
              <w:rPr>
                <w:noProof/>
                <w:webHidden/>
              </w:rPr>
              <w:t>8</w:t>
            </w:r>
            <w:r>
              <w:rPr>
                <w:noProof/>
                <w:webHidden/>
              </w:rPr>
              <w:fldChar w:fldCharType="end"/>
            </w:r>
          </w:hyperlink>
        </w:p>
        <w:p w14:paraId="322D8347" w14:textId="37AAA000" w:rsidR="002F7F99" w:rsidRDefault="002F7F99">
          <w:pPr>
            <w:pStyle w:val="TOC1"/>
            <w:tabs>
              <w:tab w:val="right" w:leader="dot" w:pos="9016"/>
            </w:tabs>
            <w:rPr>
              <w:rFonts w:eastAsiaTheme="minorEastAsia"/>
              <w:noProof/>
              <w:kern w:val="2"/>
              <w:sz w:val="24"/>
              <w:szCs w:val="24"/>
              <w:lang w:eastAsia="en-GB"/>
              <w14:ligatures w14:val="standardContextual"/>
            </w:rPr>
          </w:pPr>
          <w:hyperlink w:anchor="_Toc182167064" w:history="1">
            <w:r w:rsidRPr="00E10F6B">
              <w:rPr>
                <w:rStyle w:val="Hyperlink"/>
                <w:noProof/>
              </w:rPr>
              <w:t>Recommendations</w:t>
            </w:r>
            <w:r>
              <w:rPr>
                <w:noProof/>
                <w:webHidden/>
              </w:rPr>
              <w:tab/>
            </w:r>
            <w:r>
              <w:rPr>
                <w:noProof/>
                <w:webHidden/>
              </w:rPr>
              <w:fldChar w:fldCharType="begin"/>
            </w:r>
            <w:r>
              <w:rPr>
                <w:noProof/>
                <w:webHidden/>
              </w:rPr>
              <w:instrText xml:space="preserve"> PAGEREF _Toc182167064 \h </w:instrText>
            </w:r>
            <w:r>
              <w:rPr>
                <w:noProof/>
                <w:webHidden/>
              </w:rPr>
            </w:r>
            <w:r>
              <w:rPr>
                <w:noProof/>
                <w:webHidden/>
              </w:rPr>
              <w:fldChar w:fldCharType="separate"/>
            </w:r>
            <w:r>
              <w:rPr>
                <w:noProof/>
                <w:webHidden/>
              </w:rPr>
              <w:t>9</w:t>
            </w:r>
            <w:r>
              <w:rPr>
                <w:noProof/>
                <w:webHidden/>
              </w:rPr>
              <w:fldChar w:fldCharType="end"/>
            </w:r>
          </w:hyperlink>
        </w:p>
        <w:p w14:paraId="1711F756" w14:textId="2B994908" w:rsidR="002F7F99" w:rsidRDefault="002F7F99">
          <w:pPr>
            <w:pStyle w:val="TOC1"/>
            <w:tabs>
              <w:tab w:val="right" w:leader="dot" w:pos="9016"/>
            </w:tabs>
            <w:rPr>
              <w:rFonts w:eastAsiaTheme="minorEastAsia"/>
              <w:noProof/>
              <w:kern w:val="2"/>
              <w:sz w:val="24"/>
              <w:szCs w:val="24"/>
              <w:lang w:eastAsia="en-GB"/>
              <w14:ligatures w14:val="standardContextual"/>
            </w:rPr>
          </w:pPr>
          <w:hyperlink w:anchor="_Toc182167065" w:history="1">
            <w:r w:rsidRPr="00E10F6B">
              <w:rPr>
                <w:rStyle w:val="Hyperlink"/>
                <w:noProof/>
              </w:rPr>
              <w:t>Reference</w:t>
            </w:r>
            <w:r>
              <w:rPr>
                <w:noProof/>
                <w:webHidden/>
              </w:rPr>
              <w:tab/>
            </w:r>
            <w:r>
              <w:rPr>
                <w:noProof/>
                <w:webHidden/>
              </w:rPr>
              <w:fldChar w:fldCharType="begin"/>
            </w:r>
            <w:r>
              <w:rPr>
                <w:noProof/>
                <w:webHidden/>
              </w:rPr>
              <w:instrText xml:space="preserve"> PAGEREF _Toc182167065 \h </w:instrText>
            </w:r>
            <w:r>
              <w:rPr>
                <w:noProof/>
                <w:webHidden/>
              </w:rPr>
            </w:r>
            <w:r>
              <w:rPr>
                <w:noProof/>
                <w:webHidden/>
              </w:rPr>
              <w:fldChar w:fldCharType="separate"/>
            </w:r>
            <w:r>
              <w:rPr>
                <w:noProof/>
                <w:webHidden/>
              </w:rPr>
              <w:t>11</w:t>
            </w:r>
            <w:r>
              <w:rPr>
                <w:noProof/>
                <w:webHidden/>
              </w:rPr>
              <w:fldChar w:fldCharType="end"/>
            </w:r>
          </w:hyperlink>
        </w:p>
        <w:p w14:paraId="6705FAC8" w14:textId="274A6F17" w:rsidR="002E3CB6" w:rsidRPr="00EA5B64" w:rsidRDefault="002E3CB6">
          <w:pPr>
            <w:rPr>
              <w:sz w:val="26"/>
              <w:szCs w:val="26"/>
            </w:rPr>
          </w:pPr>
          <w:r w:rsidRPr="00EA5B64">
            <w:rPr>
              <w:b/>
              <w:bCs/>
              <w:noProof/>
              <w:sz w:val="26"/>
              <w:szCs w:val="26"/>
            </w:rPr>
            <w:fldChar w:fldCharType="end"/>
          </w:r>
        </w:p>
      </w:sdtContent>
    </w:sdt>
    <w:p w14:paraId="6DD1E8AB" w14:textId="77777777" w:rsidR="00266ADB" w:rsidRPr="00EA5B64" w:rsidRDefault="00266ADB">
      <w:pPr>
        <w:rPr>
          <w:sz w:val="26"/>
          <w:szCs w:val="26"/>
        </w:rPr>
      </w:pPr>
    </w:p>
    <w:p w14:paraId="55FED45B" w14:textId="77777777" w:rsidR="002E3CB6" w:rsidRPr="00EA5B64" w:rsidRDefault="002E3CB6">
      <w:pPr>
        <w:rPr>
          <w:sz w:val="26"/>
          <w:szCs w:val="26"/>
        </w:rPr>
      </w:pPr>
    </w:p>
    <w:p w14:paraId="38C2C737" w14:textId="77777777" w:rsidR="002E3CB6" w:rsidRDefault="002E3CB6"/>
    <w:p w14:paraId="2606E755" w14:textId="77777777" w:rsidR="002E3CB6" w:rsidRDefault="002E3CB6"/>
    <w:p w14:paraId="598244D1" w14:textId="77777777" w:rsidR="002E3CB6" w:rsidRDefault="002E3CB6"/>
    <w:p w14:paraId="57296FFA" w14:textId="77777777" w:rsidR="002E3CB6" w:rsidRDefault="002E3CB6"/>
    <w:p w14:paraId="5B24C2BB" w14:textId="77777777" w:rsidR="002E3CB6" w:rsidRDefault="002E3CB6"/>
    <w:p w14:paraId="30F98A08" w14:textId="77777777" w:rsidR="002E3CB6" w:rsidRDefault="002E3CB6"/>
    <w:p w14:paraId="271AE6BF" w14:textId="77777777" w:rsidR="002E3CB6" w:rsidRDefault="002E3CB6"/>
    <w:p w14:paraId="470F7B86" w14:textId="77777777" w:rsidR="002E3CB6" w:rsidRDefault="002E3CB6"/>
    <w:p w14:paraId="5778C7F4" w14:textId="77777777" w:rsidR="002E3CB6" w:rsidRDefault="002E3CB6"/>
    <w:p w14:paraId="244BB8D2" w14:textId="77777777" w:rsidR="002E3CB6" w:rsidRDefault="002E3CB6"/>
    <w:p w14:paraId="3C0D8C63" w14:textId="77777777" w:rsidR="002E3CB6" w:rsidRDefault="002E3CB6"/>
    <w:p w14:paraId="28C08BB4" w14:textId="77777777" w:rsidR="002E3CB6" w:rsidRDefault="002E3CB6"/>
    <w:p w14:paraId="39419A6C" w14:textId="77777777" w:rsidR="002E3CB6" w:rsidRDefault="002E3CB6"/>
    <w:p w14:paraId="0B2070DB" w14:textId="77777777" w:rsidR="002E3CB6" w:rsidRDefault="002E3CB6"/>
    <w:p w14:paraId="7D5A9678" w14:textId="77777777" w:rsidR="002E3CB6" w:rsidRDefault="002E3CB6"/>
    <w:p w14:paraId="46724E83" w14:textId="77777777" w:rsidR="002E3CB6" w:rsidRDefault="002E3CB6"/>
    <w:p w14:paraId="2B1176B3" w14:textId="77777777" w:rsidR="002E3CB6" w:rsidRDefault="002E3CB6"/>
    <w:p w14:paraId="16EB46C0" w14:textId="77777777" w:rsidR="002E3CB6" w:rsidRDefault="002E3CB6"/>
    <w:p w14:paraId="3F13BF88" w14:textId="098FB3AE" w:rsidR="001B6555" w:rsidRPr="006E50DB" w:rsidRDefault="001B6555" w:rsidP="00746E12">
      <w:pPr>
        <w:pStyle w:val="Heading1"/>
        <w:rPr>
          <w:color w:val="auto"/>
        </w:rPr>
      </w:pPr>
      <w:bookmarkStart w:id="0" w:name="_Toc182167057"/>
      <w:r w:rsidRPr="006E50DB">
        <w:rPr>
          <w:color w:val="auto"/>
        </w:rPr>
        <w:lastRenderedPageBreak/>
        <w:t>Introduction</w:t>
      </w:r>
      <w:bookmarkEnd w:id="0"/>
    </w:p>
    <w:p w14:paraId="2EF4C600" w14:textId="77777777" w:rsidR="00746E12" w:rsidRPr="00746E12" w:rsidRDefault="00746E12" w:rsidP="008A383B">
      <w:pPr>
        <w:spacing w:line="360" w:lineRule="auto"/>
        <w:jc w:val="both"/>
        <w:rPr>
          <w:rFonts w:ascii="Arial" w:hAnsi="Arial" w:cs="Arial"/>
          <w:sz w:val="24"/>
          <w:szCs w:val="24"/>
        </w:rPr>
      </w:pPr>
      <w:r w:rsidRPr="00746E12">
        <w:rPr>
          <w:rFonts w:ascii="Arial" w:hAnsi="Arial" w:cs="Arial"/>
          <w:sz w:val="24"/>
          <w:szCs w:val="24"/>
        </w:rPr>
        <w:t>This report examines the increasing importance of sustainable practices within the hospitality industry, focusing on how hotels can implement strategies that promote environmental responsibility. Greener practices refer to actions and approaches that reduce a hotel’s environmental impact, improve resource efficiency, and minimize waste, water, and energy consumption. These practices aim to lessen a hotel’s ecological footprint while delivering operational and economic benefits (Jones, 2021).</w:t>
      </w:r>
    </w:p>
    <w:p w14:paraId="291C33BE" w14:textId="1668E790" w:rsidR="00B1428C" w:rsidRPr="00B1428C" w:rsidRDefault="00B1428C" w:rsidP="00B1428C">
      <w:pPr>
        <w:spacing w:line="360" w:lineRule="auto"/>
        <w:jc w:val="both"/>
        <w:rPr>
          <w:rFonts w:ascii="Arial" w:hAnsi="Arial" w:cs="Arial"/>
          <w:sz w:val="24"/>
          <w:szCs w:val="24"/>
        </w:rPr>
      </w:pPr>
      <w:r w:rsidRPr="00B1428C">
        <w:rPr>
          <w:rFonts w:ascii="Arial" w:hAnsi="Arial" w:cs="Arial"/>
          <w:sz w:val="24"/>
          <w:szCs w:val="24"/>
        </w:rPr>
        <w:t xml:space="preserve">Examples of eco-friendly practices include the use of energy-efficient lighting, water-saving measures, waste reduction, sustainable sourcing, and renewable energy (Lee et al., 2020). Many hotels are implementing initiatives such as LED lighting, low-flow water fixtures, and recycling programs to lessen their environmental impact. These efforts not only support sustainability but also improve brand image, appealing to environmentally conscious </w:t>
      </w:r>
      <w:r w:rsidRPr="00B1428C">
        <w:rPr>
          <w:rFonts w:ascii="Arial" w:hAnsi="Arial" w:cs="Arial"/>
          <w:sz w:val="24"/>
          <w:szCs w:val="24"/>
        </w:rPr>
        <w:t>travellers</w:t>
      </w:r>
      <w:r w:rsidRPr="00B1428C">
        <w:rPr>
          <w:rFonts w:ascii="Arial" w:hAnsi="Arial" w:cs="Arial"/>
          <w:sz w:val="24"/>
          <w:szCs w:val="24"/>
        </w:rPr>
        <w:t xml:space="preserve"> (Chou &amp; Lin, 2022).</w:t>
      </w:r>
    </w:p>
    <w:p w14:paraId="25F54E92" w14:textId="77777777" w:rsidR="00746E12" w:rsidRPr="00746E12" w:rsidRDefault="00746E12" w:rsidP="008A383B">
      <w:pPr>
        <w:spacing w:line="360" w:lineRule="auto"/>
        <w:jc w:val="both"/>
        <w:rPr>
          <w:rFonts w:ascii="Arial" w:hAnsi="Arial" w:cs="Arial"/>
          <w:sz w:val="24"/>
          <w:szCs w:val="24"/>
        </w:rPr>
      </w:pPr>
      <w:r w:rsidRPr="00746E12">
        <w:rPr>
          <w:rFonts w:ascii="Arial" w:hAnsi="Arial" w:cs="Arial"/>
          <w:sz w:val="24"/>
          <w:szCs w:val="24"/>
        </w:rPr>
        <w:t>This report will focus on Hilton Worldwide, a global leader in hospitality with a strong commitment to sustainability through its "Hilton Honors Sustainability" program. Hilton has already made significant efforts in areas such as energy efficiency and waste reduction. The report will explore how Hilton can further enhance its sustainable practices by transitioning to renewable energy sources.</w:t>
      </w:r>
    </w:p>
    <w:p w14:paraId="74DC8385" w14:textId="77777777" w:rsidR="00165F90" w:rsidRPr="006E50DB" w:rsidRDefault="00165F90" w:rsidP="006E50DB">
      <w:pPr>
        <w:pStyle w:val="Heading1"/>
        <w:rPr>
          <w:color w:val="auto"/>
        </w:rPr>
      </w:pPr>
      <w:bookmarkStart w:id="1" w:name="_Toc182167058"/>
      <w:r w:rsidRPr="006E50DB">
        <w:rPr>
          <w:color w:val="auto"/>
        </w:rPr>
        <w:t>Greener Practice Initiative: Transition to Renewable Energy Sources</w:t>
      </w:r>
      <w:bookmarkEnd w:id="1"/>
    </w:p>
    <w:p w14:paraId="4AAE6D51"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The greener practice initiative identified for Hilton Worldwide in this report is the transition to renewable energy sources. Renewable energy refers to energy derived from natural resources that are replenishable, such as solar, wind, and hydroelectric power. This initiative involves the shift from traditional energy sources, such as fossil fuels, to cleaner, more sustainable energy options. Hilton can integrate renewable energy in various ways, including the installation of solar panels, purchasing renewable energy through power purchase agreements (PPAs), or sourcing energy from wind and solar farms.</w:t>
      </w:r>
    </w:p>
    <w:p w14:paraId="20A49AC3"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The push for renewable energy in the hotel industry aligns with global sustainability goals, especially the urgent need to reduce carbon emissions and mitigate climate change (UNWTO, 2020). As hospitality businesses strive to lower their environmental impact, transitioning to renewable energy offers one of the most impactful ways to achieve this goal.</w:t>
      </w:r>
    </w:p>
    <w:p w14:paraId="433B8DB4"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lastRenderedPageBreak/>
        <w:t>The transition to renewable energy sources entails several specific actions that Hilton can implement in its operations. The most direct approach is the installation of solar panels on hotel rooftops or adjacent areas. Solar panels generate electricity from sunlight, which can be used to power hotel operations, reducing the reliance on the grid and minimizing the environmental impact of energy use. Solar power can also be used to heat water, reducing energy consumption and the hotel’s carbon footprint.</w:t>
      </w:r>
    </w:p>
    <w:p w14:paraId="5EB81718"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Another aspect of this initiative is the implementation of power purchase agreements (PPAs). These are long-term contracts between Hilton and energy providers, allowing the hotel to buy renewable energy directly from solar or wind farms. This ensures that the hotel’s energy consumption is sourced from renewable resources, even if on-site generation is not feasible (Rainer, 2018).</w:t>
      </w:r>
    </w:p>
    <w:p w14:paraId="575AD25A"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Finally, Hilton can explore partnerships with local or regional governments and businesses to support renewable energy infrastructure. This could involve supporting new wind farms, solar energy projects, or hydroelectric plants that benefit both the hotel and the surrounding community.</w:t>
      </w:r>
    </w:p>
    <w:p w14:paraId="302DFE28"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Several leading hotel chains have successfully implemented renewable energy solutions as part of their sustainability efforts. Marriott International, for example, has committed to reducing its carbon footprint by transitioning to 100% renewable energy for its global operations by 2025 (Marriott International, 2020). This initiative includes installing solar panels in its hotels, entering PPAs, and working with energy providers to ensure all operations are powered by renewable sources.</w:t>
      </w:r>
    </w:p>
    <w:p w14:paraId="6F7C045E"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 xml:space="preserve">AccorHotels is another example of a global hospitality provider focusing on renewable energy. The company aims to achieve net-zero carbon emissions by 2050, with a focus on transitioning to renewable energy in </w:t>
      </w:r>
      <w:proofErr w:type="gramStart"/>
      <w:r w:rsidRPr="00165F90">
        <w:rPr>
          <w:rFonts w:ascii="Arial" w:hAnsi="Arial" w:cs="Arial"/>
          <w:sz w:val="24"/>
          <w:szCs w:val="24"/>
        </w:rPr>
        <w:t>all of</w:t>
      </w:r>
      <w:proofErr w:type="gramEnd"/>
      <w:r w:rsidRPr="00165F90">
        <w:rPr>
          <w:rFonts w:ascii="Arial" w:hAnsi="Arial" w:cs="Arial"/>
          <w:sz w:val="24"/>
          <w:szCs w:val="24"/>
        </w:rPr>
        <w:t xml:space="preserve"> its properties. Accor has already implemented renewable energy solutions in several hotels, including solar panels on rooftops and the use of energy-efficient technologies (Accor, 2020).</w:t>
      </w:r>
    </w:p>
    <w:p w14:paraId="03C08110"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Additionally, the InterContinental Hotels Group (IHG) has adopted renewable energy as part of its Green Engage program, targeting a reduction of its carbon footprint by sourcing 100% renewable electricity in its global hotels (IHG, 2021). These examples show that the transition to renewable energy is a growing trend in the hospitality sector, with many hotels embracing it as part of their broader sustainability goals.</w:t>
      </w:r>
    </w:p>
    <w:p w14:paraId="0B24007B" w14:textId="15B4CAA7" w:rsidR="00165F90" w:rsidRPr="006E50DB" w:rsidRDefault="00165F90" w:rsidP="006E50DB">
      <w:pPr>
        <w:pStyle w:val="Heading1"/>
        <w:rPr>
          <w:color w:val="auto"/>
        </w:rPr>
      </w:pPr>
      <w:bookmarkStart w:id="2" w:name="_Toc182167059"/>
      <w:r w:rsidRPr="006E50DB">
        <w:rPr>
          <w:color w:val="auto"/>
        </w:rPr>
        <w:lastRenderedPageBreak/>
        <w:t>Sustainability</w:t>
      </w:r>
      <w:bookmarkEnd w:id="2"/>
    </w:p>
    <w:p w14:paraId="7F3334F6"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The transition to renewable energy sources offers significant sustainability benefits for Hilton Worldwide. The most immediate benefit is the reduction in greenhouse gas emissions. The hotel industry is known for its high energy consumption, which contributes significantly to global carbon emissions (Kim et al., 2020). By shifting to renewable energy, Hilton can drastically cut its carbon footprint, aligning with international climate goals, such as the Paris Agreement, which calls for limiting global warming to below 2°C (UNFCCC, 2020).</w:t>
      </w:r>
    </w:p>
    <w:p w14:paraId="6A83D01A" w14:textId="731F8948"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 xml:space="preserve">Additionally, sourcing energy from renewable sources can help Hilton achieve green certifications, such as LEED (Leadership in Energy and Environmental Design) or Green Key, which can enhance its marketability and appeal to eco-conscious </w:t>
      </w:r>
      <w:r w:rsidR="005469F7" w:rsidRPr="00165F90">
        <w:rPr>
          <w:rFonts w:ascii="Arial" w:hAnsi="Arial" w:cs="Arial"/>
          <w:sz w:val="24"/>
          <w:szCs w:val="24"/>
        </w:rPr>
        <w:t>travellers</w:t>
      </w:r>
      <w:r w:rsidRPr="00165F90">
        <w:rPr>
          <w:rFonts w:ascii="Arial" w:hAnsi="Arial" w:cs="Arial"/>
          <w:sz w:val="24"/>
          <w:szCs w:val="24"/>
        </w:rPr>
        <w:t>. These certifications are highly valued by consumers who prioritize sustainability when selecting accommodations (Bohdanowicz, 2020). Therefore, adopting renewable energy will not only reduce Hilton’s environmental impact but also help attract a growing segment of environmentally aware guests.</w:t>
      </w:r>
    </w:p>
    <w:p w14:paraId="5DD376B2"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From an operational standpoint, the use of renewable energy can enhance energy efficiency within Hilton’s properties. For example, integrating solar power into its operations could significantly reduce the reliance on grid electricity, especially during peak demand periods. This can help mitigate energy costs, especially in regions where electricity prices fluctuate dramatically (Jones &amp; Lee, 2021).</w:t>
      </w:r>
    </w:p>
    <w:p w14:paraId="147D712B" w14:textId="3715BA2C" w:rsidR="00165F90" w:rsidRPr="006E50DB" w:rsidRDefault="00165F90" w:rsidP="006E50DB">
      <w:pPr>
        <w:pStyle w:val="Heading1"/>
        <w:rPr>
          <w:color w:val="auto"/>
        </w:rPr>
      </w:pPr>
      <w:bookmarkStart w:id="3" w:name="_Toc182167060"/>
      <w:r w:rsidRPr="006E50DB">
        <w:rPr>
          <w:color w:val="auto"/>
        </w:rPr>
        <w:t xml:space="preserve">Challenges the </w:t>
      </w:r>
      <w:r w:rsidR="00FF5CE3" w:rsidRPr="006E50DB">
        <w:rPr>
          <w:color w:val="auto"/>
        </w:rPr>
        <w:t>i</w:t>
      </w:r>
      <w:r w:rsidRPr="006E50DB">
        <w:rPr>
          <w:color w:val="auto"/>
        </w:rPr>
        <w:t xml:space="preserve">nitiative </w:t>
      </w:r>
      <w:r w:rsidR="00FF5CE3" w:rsidRPr="006E50DB">
        <w:rPr>
          <w:color w:val="auto"/>
        </w:rPr>
        <w:t>might p</w:t>
      </w:r>
      <w:r w:rsidRPr="006E50DB">
        <w:rPr>
          <w:color w:val="auto"/>
        </w:rPr>
        <w:t>ose for the Hotel</w:t>
      </w:r>
      <w:bookmarkEnd w:id="3"/>
    </w:p>
    <w:p w14:paraId="2B6B44AE"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While the transition to renewable energy offers numerous benefits, it is not without its challenges. One major challenge is the initial capital investment required for renewable energy infrastructure. Installing solar panels, purchasing renewable energy through PPAs, or building energy-efficient systems may involve significant upfront costs. For example, the installation of solar panels alone can cost several hundred thousand dollars per property, depending on the scale of the installation and the location of the hotel (Nicolson &amp; Lane, 2020).</w:t>
      </w:r>
    </w:p>
    <w:p w14:paraId="4D369AAE"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 xml:space="preserve">Moreover, there are logistical challenges related to sourcing renewable energy, especially for hotels located in areas where access to renewable energy sources like solar or wind power is limited. In such cases, Hilton may have to invest in new energy </w:t>
      </w:r>
      <w:r w:rsidRPr="00165F90">
        <w:rPr>
          <w:rFonts w:ascii="Arial" w:hAnsi="Arial" w:cs="Arial"/>
          <w:sz w:val="24"/>
          <w:szCs w:val="24"/>
        </w:rPr>
        <w:lastRenderedPageBreak/>
        <w:t>infrastructure or rely on PPAs, which might not always be feasible or cost-effective in certain regions (Rainer, 2018).</w:t>
      </w:r>
    </w:p>
    <w:p w14:paraId="42D8EC63"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Another issue is the variability of renewable energy sources. Solar and wind power, for example, are dependent on weather conditions, which can lead to energy supply fluctuations. Hotels that rely solely on these sources might face difficulties in maintaining a consistent and reliable energy supply, especially during periods of low sunlight or wind (Bohdanowicz, 2020). To address this, Hilton may need to combine renewable energy with backup systems, such as battery storage, to ensure reliability, which can further increase costs.</w:t>
      </w:r>
    </w:p>
    <w:p w14:paraId="16F17061"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Finally, while renewable energy is a sustainable option, it requires ongoing maintenance and management. Solar panels need to be regularly cleaned and maintained to ensure optimal efficiency, and the hotel would need to manage relationships with energy providers if using PPAs. These added tasks could increase operational complexity and costs for Hilton.</w:t>
      </w:r>
    </w:p>
    <w:p w14:paraId="4770E79E" w14:textId="737A9EFC" w:rsidR="00165F90" w:rsidRPr="006E50DB" w:rsidRDefault="00165F90" w:rsidP="006E50DB">
      <w:pPr>
        <w:pStyle w:val="Heading1"/>
        <w:rPr>
          <w:color w:val="auto"/>
        </w:rPr>
      </w:pPr>
      <w:bookmarkStart w:id="4" w:name="_Toc182167061"/>
      <w:r w:rsidRPr="006E50DB">
        <w:rPr>
          <w:color w:val="auto"/>
        </w:rPr>
        <w:t>Cost Effective</w:t>
      </w:r>
      <w:bookmarkEnd w:id="4"/>
    </w:p>
    <w:p w14:paraId="517282F2"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The cost-effectiveness of transitioning to renewable energy depends on several factors, including the scale of the hotel’s operations, the availability of renewable energy in the region, and the type of renewable energy adopted. While the initial capital costs may be high, over time, renewable energy can lead to significant cost savings. For instance, after the installation of solar panels, Hilton can reduce or eliminate its reliance on grid electricity, lowering energy bills in the long run (Nicolson &amp; Lane, 2020). Additionally, as the cost of renewable energy technologies continues to decrease, it becomes more economically viable for hotels to adopt these solutions.</w:t>
      </w:r>
    </w:p>
    <w:p w14:paraId="311662FE"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Moreover, purchasing renewable energy through PPAs can provide price stability for Hilton. Unlike traditional energy contracts, which can fluctuate due to market conditions, PPAs lock in fixed energy prices, providing Hilton with predictable energy costs over a long-term period (Kim et al., 2020). This can help mitigate the risk of rising electricity prices and contribute to more stable operational costs.</w:t>
      </w:r>
    </w:p>
    <w:p w14:paraId="42E08563"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 xml:space="preserve">However, for Hilton to maximize the cost-effectiveness of this initiative, it is essential to carefully evaluate the location and available energy sources. In regions where renewable energy infrastructure is already well-developed, the transition may be more </w:t>
      </w:r>
      <w:r w:rsidRPr="00165F90">
        <w:rPr>
          <w:rFonts w:ascii="Arial" w:hAnsi="Arial" w:cs="Arial"/>
          <w:sz w:val="24"/>
          <w:szCs w:val="24"/>
        </w:rPr>
        <w:lastRenderedPageBreak/>
        <w:t>cost-effective, while in other areas, the need for additional investment may make the initiative less economically viable in the short term (Jones &amp; Lee, 2021).</w:t>
      </w:r>
    </w:p>
    <w:p w14:paraId="0EF5B8CA" w14:textId="34A9929E"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 xml:space="preserve">Transitioning to renewable energy is realistic for Hilton, but its feasibility will depend on various factors such as location, local infrastructure, and Hilton's long-term sustainability goals. For example, hotels in regions with abundant sunlight or strong winds are more likely to benefit from solar or wind energy installations, making the transition more feasible. Furthermore, Hilton’s size and global reach provide it with the ability to negotiate </w:t>
      </w:r>
      <w:r w:rsidR="005469F7" w:rsidRPr="00165F90">
        <w:rPr>
          <w:rFonts w:ascii="Arial" w:hAnsi="Arial" w:cs="Arial"/>
          <w:sz w:val="24"/>
          <w:szCs w:val="24"/>
        </w:rPr>
        <w:t>favourable</w:t>
      </w:r>
      <w:r w:rsidRPr="00165F90">
        <w:rPr>
          <w:rFonts w:ascii="Arial" w:hAnsi="Arial" w:cs="Arial"/>
          <w:sz w:val="24"/>
          <w:szCs w:val="24"/>
        </w:rPr>
        <w:t xml:space="preserve"> terms with renewable energy providers and invest in large-scale renewable energy infrastructure (Marriott International, 2020).</w:t>
      </w:r>
    </w:p>
    <w:p w14:paraId="03BECB9E"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Additionally, the increasing availability of green energy certifications, government incentives, and tax credits for renewable energy projects makes the transition more realistic. Many governments offer financial incentives for businesses that invest in renewable energy, which could offset some of the initial costs (Kim et al., 2020).</w:t>
      </w:r>
    </w:p>
    <w:p w14:paraId="499622A5" w14:textId="54BBDA45" w:rsidR="00165F90" w:rsidRPr="006E50DB" w:rsidRDefault="00165F90" w:rsidP="006E50DB">
      <w:pPr>
        <w:pStyle w:val="Heading1"/>
        <w:rPr>
          <w:color w:val="auto"/>
        </w:rPr>
      </w:pPr>
      <w:bookmarkStart w:id="5" w:name="_Toc182167062"/>
      <w:r w:rsidRPr="006E50DB">
        <w:rPr>
          <w:color w:val="auto"/>
        </w:rPr>
        <w:t>Benefit</w:t>
      </w:r>
      <w:r w:rsidR="00FF5CE3" w:rsidRPr="006E50DB">
        <w:rPr>
          <w:color w:val="auto"/>
        </w:rPr>
        <w:t>ing</w:t>
      </w:r>
      <w:r w:rsidRPr="006E50DB">
        <w:rPr>
          <w:color w:val="auto"/>
        </w:rPr>
        <w:t xml:space="preserve"> the Environment</w:t>
      </w:r>
      <w:bookmarkEnd w:id="5"/>
    </w:p>
    <w:p w14:paraId="1FBC0144"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The transition to renewable energy sources will have a significant positive impact on the environment. By switching to renewable energy, Hilton will reduce its reliance on fossil fuels, which are the primary source of greenhouse gas emissions. The adoption of renewable energy directly contributes to lowering Hilton’s carbon footprint, helping to mitigate climate change (UNFCCC, 2020). Additionally, renewable energy technologies such as solar and wind power produce little to no pollution, further reducing the environmental impact of Hilton’s operations.</w:t>
      </w:r>
    </w:p>
    <w:p w14:paraId="0A8941B5" w14:textId="77777777" w:rsidR="00165F90" w:rsidRPr="00165F90" w:rsidRDefault="00165F90" w:rsidP="008A383B">
      <w:pPr>
        <w:spacing w:line="360" w:lineRule="auto"/>
        <w:jc w:val="both"/>
        <w:rPr>
          <w:rFonts w:ascii="Arial" w:hAnsi="Arial" w:cs="Arial"/>
          <w:sz w:val="24"/>
          <w:szCs w:val="24"/>
        </w:rPr>
      </w:pPr>
      <w:r w:rsidRPr="00165F90">
        <w:rPr>
          <w:rFonts w:ascii="Arial" w:hAnsi="Arial" w:cs="Arial"/>
          <w:sz w:val="24"/>
          <w:szCs w:val="24"/>
        </w:rPr>
        <w:t>Moreover, renewable energy is a key element in achieving global sustainability targets, such as the United Nations Sustainable Development Goals (SDGs), particularly SDG 7 (Affordable and Clean Energy) and SDG 13 (Climate Action) (UN, 2020). By embracing renewable energy, Hilton not only enhances its environmental sustainability but also supports broader global efforts to combat climate change and promote clean energy solutions.</w:t>
      </w:r>
    </w:p>
    <w:p w14:paraId="357941BA" w14:textId="77777777" w:rsidR="008F580F" w:rsidRPr="006E50DB" w:rsidRDefault="001B6555" w:rsidP="006E50DB">
      <w:pPr>
        <w:pStyle w:val="Heading1"/>
        <w:rPr>
          <w:color w:val="auto"/>
        </w:rPr>
      </w:pPr>
      <w:bookmarkStart w:id="6" w:name="_Toc182167063"/>
      <w:r w:rsidRPr="006E50DB">
        <w:rPr>
          <w:color w:val="auto"/>
        </w:rPr>
        <w:t>Conclusion</w:t>
      </w:r>
      <w:bookmarkEnd w:id="6"/>
    </w:p>
    <w:p w14:paraId="61EDEB22" w14:textId="2798C64E" w:rsidR="008F580F" w:rsidRPr="008A383B" w:rsidRDefault="00FF5CE3" w:rsidP="008A383B">
      <w:pPr>
        <w:spacing w:line="360" w:lineRule="auto"/>
        <w:jc w:val="both"/>
        <w:rPr>
          <w:rFonts w:ascii="Arial" w:hAnsi="Arial" w:cs="Arial"/>
          <w:sz w:val="24"/>
          <w:szCs w:val="24"/>
        </w:rPr>
      </w:pPr>
      <w:r w:rsidRPr="008A383B">
        <w:rPr>
          <w:rFonts w:ascii="Arial" w:hAnsi="Arial" w:cs="Arial"/>
          <w:sz w:val="24"/>
          <w:szCs w:val="24"/>
        </w:rPr>
        <w:t xml:space="preserve">In conclusion, this report emphasizes the advantages and challenges of Hilton </w:t>
      </w:r>
      <w:r w:rsidR="005469F7" w:rsidRPr="008A383B">
        <w:rPr>
          <w:rFonts w:ascii="Arial" w:hAnsi="Arial" w:cs="Arial"/>
          <w:sz w:val="24"/>
          <w:szCs w:val="24"/>
        </w:rPr>
        <w:t>World wide’s</w:t>
      </w:r>
      <w:r w:rsidRPr="008A383B">
        <w:rPr>
          <w:rFonts w:ascii="Arial" w:hAnsi="Arial" w:cs="Arial"/>
          <w:sz w:val="24"/>
          <w:szCs w:val="24"/>
        </w:rPr>
        <w:t xml:space="preserve"> shift to renewable energy as a core greener practice initiative. By embracing solar, wind, and other renewable energy sources, Hilton can significantly lower its </w:t>
      </w:r>
      <w:r w:rsidRPr="008A383B">
        <w:rPr>
          <w:rFonts w:ascii="Arial" w:hAnsi="Arial" w:cs="Arial"/>
          <w:sz w:val="24"/>
          <w:szCs w:val="24"/>
        </w:rPr>
        <w:lastRenderedPageBreak/>
        <w:t>carbon footprint, enhance energy efficiency, and strengthen its sustainability reputation. Despite the initial investment and logistical challenges, this transition offers long-term financial benefits, operational stability, and a competitive edge in sustainable hospitality. Overall, adopting renewable energy is a practical and cost-effective approach that will help Hilton achieve its sustainability objectives while supporting global efforts to mitigate climate change. By making this transition, Hilton will not only reduce its environmental impact but also solidify its position as a leader in the hospitality industry's move toward a more sustainable future.</w:t>
      </w:r>
    </w:p>
    <w:p w14:paraId="60DAE0E4" w14:textId="702996FF" w:rsidR="001B6555" w:rsidRPr="006E50DB" w:rsidRDefault="001B6555" w:rsidP="006E50DB">
      <w:pPr>
        <w:pStyle w:val="Heading1"/>
        <w:rPr>
          <w:color w:val="auto"/>
        </w:rPr>
      </w:pPr>
      <w:bookmarkStart w:id="7" w:name="_Toc182167064"/>
      <w:r w:rsidRPr="006E50DB">
        <w:rPr>
          <w:color w:val="auto"/>
        </w:rPr>
        <w:t>Recommendations</w:t>
      </w:r>
      <w:bookmarkEnd w:id="7"/>
    </w:p>
    <w:p w14:paraId="396B994D" w14:textId="3CAD01D0" w:rsidR="003A33FF" w:rsidRPr="003A33FF" w:rsidRDefault="003A33FF" w:rsidP="008A383B">
      <w:pPr>
        <w:spacing w:line="360" w:lineRule="auto"/>
        <w:jc w:val="both"/>
        <w:rPr>
          <w:rFonts w:ascii="Arial" w:hAnsi="Arial" w:cs="Arial"/>
          <w:sz w:val="24"/>
          <w:szCs w:val="24"/>
        </w:rPr>
      </w:pPr>
      <w:r w:rsidRPr="003A33FF">
        <w:rPr>
          <w:rFonts w:ascii="Arial" w:hAnsi="Arial" w:cs="Arial"/>
          <w:sz w:val="24"/>
          <w:szCs w:val="24"/>
        </w:rPr>
        <w:t xml:space="preserve">Based on the analysis of Hilton </w:t>
      </w:r>
      <w:r w:rsidR="005469F7" w:rsidRPr="003A33FF">
        <w:rPr>
          <w:rFonts w:ascii="Arial" w:hAnsi="Arial" w:cs="Arial"/>
          <w:sz w:val="24"/>
          <w:szCs w:val="24"/>
        </w:rPr>
        <w:t>World wide’s</w:t>
      </w:r>
      <w:r w:rsidRPr="003A33FF">
        <w:rPr>
          <w:rFonts w:ascii="Arial" w:hAnsi="Arial" w:cs="Arial"/>
          <w:sz w:val="24"/>
          <w:szCs w:val="24"/>
        </w:rPr>
        <w:t xml:space="preserve"> potential transition to renewable energy, it is recommended that Hilton move forward with implementing renewable energy solutions across its global portfolio. This transition will provide significant environmental, operational, and financial benefits, helping Hilton to achieve its sustainability goals and meet the increasing demand for eco-friendly practices within the hospitality industry (Jones &amp; Lee, 2021).</w:t>
      </w:r>
    </w:p>
    <w:p w14:paraId="6FE4EADF" w14:textId="3E2EE8BE" w:rsidR="003A33FF" w:rsidRPr="003A33FF" w:rsidRDefault="003A33FF" w:rsidP="008A383B">
      <w:pPr>
        <w:spacing w:line="360" w:lineRule="auto"/>
        <w:jc w:val="both"/>
        <w:rPr>
          <w:rFonts w:ascii="Arial" w:hAnsi="Arial" w:cs="Arial"/>
          <w:sz w:val="24"/>
          <w:szCs w:val="24"/>
        </w:rPr>
      </w:pPr>
      <w:r w:rsidRPr="003A33FF">
        <w:rPr>
          <w:rFonts w:ascii="Arial" w:hAnsi="Arial" w:cs="Arial"/>
          <w:sz w:val="24"/>
          <w:szCs w:val="24"/>
        </w:rPr>
        <w:t xml:space="preserve">To maximize the effectiveness of this initiative, Hilton should prioritize the installation of solar panels in properties where geographic and environmental conditions are </w:t>
      </w:r>
      <w:r w:rsidR="005469F7" w:rsidRPr="003A33FF">
        <w:rPr>
          <w:rFonts w:ascii="Arial" w:hAnsi="Arial" w:cs="Arial"/>
          <w:sz w:val="24"/>
          <w:szCs w:val="24"/>
        </w:rPr>
        <w:t>favourable</w:t>
      </w:r>
      <w:r w:rsidRPr="003A33FF">
        <w:rPr>
          <w:rFonts w:ascii="Arial" w:hAnsi="Arial" w:cs="Arial"/>
          <w:sz w:val="24"/>
          <w:szCs w:val="24"/>
        </w:rPr>
        <w:t>, such as locations with high sunlight exposure. In regions where solar power is less feasible, Hilton should consider entering into power purchase agreements (PPAs) with local renewable energy providers to ensure a consistent and reliable energy supply from renewable sources (Kim et al., 2020). These steps will significantly reduce Hilton's reliance on non-renewable energy and help lower its overall carbon footprint.</w:t>
      </w:r>
    </w:p>
    <w:p w14:paraId="3C136D4A" w14:textId="77777777" w:rsidR="003A33FF" w:rsidRPr="003A33FF" w:rsidRDefault="003A33FF" w:rsidP="008A383B">
      <w:pPr>
        <w:spacing w:line="360" w:lineRule="auto"/>
        <w:jc w:val="both"/>
        <w:rPr>
          <w:rFonts w:ascii="Arial" w:hAnsi="Arial" w:cs="Arial"/>
          <w:sz w:val="24"/>
          <w:szCs w:val="24"/>
        </w:rPr>
      </w:pPr>
      <w:r w:rsidRPr="003A33FF">
        <w:rPr>
          <w:rFonts w:ascii="Arial" w:hAnsi="Arial" w:cs="Arial"/>
          <w:sz w:val="24"/>
          <w:szCs w:val="24"/>
        </w:rPr>
        <w:t>Furthermore, Hilton should address potential logistical and cost challenges by securing available government incentives and green energy credits, which can help offset initial investment costs (Bohdanowicz, 2020). In addition, it is crucial for Hilton to incorporate energy storage solutions to mitigate the variability of renewable energy sources, ensuring continuous operations even during periods of low energy generation (Nicolson &amp; Lane, 2020).</w:t>
      </w:r>
    </w:p>
    <w:p w14:paraId="6AC1C3D2" w14:textId="26823BDD" w:rsidR="003A33FF" w:rsidRPr="008A383B" w:rsidRDefault="003A33FF" w:rsidP="008A383B">
      <w:pPr>
        <w:spacing w:line="360" w:lineRule="auto"/>
        <w:jc w:val="both"/>
        <w:rPr>
          <w:rFonts w:ascii="Arial" w:hAnsi="Arial" w:cs="Arial"/>
          <w:sz w:val="24"/>
          <w:szCs w:val="24"/>
        </w:rPr>
      </w:pPr>
      <w:r w:rsidRPr="003A33FF">
        <w:rPr>
          <w:rFonts w:ascii="Arial" w:hAnsi="Arial" w:cs="Arial"/>
          <w:sz w:val="24"/>
          <w:szCs w:val="24"/>
        </w:rPr>
        <w:t xml:space="preserve">By adopting renewable energy, Hilton will not only improve its environmental performance but also strengthen its brand image as a leader in sustainable hospitality, attracting eco-conscious guests and enhancing its market competitiveness (Marriott </w:t>
      </w:r>
      <w:r w:rsidRPr="003A33FF">
        <w:rPr>
          <w:rFonts w:ascii="Arial" w:hAnsi="Arial" w:cs="Arial"/>
          <w:sz w:val="24"/>
          <w:szCs w:val="24"/>
        </w:rPr>
        <w:lastRenderedPageBreak/>
        <w:t>International, 2020). This initiative aligns with Hilton’s long-term sustainability goals and will contribute to broader global efforts to combat climate change. Therefore, it is highly recommended that Hilton prioritizes the transition to renewable energy as a cornerstone of its sustainability strategy.</w:t>
      </w:r>
    </w:p>
    <w:p w14:paraId="5560D69F" w14:textId="77777777" w:rsidR="008F580F" w:rsidRDefault="008F580F"/>
    <w:p w14:paraId="13DB91C3" w14:textId="77777777" w:rsidR="008A383B" w:rsidRDefault="008A383B"/>
    <w:p w14:paraId="166560B7" w14:textId="77777777" w:rsidR="008A383B" w:rsidRDefault="008A383B"/>
    <w:p w14:paraId="7E5DC310" w14:textId="77777777" w:rsidR="008A383B" w:rsidRDefault="008A383B"/>
    <w:p w14:paraId="27DA0321" w14:textId="77777777" w:rsidR="008A383B" w:rsidRDefault="008A383B"/>
    <w:p w14:paraId="101D3135" w14:textId="77777777" w:rsidR="008A383B" w:rsidRDefault="008A383B"/>
    <w:p w14:paraId="4785C8AC" w14:textId="77777777" w:rsidR="008A383B" w:rsidRDefault="008A383B"/>
    <w:p w14:paraId="5757380D" w14:textId="77777777" w:rsidR="008A383B" w:rsidRDefault="008A383B"/>
    <w:p w14:paraId="607E06EA" w14:textId="77777777" w:rsidR="008A383B" w:rsidRDefault="008A383B"/>
    <w:p w14:paraId="63E51E22" w14:textId="77777777" w:rsidR="008A383B" w:rsidRDefault="008A383B"/>
    <w:p w14:paraId="173B6BAD" w14:textId="77777777" w:rsidR="008A383B" w:rsidRDefault="008A383B"/>
    <w:p w14:paraId="264210E9" w14:textId="77777777" w:rsidR="008A383B" w:rsidRDefault="008A383B"/>
    <w:p w14:paraId="4F0FCF72" w14:textId="77777777" w:rsidR="008A383B" w:rsidRDefault="008A383B"/>
    <w:p w14:paraId="19870870" w14:textId="77777777" w:rsidR="008A383B" w:rsidRDefault="008A383B"/>
    <w:p w14:paraId="0D294260" w14:textId="77777777" w:rsidR="008A383B" w:rsidRDefault="008A383B"/>
    <w:p w14:paraId="042B8929" w14:textId="77777777" w:rsidR="008A383B" w:rsidRDefault="008A383B"/>
    <w:p w14:paraId="6079559B" w14:textId="77777777" w:rsidR="008A383B" w:rsidRDefault="008A383B"/>
    <w:p w14:paraId="0FD89834" w14:textId="77777777" w:rsidR="008A383B" w:rsidRDefault="008A383B"/>
    <w:p w14:paraId="3E56FC82" w14:textId="77777777" w:rsidR="008A383B" w:rsidRDefault="008A383B"/>
    <w:p w14:paraId="2B1488D2" w14:textId="77777777" w:rsidR="00F75B23" w:rsidRDefault="00F75B23"/>
    <w:p w14:paraId="664B608E" w14:textId="77777777" w:rsidR="00F75B23" w:rsidRDefault="00F75B23"/>
    <w:p w14:paraId="23348DB2" w14:textId="77777777" w:rsidR="00F75B23" w:rsidRDefault="00F75B23"/>
    <w:p w14:paraId="7239E109" w14:textId="77777777" w:rsidR="008A383B" w:rsidRDefault="008A383B"/>
    <w:p w14:paraId="58E09FE0" w14:textId="77777777" w:rsidR="008A383B" w:rsidRDefault="008A383B"/>
    <w:p w14:paraId="1DECE1A5" w14:textId="77777777" w:rsidR="008A383B" w:rsidRDefault="008A383B"/>
    <w:p w14:paraId="47F27B25" w14:textId="0FAE9308" w:rsidR="001B6555" w:rsidRPr="006E50DB" w:rsidRDefault="001B6555" w:rsidP="006E50DB">
      <w:pPr>
        <w:pStyle w:val="Heading1"/>
        <w:rPr>
          <w:color w:val="auto"/>
        </w:rPr>
      </w:pPr>
      <w:bookmarkStart w:id="8" w:name="_Toc182167065"/>
      <w:r w:rsidRPr="006E50DB">
        <w:rPr>
          <w:color w:val="auto"/>
        </w:rPr>
        <w:lastRenderedPageBreak/>
        <w:t>Reference</w:t>
      </w:r>
      <w:bookmarkEnd w:id="8"/>
    </w:p>
    <w:p w14:paraId="15604116" w14:textId="6327F05C"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 xml:space="preserve">Accor, 2020. Accor sets out its commitment to achieving net-zero carbon emissions by 2050. Accor Group. Available at: https://group.accor.com </w:t>
      </w:r>
      <w:r w:rsidR="0065545F">
        <w:rPr>
          <w:rFonts w:ascii="Arial" w:hAnsi="Arial" w:cs="Arial"/>
          <w:sz w:val="24"/>
          <w:szCs w:val="24"/>
        </w:rPr>
        <w:t>– accessed 04/11/24</w:t>
      </w:r>
      <w:r w:rsidRPr="00746E12">
        <w:rPr>
          <w:rFonts w:ascii="Arial" w:hAnsi="Arial" w:cs="Arial"/>
          <w:sz w:val="24"/>
          <w:szCs w:val="24"/>
        </w:rPr>
        <w:t>.</w:t>
      </w:r>
    </w:p>
    <w:p w14:paraId="28AD9C52" w14:textId="244B668F"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Accor. (2020). Sustainability Report 2020. Retrieved from [Accor website].</w:t>
      </w:r>
      <w:r w:rsidRPr="008A383B">
        <w:rPr>
          <w:rFonts w:ascii="Arial" w:hAnsi="Arial" w:cs="Arial"/>
          <w:sz w:val="24"/>
          <w:szCs w:val="24"/>
        </w:rPr>
        <w:t xml:space="preserve"> </w:t>
      </w:r>
      <w:r w:rsidRPr="008A383B">
        <w:rPr>
          <w:rFonts w:ascii="Arial" w:hAnsi="Arial" w:cs="Arial"/>
          <w:sz w:val="24"/>
          <w:szCs w:val="24"/>
        </w:rPr>
        <w:t>– accessed 05/11/24</w:t>
      </w:r>
      <w:r w:rsidRPr="008A383B">
        <w:rPr>
          <w:rFonts w:ascii="Arial" w:hAnsi="Arial" w:cs="Arial"/>
          <w:sz w:val="24"/>
          <w:szCs w:val="24"/>
        </w:rPr>
        <w:br/>
        <w:t>Bohdanowicz, J. (2020). Sustainable Development in the Hospitality Industry:</w:t>
      </w:r>
      <w:r w:rsidRPr="008A383B">
        <w:rPr>
          <w:rFonts w:ascii="Arial" w:hAnsi="Arial" w:cs="Arial"/>
          <w:sz w:val="24"/>
          <w:szCs w:val="24"/>
        </w:rPr>
        <w:t xml:space="preserve"> </w:t>
      </w:r>
      <w:r w:rsidR="005469F7" w:rsidRPr="008A383B">
        <w:rPr>
          <w:rFonts w:ascii="Arial" w:hAnsi="Arial" w:cs="Arial"/>
          <w:sz w:val="24"/>
          <w:szCs w:val="24"/>
        </w:rPr>
        <w:t>Analysing</w:t>
      </w:r>
      <w:r w:rsidRPr="008A383B">
        <w:rPr>
          <w:rFonts w:ascii="Arial" w:hAnsi="Arial" w:cs="Arial"/>
          <w:sz w:val="24"/>
          <w:szCs w:val="24"/>
        </w:rPr>
        <w:t xml:space="preserve"> Current Practices and Future Trends. Springer</w:t>
      </w:r>
    </w:p>
    <w:p w14:paraId="2752B987"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Bohdanowicz, J., 2020. Sustainable tourism and eco-friendly practices: Exploring the future of green accommodations. Tourism and Hospitality Sustainability Review, 12(4), pp. 45-59.</w:t>
      </w:r>
    </w:p>
    <w:p w14:paraId="2BA42B50"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Chou, T., &amp; Lin, Y., 2022. Green hotel initiatives and their impact on guest loyalty: A systematic review. Sustainable Tourism Studies, 28(1), pp. 99-115.</w:t>
      </w:r>
    </w:p>
    <w:p w14:paraId="541E698A"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C</w:t>
      </w:r>
      <w:r w:rsidRPr="008A383B">
        <w:rPr>
          <w:rFonts w:ascii="Arial" w:hAnsi="Arial" w:cs="Arial"/>
          <w:sz w:val="24"/>
          <w:szCs w:val="24"/>
        </w:rPr>
        <w:t>limate Change and Renewable Energy. Retrieved from [UNFCCC website].</w:t>
      </w:r>
      <w:r w:rsidRPr="008A383B">
        <w:rPr>
          <w:rFonts w:ascii="Arial" w:hAnsi="Arial" w:cs="Arial"/>
          <w:sz w:val="24"/>
          <w:szCs w:val="24"/>
        </w:rPr>
        <w:t xml:space="preserve"> </w:t>
      </w:r>
      <w:r w:rsidRPr="008A383B">
        <w:rPr>
          <w:rFonts w:ascii="Arial" w:hAnsi="Arial" w:cs="Arial"/>
          <w:sz w:val="24"/>
          <w:szCs w:val="24"/>
        </w:rPr>
        <w:t>– accessed 05/11/24</w:t>
      </w:r>
    </w:p>
    <w:p w14:paraId="2DC3A5EE" w14:textId="0BE553C2"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 xml:space="preserve">International Hotel Group (IHG), 2021. Green Engage program: Sustainable energy practices. IHG. Available at: </w:t>
      </w:r>
      <w:hyperlink r:id="rId8" w:tgtFrame="_new" w:history="1">
        <w:r w:rsidRPr="00746E12">
          <w:rPr>
            <w:rStyle w:val="Hyperlink"/>
            <w:rFonts w:ascii="Arial" w:hAnsi="Arial" w:cs="Arial"/>
            <w:sz w:val="24"/>
            <w:szCs w:val="24"/>
          </w:rPr>
          <w:t>https://www.ihg.com</w:t>
        </w:r>
      </w:hyperlink>
      <w:r w:rsidRPr="00746E12">
        <w:rPr>
          <w:rFonts w:ascii="Arial" w:hAnsi="Arial" w:cs="Arial"/>
          <w:sz w:val="24"/>
          <w:szCs w:val="24"/>
        </w:rPr>
        <w:t xml:space="preserve"> </w:t>
      </w:r>
      <w:r w:rsidR="0065545F">
        <w:rPr>
          <w:rFonts w:ascii="Arial" w:hAnsi="Arial" w:cs="Arial"/>
          <w:sz w:val="24"/>
          <w:szCs w:val="24"/>
        </w:rPr>
        <w:t>– accessed 05/11/24</w:t>
      </w:r>
    </w:p>
    <w:p w14:paraId="45C16A49"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International Hotel Group (IHG). (2021). IHG Green Engage Program. Retrieved from [IHG website].</w:t>
      </w:r>
      <w:r w:rsidRPr="008A383B">
        <w:rPr>
          <w:rFonts w:ascii="Arial" w:hAnsi="Arial" w:cs="Arial"/>
          <w:sz w:val="24"/>
          <w:szCs w:val="24"/>
        </w:rPr>
        <w:t xml:space="preserve"> </w:t>
      </w:r>
      <w:r w:rsidRPr="008A383B">
        <w:rPr>
          <w:rFonts w:ascii="Arial" w:hAnsi="Arial" w:cs="Arial"/>
          <w:sz w:val="24"/>
          <w:szCs w:val="24"/>
        </w:rPr>
        <w:t>– accessed 05/11/24</w:t>
      </w:r>
    </w:p>
    <w:p w14:paraId="28174FA8"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Jones, A. and Lee, M., 2021. Cost implications of energy-saving initiatives in hotels. Journal of Hospitality Management, 25(2), pp. 113-124.</w:t>
      </w:r>
    </w:p>
    <w:p w14:paraId="2157B168"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Jones, A., 2021. Sustainable hospitality: Strategies for a greener future. Journal of Sustainable Tourism, 29(3), pp. 335-348.</w:t>
      </w:r>
    </w:p>
    <w:p w14:paraId="3C3DA04C"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Jones, S. (2021). Sustainable Tourism Practices. Routledge.</w:t>
      </w:r>
    </w:p>
    <w:p w14:paraId="233B6252"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Jones, S., &amp; Lee, J. (2021). Sustainable Hospitality Practices: A Comprehensive Guide. Routledge.</w:t>
      </w:r>
    </w:p>
    <w:p w14:paraId="3837AE0B"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Kim, S., Lee, H. and Yoon, S., 2020. The impact of energy efficiency on hotel operational performance. Journal of Environmental Management, 123(1), pp. 35-46.</w:t>
      </w:r>
    </w:p>
    <w:p w14:paraId="4B1CB60F"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Kim, Y., Han, H., &amp; Kim, W. (2020). Environmental Sustainability in Hotels: Analysis of Energy Use and Water Efficiency. Hospitality Management, 45(2), 45-58.</w:t>
      </w:r>
    </w:p>
    <w:p w14:paraId="27814407"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lastRenderedPageBreak/>
        <w:t>Lee, J., Hsu, L., &amp; Lee, S. (2020). Sustainability in the Hospitality Industry: A Case Study Approach. Springer.</w:t>
      </w:r>
    </w:p>
    <w:p w14:paraId="251B8D92" w14:textId="2AAFE92C"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 xml:space="preserve">Marriott International, 2020. Marriott commits to 100% renewable energy by 2025. Marriott News. Available at: </w:t>
      </w:r>
      <w:hyperlink r:id="rId9" w:tgtFrame="_new" w:history="1">
        <w:r w:rsidRPr="00746E12">
          <w:rPr>
            <w:rStyle w:val="Hyperlink"/>
            <w:rFonts w:ascii="Arial" w:hAnsi="Arial" w:cs="Arial"/>
            <w:sz w:val="24"/>
            <w:szCs w:val="24"/>
          </w:rPr>
          <w:t>https://www.marriott.com</w:t>
        </w:r>
      </w:hyperlink>
      <w:r w:rsidRPr="00746E12">
        <w:rPr>
          <w:rFonts w:ascii="Arial" w:hAnsi="Arial" w:cs="Arial"/>
          <w:sz w:val="24"/>
          <w:szCs w:val="24"/>
        </w:rPr>
        <w:t xml:space="preserve"> </w:t>
      </w:r>
      <w:r w:rsidR="0065545F" w:rsidRPr="008A383B">
        <w:rPr>
          <w:rFonts w:ascii="Arial" w:hAnsi="Arial" w:cs="Arial"/>
          <w:sz w:val="24"/>
          <w:szCs w:val="24"/>
        </w:rPr>
        <w:t>– accessed 0</w:t>
      </w:r>
      <w:r w:rsidR="0065545F">
        <w:rPr>
          <w:rFonts w:ascii="Arial" w:hAnsi="Arial" w:cs="Arial"/>
          <w:sz w:val="24"/>
          <w:szCs w:val="24"/>
        </w:rPr>
        <w:t>8</w:t>
      </w:r>
      <w:r w:rsidR="0065545F" w:rsidRPr="008A383B">
        <w:rPr>
          <w:rFonts w:ascii="Arial" w:hAnsi="Arial" w:cs="Arial"/>
          <w:sz w:val="24"/>
          <w:szCs w:val="24"/>
        </w:rPr>
        <w:t>/11/24</w:t>
      </w:r>
    </w:p>
    <w:p w14:paraId="2D12E964"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Marriott International. (2020). Marriott Sustainability Report. Retrieved from [Marriott website].</w:t>
      </w:r>
      <w:r w:rsidRPr="008A383B">
        <w:rPr>
          <w:rFonts w:ascii="Arial" w:hAnsi="Arial" w:cs="Arial"/>
          <w:sz w:val="24"/>
          <w:szCs w:val="24"/>
        </w:rPr>
        <w:t xml:space="preserve"> </w:t>
      </w:r>
      <w:r w:rsidRPr="008A383B">
        <w:rPr>
          <w:rFonts w:ascii="Arial" w:hAnsi="Arial" w:cs="Arial"/>
          <w:sz w:val="24"/>
          <w:szCs w:val="24"/>
        </w:rPr>
        <w:t>– accessed 05/11/24</w:t>
      </w:r>
    </w:p>
    <w:p w14:paraId="49906284"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Nicolson, A., &amp; Lane, S. (2020). Renewable Energy in the Hospitality Sector: A Financial Overview. Journal of Sustainable Tourism, 15(3), 254-267.</w:t>
      </w:r>
    </w:p>
    <w:p w14:paraId="43203CD7"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Nicolson, C. and Lane, B., 2020. Assessing the financial feasibility of renewable energy in the hospitality sector. Sustainable Business Journal, 11(3), pp. 89-102.</w:t>
      </w:r>
    </w:p>
    <w:p w14:paraId="46CAEA9B"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Rainer, G., 2018. Power purchase agreements: An energy solution for sustainable hotels. Energy Management and Sustainability, 30(1), pp. 22-36.</w:t>
      </w:r>
    </w:p>
    <w:p w14:paraId="719728BA" w14:textId="77777777" w:rsidR="008A383B" w:rsidRPr="008A383B" w:rsidRDefault="008A383B" w:rsidP="008A383B">
      <w:pPr>
        <w:spacing w:line="360" w:lineRule="auto"/>
        <w:jc w:val="both"/>
        <w:rPr>
          <w:rFonts w:ascii="Arial" w:hAnsi="Arial" w:cs="Arial"/>
          <w:sz w:val="24"/>
          <w:szCs w:val="24"/>
        </w:rPr>
      </w:pPr>
      <w:r w:rsidRPr="008A383B">
        <w:rPr>
          <w:rFonts w:ascii="Arial" w:hAnsi="Arial" w:cs="Arial"/>
          <w:sz w:val="24"/>
          <w:szCs w:val="24"/>
        </w:rPr>
        <w:t>Rainer, L. (2018). Renewable Energy in Hospitality: Opportunities and Challenges. International Journal of Sustainable Energy, 43(5), 513-528.</w:t>
      </w:r>
    </w:p>
    <w:p w14:paraId="4F026167"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Tzschentke, N., Kirk, D. and Lynch, P., 2020. Sustainable hotel practices: A review of the current literature and a conceptual framework. International Journal of Hospitality Management, 49, pp. 142-151.</w:t>
      </w:r>
    </w:p>
    <w:p w14:paraId="295F93BF" w14:textId="7221B4B4"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 xml:space="preserve">UN, 2020. United Nations Sustainable Development Goals (SDGs). United Nations. Available at: </w:t>
      </w:r>
      <w:hyperlink r:id="rId10" w:tgtFrame="_new" w:history="1">
        <w:r w:rsidRPr="00746E12">
          <w:rPr>
            <w:rStyle w:val="Hyperlink"/>
            <w:rFonts w:ascii="Arial" w:hAnsi="Arial" w:cs="Arial"/>
            <w:color w:val="auto"/>
            <w:sz w:val="24"/>
            <w:szCs w:val="24"/>
          </w:rPr>
          <w:t>https://sdgs.un.org</w:t>
        </w:r>
      </w:hyperlink>
      <w:r w:rsidRPr="00746E12">
        <w:rPr>
          <w:rFonts w:ascii="Arial" w:hAnsi="Arial" w:cs="Arial"/>
          <w:sz w:val="24"/>
          <w:szCs w:val="24"/>
        </w:rPr>
        <w:t xml:space="preserve"> </w:t>
      </w:r>
      <w:r w:rsidR="0065545F" w:rsidRPr="00A418AE">
        <w:rPr>
          <w:rFonts w:ascii="Arial" w:hAnsi="Arial" w:cs="Arial"/>
          <w:sz w:val="24"/>
          <w:szCs w:val="24"/>
        </w:rPr>
        <w:t xml:space="preserve">– accessed </w:t>
      </w:r>
      <w:r w:rsidR="0065545F" w:rsidRPr="00A418AE">
        <w:rPr>
          <w:rFonts w:ascii="Arial" w:hAnsi="Arial" w:cs="Arial"/>
          <w:sz w:val="24"/>
          <w:szCs w:val="24"/>
        </w:rPr>
        <w:t>04</w:t>
      </w:r>
      <w:r w:rsidR="0065545F" w:rsidRPr="00A418AE">
        <w:rPr>
          <w:rFonts w:ascii="Arial" w:hAnsi="Arial" w:cs="Arial"/>
          <w:sz w:val="24"/>
          <w:szCs w:val="24"/>
        </w:rPr>
        <w:t>/11/24</w:t>
      </w:r>
    </w:p>
    <w:p w14:paraId="52B3CC5E" w14:textId="6A801C73"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 xml:space="preserve">UNFCCC, 2020. The Paris Agreement and its role in climate change mitigation. United Nations Framework Convention on Climate Change. Available at: </w:t>
      </w:r>
      <w:hyperlink r:id="rId11" w:tgtFrame="_new" w:history="1">
        <w:r w:rsidRPr="00746E12">
          <w:rPr>
            <w:rStyle w:val="Hyperlink"/>
            <w:rFonts w:ascii="Arial" w:hAnsi="Arial" w:cs="Arial"/>
            <w:color w:val="auto"/>
            <w:sz w:val="24"/>
            <w:szCs w:val="24"/>
          </w:rPr>
          <w:t>https://unfccc.int</w:t>
        </w:r>
      </w:hyperlink>
      <w:r w:rsidRPr="00746E12">
        <w:rPr>
          <w:rFonts w:ascii="Arial" w:hAnsi="Arial" w:cs="Arial"/>
          <w:sz w:val="24"/>
          <w:szCs w:val="24"/>
        </w:rPr>
        <w:t xml:space="preserve"> </w:t>
      </w:r>
      <w:r w:rsidR="0065545F" w:rsidRPr="00A418AE">
        <w:rPr>
          <w:rFonts w:ascii="Arial" w:hAnsi="Arial" w:cs="Arial"/>
          <w:sz w:val="24"/>
          <w:szCs w:val="24"/>
        </w:rPr>
        <w:t>– accessed 0</w:t>
      </w:r>
      <w:r w:rsidR="0065545F" w:rsidRPr="00A418AE">
        <w:rPr>
          <w:rFonts w:ascii="Arial" w:hAnsi="Arial" w:cs="Arial"/>
          <w:sz w:val="24"/>
          <w:szCs w:val="24"/>
        </w:rPr>
        <w:t>4</w:t>
      </w:r>
      <w:r w:rsidR="0065545F" w:rsidRPr="00A418AE">
        <w:rPr>
          <w:rFonts w:ascii="Arial" w:hAnsi="Arial" w:cs="Arial"/>
          <w:sz w:val="24"/>
          <w:szCs w:val="24"/>
        </w:rPr>
        <w:t>/11/24</w:t>
      </w:r>
    </w:p>
    <w:p w14:paraId="56B42503" w14:textId="77777777" w:rsidR="008A383B" w:rsidRPr="00A418AE" w:rsidRDefault="008A383B" w:rsidP="008A383B">
      <w:pPr>
        <w:spacing w:line="360" w:lineRule="auto"/>
        <w:jc w:val="both"/>
        <w:rPr>
          <w:rFonts w:ascii="Arial" w:hAnsi="Arial" w:cs="Arial"/>
          <w:sz w:val="24"/>
          <w:szCs w:val="24"/>
        </w:rPr>
      </w:pPr>
      <w:r w:rsidRPr="00A418AE">
        <w:rPr>
          <w:rFonts w:ascii="Arial" w:hAnsi="Arial" w:cs="Arial"/>
          <w:sz w:val="24"/>
          <w:szCs w:val="24"/>
        </w:rPr>
        <w:t xml:space="preserve">United Nations Framework Convention on Climate Change (UNFCCC). (2020). </w:t>
      </w:r>
    </w:p>
    <w:p w14:paraId="57FCCF63" w14:textId="77777777" w:rsidR="008A383B" w:rsidRPr="00A418AE" w:rsidRDefault="008A383B" w:rsidP="008A383B">
      <w:pPr>
        <w:spacing w:line="360" w:lineRule="auto"/>
        <w:jc w:val="both"/>
        <w:rPr>
          <w:rFonts w:ascii="Arial" w:hAnsi="Arial" w:cs="Arial"/>
          <w:sz w:val="24"/>
          <w:szCs w:val="24"/>
        </w:rPr>
      </w:pPr>
      <w:r w:rsidRPr="00A418AE">
        <w:rPr>
          <w:rFonts w:ascii="Arial" w:hAnsi="Arial" w:cs="Arial"/>
          <w:sz w:val="24"/>
          <w:szCs w:val="24"/>
        </w:rPr>
        <w:t>United Nations World Tourism Organization (UNWTO). (2020). Tourism and Climate Change: A Global Overview. UNWTO.</w:t>
      </w:r>
    </w:p>
    <w:p w14:paraId="18ACE701" w14:textId="4C81FEAC"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 xml:space="preserve">UNWTO, 2020. Tourism and the global climate crisis: Strategies for reducing emissions. United Nations World Tourism Organization. Available at: </w:t>
      </w:r>
      <w:hyperlink r:id="rId12" w:tgtFrame="_new" w:history="1">
        <w:r w:rsidRPr="00746E12">
          <w:rPr>
            <w:rStyle w:val="Hyperlink"/>
            <w:rFonts w:ascii="Arial" w:hAnsi="Arial" w:cs="Arial"/>
            <w:color w:val="auto"/>
            <w:sz w:val="24"/>
            <w:szCs w:val="24"/>
          </w:rPr>
          <w:t>https://www.unwto.org</w:t>
        </w:r>
      </w:hyperlink>
      <w:r w:rsidRPr="00746E12">
        <w:rPr>
          <w:rFonts w:ascii="Arial" w:hAnsi="Arial" w:cs="Arial"/>
          <w:sz w:val="24"/>
          <w:szCs w:val="24"/>
        </w:rPr>
        <w:t xml:space="preserve"> </w:t>
      </w:r>
      <w:r w:rsidR="00A418AE">
        <w:rPr>
          <w:rFonts w:ascii="Arial" w:hAnsi="Arial" w:cs="Arial"/>
          <w:sz w:val="24"/>
          <w:szCs w:val="24"/>
        </w:rPr>
        <w:t xml:space="preserve">- </w:t>
      </w:r>
      <w:r w:rsidR="00A418AE" w:rsidRPr="00A418AE">
        <w:rPr>
          <w:rFonts w:ascii="Arial" w:hAnsi="Arial" w:cs="Arial"/>
          <w:sz w:val="24"/>
          <w:szCs w:val="24"/>
        </w:rPr>
        <w:t>accessed 0</w:t>
      </w:r>
      <w:r w:rsidR="00A418AE">
        <w:rPr>
          <w:rFonts w:ascii="Arial" w:hAnsi="Arial" w:cs="Arial"/>
          <w:sz w:val="24"/>
          <w:szCs w:val="24"/>
        </w:rPr>
        <w:t>8</w:t>
      </w:r>
      <w:r w:rsidR="00A418AE" w:rsidRPr="00A418AE">
        <w:rPr>
          <w:rFonts w:ascii="Arial" w:hAnsi="Arial" w:cs="Arial"/>
          <w:sz w:val="24"/>
          <w:szCs w:val="24"/>
        </w:rPr>
        <w:t>/11/24</w:t>
      </w:r>
    </w:p>
    <w:p w14:paraId="3C26C344"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lastRenderedPageBreak/>
        <w:t>Walker, R., &amp; Weatherspoon, A., 2021. Renewable energy in the hospitality industry: Opportunities and challenges. Journal of Energy and Sustainable Development, 10(2), pp. 50-62.</w:t>
      </w:r>
    </w:p>
    <w:p w14:paraId="361DE07E"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Wolfe, M., 2020. The role of hospitality businesses in the transition to a low-carbon economy. International Journal of Hospitality &amp; Tourism Administration, 21(3), pp. 224-238.</w:t>
      </w:r>
    </w:p>
    <w:p w14:paraId="333A24FB" w14:textId="77777777" w:rsidR="008A383B" w:rsidRPr="00746E12" w:rsidRDefault="008A383B" w:rsidP="008A383B">
      <w:pPr>
        <w:spacing w:line="360" w:lineRule="auto"/>
        <w:jc w:val="both"/>
        <w:rPr>
          <w:rFonts w:ascii="Arial" w:hAnsi="Arial" w:cs="Arial"/>
          <w:sz w:val="24"/>
          <w:szCs w:val="24"/>
        </w:rPr>
      </w:pPr>
      <w:r w:rsidRPr="00746E12">
        <w:rPr>
          <w:rFonts w:ascii="Arial" w:hAnsi="Arial" w:cs="Arial"/>
          <w:sz w:val="24"/>
          <w:szCs w:val="24"/>
        </w:rPr>
        <w:t>Zhang, X., &amp; Liu, Z., 2019. Green innovation in the hotel industry: Evidence from China. Sustainable Development, 27(3), pp. 345-358.</w:t>
      </w:r>
    </w:p>
    <w:sectPr w:rsidR="008A383B" w:rsidRPr="00746E12" w:rsidSect="00266A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B539D"/>
    <w:multiLevelType w:val="multilevel"/>
    <w:tmpl w:val="D27092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EB4169"/>
    <w:multiLevelType w:val="multilevel"/>
    <w:tmpl w:val="24D08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743B47"/>
    <w:multiLevelType w:val="multilevel"/>
    <w:tmpl w:val="94EC9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0F65AE"/>
    <w:multiLevelType w:val="multilevel"/>
    <w:tmpl w:val="2F6EE2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962510"/>
    <w:multiLevelType w:val="multilevel"/>
    <w:tmpl w:val="2070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4864E7"/>
    <w:multiLevelType w:val="multilevel"/>
    <w:tmpl w:val="9BC8B3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CA4865"/>
    <w:multiLevelType w:val="multilevel"/>
    <w:tmpl w:val="F86C13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FD7F5C"/>
    <w:multiLevelType w:val="multilevel"/>
    <w:tmpl w:val="A0B499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395969">
    <w:abstractNumId w:val="7"/>
  </w:num>
  <w:num w:numId="2" w16cid:durableId="655841791">
    <w:abstractNumId w:val="0"/>
  </w:num>
  <w:num w:numId="3" w16cid:durableId="1589465337">
    <w:abstractNumId w:val="3"/>
  </w:num>
  <w:num w:numId="4" w16cid:durableId="2124496397">
    <w:abstractNumId w:val="6"/>
  </w:num>
  <w:num w:numId="5" w16cid:durableId="765884949">
    <w:abstractNumId w:val="5"/>
  </w:num>
  <w:num w:numId="6" w16cid:durableId="1922256314">
    <w:abstractNumId w:val="1"/>
  </w:num>
  <w:num w:numId="7" w16cid:durableId="1811244689">
    <w:abstractNumId w:val="4"/>
  </w:num>
  <w:num w:numId="8" w16cid:durableId="16129790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95E"/>
    <w:rsid w:val="000B0F04"/>
    <w:rsid w:val="00165F90"/>
    <w:rsid w:val="001B6555"/>
    <w:rsid w:val="00224485"/>
    <w:rsid w:val="00266ADB"/>
    <w:rsid w:val="002B23AC"/>
    <w:rsid w:val="002E3CB6"/>
    <w:rsid w:val="002F7F99"/>
    <w:rsid w:val="00327991"/>
    <w:rsid w:val="003359B5"/>
    <w:rsid w:val="003A33FF"/>
    <w:rsid w:val="00424834"/>
    <w:rsid w:val="0043157D"/>
    <w:rsid w:val="00456526"/>
    <w:rsid w:val="0047456F"/>
    <w:rsid w:val="00480B04"/>
    <w:rsid w:val="00540561"/>
    <w:rsid w:val="005452F5"/>
    <w:rsid w:val="005469F7"/>
    <w:rsid w:val="0056615C"/>
    <w:rsid w:val="0065545F"/>
    <w:rsid w:val="006E50DB"/>
    <w:rsid w:val="00746E12"/>
    <w:rsid w:val="007B25E8"/>
    <w:rsid w:val="008A383B"/>
    <w:rsid w:val="008F580F"/>
    <w:rsid w:val="00A418AE"/>
    <w:rsid w:val="00A737AD"/>
    <w:rsid w:val="00B1428C"/>
    <w:rsid w:val="00B62175"/>
    <w:rsid w:val="00C807DF"/>
    <w:rsid w:val="00CD595E"/>
    <w:rsid w:val="00CE654E"/>
    <w:rsid w:val="00CF34C2"/>
    <w:rsid w:val="00EA5B64"/>
    <w:rsid w:val="00F75B23"/>
    <w:rsid w:val="00FF5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5AE01"/>
  <w15:chartTrackingRefBased/>
  <w15:docId w15:val="{38BBE52D-EBBB-4C9B-8CD5-738D51997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E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6615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6615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6">
    <w:name w:val="heading 6"/>
    <w:basedOn w:val="Normal"/>
    <w:next w:val="Normal"/>
    <w:link w:val="Heading6Char"/>
    <w:uiPriority w:val="9"/>
    <w:semiHidden/>
    <w:unhideWhenUsed/>
    <w:qFormat/>
    <w:rsid w:val="00266AD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6615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6615C"/>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56615C"/>
    <w:rPr>
      <w:b/>
      <w:bCs/>
    </w:rPr>
  </w:style>
  <w:style w:type="paragraph" w:styleId="NormalWeb">
    <w:name w:val="Normal (Web)"/>
    <w:basedOn w:val="Normal"/>
    <w:uiPriority w:val="99"/>
    <w:semiHidden/>
    <w:unhideWhenUsed/>
    <w:rsid w:val="005661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6615C"/>
    <w:rPr>
      <w:i/>
      <w:iCs/>
    </w:rPr>
  </w:style>
  <w:style w:type="paragraph" w:styleId="NoSpacing">
    <w:name w:val="No Spacing"/>
    <w:link w:val="NoSpacingChar"/>
    <w:uiPriority w:val="1"/>
    <w:qFormat/>
    <w:rsid w:val="00266A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6ADB"/>
    <w:rPr>
      <w:rFonts w:eastAsiaTheme="minorEastAsia"/>
      <w:lang w:val="en-US"/>
    </w:rPr>
  </w:style>
  <w:style w:type="character" w:customStyle="1" w:styleId="Heading6Char">
    <w:name w:val="Heading 6 Char"/>
    <w:basedOn w:val="DefaultParagraphFont"/>
    <w:link w:val="Heading6"/>
    <w:uiPriority w:val="9"/>
    <w:semiHidden/>
    <w:rsid w:val="00266ADB"/>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746E12"/>
    <w:rPr>
      <w:color w:val="0563C1" w:themeColor="hyperlink"/>
      <w:u w:val="single"/>
    </w:rPr>
  </w:style>
  <w:style w:type="character" w:styleId="UnresolvedMention">
    <w:name w:val="Unresolved Mention"/>
    <w:basedOn w:val="DefaultParagraphFont"/>
    <w:uiPriority w:val="99"/>
    <w:semiHidden/>
    <w:unhideWhenUsed/>
    <w:rsid w:val="00746E12"/>
    <w:rPr>
      <w:color w:val="605E5C"/>
      <w:shd w:val="clear" w:color="auto" w:fill="E1DFDD"/>
    </w:rPr>
  </w:style>
  <w:style w:type="character" w:customStyle="1" w:styleId="Heading1Char">
    <w:name w:val="Heading 1 Char"/>
    <w:basedOn w:val="DefaultParagraphFont"/>
    <w:link w:val="Heading1"/>
    <w:uiPriority w:val="9"/>
    <w:rsid w:val="00746E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3CB6"/>
    <w:pPr>
      <w:outlineLvl w:val="9"/>
    </w:pPr>
    <w:rPr>
      <w:lang w:val="en-US"/>
    </w:rPr>
  </w:style>
  <w:style w:type="paragraph" w:styleId="TOC1">
    <w:name w:val="toc 1"/>
    <w:basedOn w:val="Normal"/>
    <w:next w:val="Normal"/>
    <w:autoRedefine/>
    <w:uiPriority w:val="39"/>
    <w:unhideWhenUsed/>
    <w:rsid w:val="002E3CB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699003">
      <w:bodyDiv w:val="1"/>
      <w:marLeft w:val="0"/>
      <w:marRight w:val="0"/>
      <w:marTop w:val="0"/>
      <w:marBottom w:val="0"/>
      <w:divBdr>
        <w:top w:val="none" w:sz="0" w:space="0" w:color="auto"/>
        <w:left w:val="none" w:sz="0" w:space="0" w:color="auto"/>
        <w:bottom w:val="none" w:sz="0" w:space="0" w:color="auto"/>
        <w:right w:val="none" w:sz="0" w:space="0" w:color="auto"/>
      </w:divBdr>
    </w:div>
    <w:div w:id="154999074">
      <w:bodyDiv w:val="1"/>
      <w:marLeft w:val="0"/>
      <w:marRight w:val="0"/>
      <w:marTop w:val="0"/>
      <w:marBottom w:val="0"/>
      <w:divBdr>
        <w:top w:val="none" w:sz="0" w:space="0" w:color="auto"/>
        <w:left w:val="none" w:sz="0" w:space="0" w:color="auto"/>
        <w:bottom w:val="none" w:sz="0" w:space="0" w:color="auto"/>
        <w:right w:val="none" w:sz="0" w:space="0" w:color="auto"/>
      </w:divBdr>
    </w:div>
    <w:div w:id="162554786">
      <w:bodyDiv w:val="1"/>
      <w:marLeft w:val="0"/>
      <w:marRight w:val="0"/>
      <w:marTop w:val="0"/>
      <w:marBottom w:val="0"/>
      <w:divBdr>
        <w:top w:val="none" w:sz="0" w:space="0" w:color="auto"/>
        <w:left w:val="none" w:sz="0" w:space="0" w:color="auto"/>
        <w:bottom w:val="none" w:sz="0" w:space="0" w:color="auto"/>
        <w:right w:val="none" w:sz="0" w:space="0" w:color="auto"/>
      </w:divBdr>
    </w:div>
    <w:div w:id="181474678">
      <w:bodyDiv w:val="1"/>
      <w:marLeft w:val="0"/>
      <w:marRight w:val="0"/>
      <w:marTop w:val="0"/>
      <w:marBottom w:val="0"/>
      <w:divBdr>
        <w:top w:val="none" w:sz="0" w:space="0" w:color="auto"/>
        <w:left w:val="none" w:sz="0" w:space="0" w:color="auto"/>
        <w:bottom w:val="none" w:sz="0" w:space="0" w:color="auto"/>
        <w:right w:val="none" w:sz="0" w:space="0" w:color="auto"/>
      </w:divBdr>
    </w:div>
    <w:div w:id="295793271">
      <w:bodyDiv w:val="1"/>
      <w:marLeft w:val="0"/>
      <w:marRight w:val="0"/>
      <w:marTop w:val="0"/>
      <w:marBottom w:val="0"/>
      <w:divBdr>
        <w:top w:val="none" w:sz="0" w:space="0" w:color="auto"/>
        <w:left w:val="none" w:sz="0" w:space="0" w:color="auto"/>
        <w:bottom w:val="none" w:sz="0" w:space="0" w:color="auto"/>
        <w:right w:val="none" w:sz="0" w:space="0" w:color="auto"/>
      </w:divBdr>
    </w:div>
    <w:div w:id="492531334">
      <w:bodyDiv w:val="1"/>
      <w:marLeft w:val="0"/>
      <w:marRight w:val="0"/>
      <w:marTop w:val="0"/>
      <w:marBottom w:val="0"/>
      <w:divBdr>
        <w:top w:val="none" w:sz="0" w:space="0" w:color="auto"/>
        <w:left w:val="none" w:sz="0" w:space="0" w:color="auto"/>
        <w:bottom w:val="none" w:sz="0" w:space="0" w:color="auto"/>
        <w:right w:val="none" w:sz="0" w:space="0" w:color="auto"/>
      </w:divBdr>
    </w:div>
    <w:div w:id="539829611">
      <w:bodyDiv w:val="1"/>
      <w:marLeft w:val="0"/>
      <w:marRight w:val="0"/>
      <w:marTop w:val="0"/>
      <w:marBottom w:val="0"/>
      <w:divBdr>
        <w:top w:val="none" w:sz="0" w:space="0" w:color="auto"/>
        <w:left w:val="none" w:sz="0" w:space="0" w:color="auto"/>
        <w:bottom w:val="none" w:sz="0" w:space="0" w:color="auto"/>
        <w:right w:val="none" w:sz="0" w:space="0" w:color="auto"/>
      </w:divBdr>
    </w:div>
    <w:div w:id="603657177">
      <w:bodyDiv w:val="1"/>
      <w:marLeft w:val="0"/>
      <w:marRight w:val="0"/>
      <w:marTop w:val="0"/>
      <w:marBottom w:val="0"/>
      <w:divBdr>
        <w:top w:val="none" w:sz="0" w:space="0" w:color="auto"/>
        <w:left w:val="none" w:sz="0" w:space="0" w:color="auto"/>
        <w:bottom w:val="none" w:sz="0" w:space="0" w:color="auto"/>
        <w:right w:val="none" w:sz="0" w:space="0" w:color="auto"/>
      </w:divBdr>
    </w:div>
    <w:div w:id="631789226">
      <w:bodyDiv w:val="1"/>
      <w:marLeft w:val="0"/>
      <w:marRight w:val="0"/>
      <w:marTop w:val="0"/>
      <w:marBottom w:val="0"/>
      <w:divBdr>
        <w:top w:val="none" w:sz="0" w:space="0" w:color="auto"/>
        <w:left w:val="none" w:sz="0" w:space="0" w:color="auto"/>
        <w:bottom w:val="none" w:sz="0" w:space="0" w:color="auto"/>
        <w:right w:val="none" w:sz="0" w:space="0" w:color="auto"/>
      </w:divBdr>
    </w:div>
    <w:div w:id="746197090">
      <w:bodyDiv w:val="1"/>
      <w:marLeft w:val="0"/>
      <w:marRight w:val="0"/>
      <w:marTop w:val="0"/>
      <w:marBottom w:val="0"/>
      <w:divBdr>
        <w:top w:val="none" w:sz="0" w:space="0" w:color="auto"/>
        <w:left w:val="none" w:sz="0" w:space="0" w:color="auto"/>
        <w:bottom w:val="none" w:sz="0" w:space="0" w:color="auto"/>
        <w:right w:val="none" w:sz="0" w:space="0" w:color="auto"/>
      </w:divBdr>
    </w:div>
    <w:div w:id="942151128">
      <w:bodyDiv w:val="1"/>
      <w:marLeft w:val="0"/>
      <w:marRight w:val="0"/>
      <w:marTop w:val="0"/>
      <w:marBottom w:val="0"/>
      <w:divBdr>
        <w:top w:val="none" w:sz="0" w:space="0" w:color="auto"/>
        <w:left w:val="none" w:sz="0" w:space="0" w:color="auto"/>
        <w:bottom w:val="none" w:sz="0" w:space="0" w:color="auto"/>
        <w:right w:val="none" w:sz="0" w:space="0" w:color="auto"/>
      </w:divBdr>
    </w:div>
    <w:div w:id="1057778598">
      <w:bodyDiv w:val="1"/>
      <w:marLeft w:val="0"/>
      <w:marRight w:val="0"/>
      <w:marTop w:val="0"/>
      <w:marBottom w:val="0"/>
      <w:divBdr>
        <w:top w:val="none" w:sz="0" w:space="0" w:color="auto"/>
        <w:left w:val="none" w:sz="0" w:space="0" w:color="auto"/>
        <w:bottom w:val="none" w:sz="0" w:space="0" w:color="auto"/>
        <w:right w:val="none" w:sz="0" w:space="0" w:color="auto"/>
      </w:divBdr>
    </w:div>
    <w:div w:id="1184631841">
      <w:bodyDiv w:val="1"/>
      <w:marLeft w:val="0"/>
      <w:marRight w:val="0"/>
      <w:marTop w:val="0"/>
      <w:marBottom w:val="0"/>
      <w:divBdr>
        <w:top w:val="none" w:sz="0" w:space="0" w:color="auto"/>
        <w:left w:val="none" w:sz="0" w:space="0" w:color="auto"/>
        <w:bottom w:val="none" w:sz="0" w:space="0" w:color="auto"/>
        <w:right w:val="none" w:sz="0" w:space="0" w:color="auto"/>
      </w:divBdr>
      <w:divsChild>
        <w:div w:id="1207450899">
          <w:marLeft w:val="0"/>
          <w:marRight w:val="0"/>
          <w:marTop w:val="0"/>
          <w:marBottom w:val="0"/>
          <w:divBdr>
            <w:top w:val="none" w:sz="0" w:space="0" w:color="auto"/>
            <w:left w:val="none" w:sz="0" w:space="0" w:color="auto"/>
            <w:bottom w:val="none" w:sz="0" w:space="0" w:color="auto"/>
            <w:right w:val="none" w:sz="0" w:space="0" w:color="auto"/>
          </w:divBdr>
          <w:divsChild>
            <w:div w:id="624044484">
              <w:marLeft w:val="0"/>
              <w:marRight w:val="0"/>
              <w:marTop w:val="0"/>
              <w:marBottom w:val="0"/>
              <w:divBdr>
                <w:top w:val="none" w:sz="0" w:space="0" w:color="auto"/>
                <w:left w:val="none" w:sz="0" w:space="0" w:color="auto"/>
                <w:bottom w:val="none" w:sz="0" w:space="0" w:color="auto"/>
                <w:right w:val="none" w:sz="0" w:space="0" w:color="auto"/>
              </w:divBdr>
              <w:divsChild>
                <w:div w:id="1777478960">
                  <w:marLeft w:val="0"/>
                  <w:marRight w:val="0"/>
                  <w:marTop w:val="0"/>
                  <w:marBottom w:val="0"/>
                  <w:divBdr>
                    <w:top w:val="none" w:sz="0" w:space="0" w:color="auto"/>
                    <w:left w:val="none" w:sz="0" w:space="0" w:color="auto"/>
                    <w:bottom w:val="none" w:sz="0" w:space="0" w:color="auto"/>
                    <w:right w:val="none" w:sz="0" w:space="0" w:color="auto"/>
                  </w:divBdr>
                  <w:divsChild>
                    <w:div w:id="3219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988216">
          <w:marLeft w:val="0"/>
          <w:marRight w:val="0"/>
          <w:marTop w:val="0"/>
          <w:marBottom w:val="0"/>
          <w:divBdr>
            <w:top w:val="none" w:sz="0" w:space="0" w:color="auto"/>
            <w:left w:val="none" w:sz="0" w:space="0" w:color="auto"/>
            <w:bottom w:val="none" w:sz="0" w:space="0" w:color="auto"/>
            <w:right w:val="none" w:sz="0" w:space="0" w:color="auto"/>
          </w:divBdr>
          <w:divsChild>
            <w:div w:id="1207253115">
              <w:marLeft w:val="0"/>
              <w:marRight w:val="0"/>
              <w:marTop w:val="0"/>
              <w:marBottom w:val="0"/>
              <w:divBdr>
                <w:top w:val="none" w:sz="0" w:space="0" w:color="auto"/>
                <w:left w:val="none" w:sz="0" w:space="0" w:color="auto"/>
                <w:bottom w:val="none" w:sz="0" w:space="0" w:color="auto"/>
                <w:right w:val="none" w:sz="0" w:space="0" w:color="auto"/>
              </w:divBdr>
              <w:divsChild>
                <w:div w:id="658924966">
                  <w:marLeft w:val="0"/>
                  <w:marRight w:val="0"/>
                  <w:marTop w:val="0"/>
                  <w:marBottom w:val="0"/>
                  <w:divBdr>
                    <w:top w:val="none" w:sz="0" w:space="0" w:color="auto"/>
                    <w:left w:val="none" w:sz="0" w:space="0" w:color="auto"/>
                    <w:bottom w:val="none" w:sz="0" w:space="0" w:color="auto"/>
                    <w:right w:val="none" w:sz="0" w:space="0" w:color="auto"/>
                  </w:divBdr>
                  <w:divsChild>
                    <w:div w:id="32455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556163">
      <w:bodyDiv w:val="1"/>
      <w:marLeft w:val="0"/>
      <w:marRight w:val="0"/>
      <w:marTop w:val="0"/>
      <w:marBottom w:val="0"/>
      <w:divBdr>
        <w:top w:val="none" w:sz="0" w:space="0" w:color="auto"/>
        <w:left w:val="none" w:sz="0" w:space="0" w:color="auto"/>
        <w:bottom w:val="none" w:sz="0" w:space="0" w:color="auto"/>
        <w:right w:val="none" w:sz="0" w:space="0" w:color="auto"/>
      </w:divBdr>
    </w:div>
    <w:div w:id="1370371669">
      <w:bodyDiv w:val="1"/>
      <w:marLeft w:val="0"/>
      <w:marRight w:val="0"/>
      <w:marTop w:val="0"/>
      <w:marBottom w:val="0"/>
      <w:divBdr>
        <w:top w:val="none" w:sz="0" w:space="0" w:color="auto"/>
        <w:left w:val="none" w:sz="0" w:space="0" w:color="auto"/>
        <w:bottom w:val="none" w:sz="0" w:space="0" w:color="auto"/>
        <w:right w:val="none" w:sz="0" w:space="0" w:color="auto"/>
      </w:divBdr>
    </w:div>
    <w:div w:id="1436287317">
      <w:bodyDiv w:val="1"/>
      <w:marLeft w:val="0"/>
      <w:marRight w:val="0"/>
      <w:marTop w:val="0"/>
      <w:marBottom w:val="0"/>
      <w:divBdr>
        <w:top w:val="none" w:sz="0" w:space="0" w:color="auto"/>
        <w:left w:val="none" w:sz="0" w:space="0" w:color="auto"/>
        <w:bottom w:val="none" w:sz="0" w:space="0" w:color="auto"/>
        <w:right w:val="none" w:sz="0" w:space="0" w:color="auto"/>
      </w:divBdr>
    </w:div>
    <w:div w:id="1497263329">
      <w:bodyDiv w:val="1"/>
      <w:marLeft w:val="0"/>
      <w:marRight w:val="0"/>
      <w:marTop w:val="0"/>
      <w:marBottom w:val="0"/>
      <w:divBdr>
        <w:top w:val="none" w:sz="0" w:space="0" w:color="auto"/>
        <w:left w:val="none" w:sz="0" w:space="0" w:color="auto"/>
        <w:bottom w:val="none" w:sz="0" w:space="0" w:color="auto"/>
        <w:right w:val="none" w:sz="0" w:space="0" w:color="auto"/>
      </w:divBdr>
    </w:div>
    <w:div w:id="1612853678">
      <w:bodyDiv w:val="1"/>
      <w:marLeft w:val="0"/>
      <w:marRight w:val="0"/>
      <w:marTop w:val="0"/>
      <w:marBottom w:val="0"/>
      <w:divBdr>
        <w:top w:val="none" w:sz="0" w:space="0" w:color="auto"/>
        <w:left w:val="none" w:sz="0" w:space="0" w:color="auto"/>
        <w:bottom w:val="none" w:sz="0" w:space="0" w:color="auto"/>
        <w:right w:val="none" w:sz="0" w:space="0" w:color="auto"/>
      </w:divBdr>
    </w:div>
    <w:div w:id="1651710923">
      <w:bodyDiv w:val="1"/>
      <w:marLeft w:val="0"/>
      <w:marRight w:val="0"/>
      <w:marTop w:val="0"/>
      <w:marBottom w:val="0"/>
      <w:divBdr>
        <w:top w:val="none" w:sz="0" w:space="0" w:color="auto"/>
        <w:left w:val="none" w:sz="0" w:space="0" w:color="auto"/>
        <w:bottom w:val="none" w:sz="0" w:space="0" w:color="auto"/>
        <w:right w:val="none" w:sz="0" w:space="0" w:color="auto"/>
      </w:divBdr>
    </w:div>
    <w:div w:id="1703478868">
      <w:bodyDiv w:val="1"/>
      <w:marLeft w:val="0"/>
      <w:marRight w:val="0"/>
      <w:marTop w:val="0"/>
      <w:marBottom w:val="0"/>
      <w:divBdr>
        <w:top w:val="none" w:sz="0" w:space="0" w:color="auto"/>
        <w:left w:val="none" w:sz="0" w:space="0" w:color="auto"/>
        <w:bottom w:val="none" w:sz="0" w:space="0" w:color="auto"/>
        <w:right w:val="none" w:sz="0" w:space="0" w:color="auto"/>
      </w:divBdr>
    </w:div>
    <w:div w:id="1785347015">
      <w:bodyDiv w:val="1"/>
      <w:marLeft w:val="0"/>
      <w:marRight w:val="0"/>
      <w:marTop w:val="0"/>
      <w:marBottom w:val="0"/>
      <w:divBdr>
        <w:top w:val="none" w:sz="0" w:space="0" w:color="auto"/>
        <w:left w:val="none" w:sz="0" w:space="0" w:color="auto"/>
        <w:bottom w:val="none" w:sz="0" w:space="0" w:color="auto"/>
        <w:right w:val="none" w:sz="0" w:space="0" w:color="auto"/>
      </w:divBdr>
    </w:div>
    <w:div w:id="1898083166">
      <w:bodyDiv w:val="1"/>
      <w:marLeft w:val="0"/>
      <w:marRight w:val="0"/>
      <w:marTop w:val="0"/>
      <w:marBottom w:val="0"/>
      <w:divBdr>
        <w:top w:val="none" w:sz="0" w:space="0" w:color="auto"/>
        <w:left w:val="none" w:sz="0" w:space="0" w:color="auto"/>
        <w:bottom w:val="none" w:sz="0" w:space="0" w:color="auto"/>
        <w:right w:val="none" w:sz="0" w:space="0" w:color="auto"/>
      </w:divBdr>
    </w:div>
    <w:div w:id="1911883216">
      <w:bodyDiv w:val="1"/>
      <w:marLeft w:val="0"/>
      <w:marRight w:val="0"/>
      <w:marTop w:val="0"/>
      <w:marBottom w:val="0"/>
      <w:divBdr>
        <w:top w:val="none" w:sz="0" w:space="0" w:color="auto"/>
        <w:left w:val="none" w:sz="0" w:space="0" w:color="auto"/>
        <w:bottom w:val="none" w:sz="0" w:space="0" w:color="auto"/>
        <w:right w:val="none" w:sz="0" w:space="0" w:color="auto"/>
      </w:divBdr>
    </w:div>
    <w:div w:id="1930701169">
      <w:bodyDiv w:val="1"/>
      <w:marLeft w:val="0"/>
      <w:marRight w:val="0"/>
      <w:marTop w:val="0"/>
      <w:marBottom w:val="0"/>
      <w:divBdr>
        <w:top w:val="none" w:sz="0" w:space="0" w:color="auto"/>
        <w:left w:val="none" w:sz="0" w:space="0" w:color="auto"/>
        <w:bottom w:val="none" w:sz="0" w:space="0" w:color="auto"/>
        <w:right w:val="none" w:sz="0" w:space="0" w:color="auto"/>
      </w:divBdr>
    </w:div>
    <w:div w:id="2045248346">
      <w:bodyDiv w:val="1"/>
      <w:marLeft w:val="0"/>
      <w:marRight w:val="0"/>
      <w:marTop w:val="0"/>
      <w:marBottom w:val="0"/>
      <w:divBdr>
        <w:top w:val="none" w:sz="0" w:space="0" w:color="auto"/>
        <w:left w:val="none" w:sz="0" w:space="0" w:color="auto"/>
        <w:bottom w:val="none" w:sz="0" w:space="0" w:color="auto"/>
        <w:right w:val="none" w:sz="0" w:space="0" w:color="auto"/>
      </w:divBdr>
      <w:divsChild>
        <w:div w:id="1959407161">
          <w:marLeft w:val="0"/>
          <w:marRight w:val="0"/>
          <w:marTop w:val="0"/>
          <w:marBottom w:val="0"/>
          <w:divBdr>
            <w:top w:val="none" w:sz="0" w:space="0" w:color="auto"/>
            <w:left w:val="none" w:sz="0" w:space="0" w:color="auto"/>
            <w:bottom w:val="none" w:sz="0" w:space="0" w:color="auto"/>
            <w:right w:val="none" w:sz="0" w:space="0" w:color="auto"/>
          </w:divBdr>
          <w:divsChild>
            <w:div w:id="53090789">
              <w:marLeft w:val="0"/>
              <w:marRight w:val="0"/>
              <w:marTop w:val="0"/>
              <w:marBottom w:val="0"/>
              <w:divBdr>
                <w:top w:val="none" w:sz="0" w:space="0" w:color="auto"/>
                <w:left w:val="none" w:sz="0" w:space="0" w:color="auto"/>
                <w:bottom w:val="none" w:sz="0" w:space="0" w:color="auto"/>
                <w:right w:val="none" w:sz="0" w:space="0" w:color="auto"/>
              </w:divBdr>
              <w:divsChild>
                <w:div w:id="786046444">
                  <w:marLeft w:val="0"/>
                  <w:marRight w:val="0"/>
                  <w:marTop w:val="0"/>
                  <w:marBottom w:val="0"/>
                  <w:divBdr>
                    <w:top w:val="none" w:sz="0" w:space="0" w:color="auto"/>
                    <w:left w:val="none" w:sz="0" w:space="0" w:color="auto"/>
                    <w:bottom w:val="none" w:sz="0" w:space="0" w:color="auto"/>
                    <w:right w:val="none" w:sz="0" w:space="0" w:color="auto"/>
                  </w:divBdr>
                  <w:divsChild>
                    <w:div w:id="165979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568439">
          <w:marLeft w:val="0"/>
          <w:marRight w:val="0"/>
          <w:marTop w:val="0"/>
          <w:marBottom w:val="0"/>
          <w:divBdr>
            <w:top w:val="none" w:sz="0" w:space="0" w:color="auto"/>
            <w:left w:val="none" w:sz="0" w:space="0" w:color="auto"/>
            <w:bottom w:val="none" w:sz="0" w:space="0" w:color="auto"/>
            <w:right w:val="none" w:sz="0" w:space="0" w:color="auto"/>
          </w:divBdr>
          <w:divsChild>
            <w:div w:id="523205452">
              <w:marLeft w:val="0"/>
              <w:marRight w:val="0"/>
              <w:marTop w:val="0"/>
              <w:marBottom w:val="0"/>
              <w:divBdr>
                <w:top w:val="none" w:sz="0" w:space="0" w:color="auto"/>
                <w:left w:val="none" w:sz="0" w:space="0" w:color="auto"/>
                <w:bottom w:val="none" w:sz="0" w:space="0" w:color="auto"/>
                <w:right w:val="none" w:sz="0" w:space="0" w:color="auto"/>
              </w:divBdr>
              <w:divsChild>
                <w:div w:id="729574545">
                  <w:marLeft w:val="0"/>
                  <w:marRight w:val="0"/>
                  <w:marTop w:val="0"/>
                  <w:marBottom w:val="0"/>
                  <w:divBdr>
                    <w:top w:val="none" w:sz="0" w:space="0" w:color="auto"/>
                    <w:left w:val="none" w:sz="0" w:space="0" w:color="auto"/>
                    <w:bottom w:val="none" w:sz="0" w:space="0" w:color="auto"/>
                    <w:right w:val="none" w:sz="0" w:space="0" w:color="auto"/>
                  </w:divBdr>
                  <w:divsChild>
                    <w:div w:id="132744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unwto.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unfccc.i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dgs.un.org" TargetMode="External"/><Relationship Id="rId4" Type="http://schemas.openxmlformats.org/officeDocument/2006/relationships/settings" Target="settings.xml"/><Relationship Id="rId9" Type="http://schemas.openxmlformats.org/officeDocument/2006/relationships/hyperlink" Target="https://www.marriott.com"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9166604AF1E48DA82C0602EE74BEA4B"/>
        <w:category>
          <w:name w:val="General"/>
          <w:gallery w:val="placeholder"/>
        </w:category>
        <w:types>
          <w:type w:val="bbPlcHdr"/>
        </w:types>
        <w:behaviors>
          <w:behavior w:val="content"/>
        </w:behaviors>
        <w:guid w:val="{F0D2792C-217C-4682-B2C2-9AE1E1FFA50F}"/>
      </w:docPartPr>
      <w:docPartBody>
        <w:p w:rsidR="00000000" w:rsidRDefault="0022593A" w:rsidP="0022593A">
          <w:pPr>
            <w:pStyle w:val="29166604AF1E48DA82C0602EE74BEA4B"/>
          </w:pPr>
          <w:r>
            <w:rPr>
              <w:rFonts w:asciiTheme="majorHAnsi" w:eastAsiaTheme="majorEastAsia" w:hAnsiTheme="majorHAnsi" w:cstheme="majorBidi"/>
              <w:caps/>
              <w:color w:val="156082" w:themeColor="accent1"/>
              <w:sz w:val="80"/>
              <w:szCs w:val="80"/>
            </w:rPr>
            <w:t>[Document title]</w:t>
          </w:r>
        </w:p>
      </w:docPartBody>
    </w:docPart>
    <w:docPart>
      <w:docPartPr>
        <w:name w:val="AB177E019DE54ABE8109B7C0AF079FAE"/>
        <w:category>
          <w:name w:val="General"/>
          <w:gallery w:val="placeholder"/>
        </w:category>
        <w:types>
          <w:type w:val="bbPlcHdr"/>
        </w:types>
        <w:behaviors>
          <w:behavior w:val="content"/>
        </w:behaviors>
        <w:guid w:val="{C4608048-1006-4E7B-B7C3-94944F56186D}"/>
      </w:docPartPr>
      <w:docPartBody>
        <w:p w:rsidR="00000000" w:rsidRDefault="0022593A" w:rsidP="0022593A">
          <w:pPr>
            <w:pStyle w:val="AB177E019DE54ABE8109B7C0AF079FA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93A"/>
    <w:rsid w:val="0022593A"/>
    <w:rsid w:val="0047456F"/>
    <w:rsid w:val="00B4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166604AF1E48DA82C0602EE74BEA4B">
    <w:name w:val="29166604AF1E48DA82C0602EE74BEA4B"/>
    <w:rsid w:val="0022593A"/>
  </w:style>
  <w:style w:type="paragraph" w:customStyle="1" w:styleId="AB177E019DE54ABE8109B7C0AF079FAE">
    <w:name w:val="AB177E019DE54ABE8109B7C0AF079FAE"/>
    <w:rsid w:val="002259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8CC887-AD90-4C45-BF25-6D1AC70DA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4209</TotalTime>
  <Pages>14</Pages>
  <Words>3287</Words>
  <Characters>18741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Report</vt:lpstr>
    </vt:vector>
  </TitlesOfParts>
  <Company>Prenton High School</Company>
  <LinksUpToDate>false</LinksUpToDate>
  <CharactersWithSpaces>21985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BMIH5006</dc:subject>
  <dc:creator>Syeda Begum</dc:creator>
  <cp:keywords/>
  <dc:description/>
  <cp:lastModifiedBy>Syeda Begum (2227588)</cp:lastModifiedBy>
  <cp:revision>27</cp:revision>
  <dcterms:created xsi:type="dcterms:W3CDTF">2024-11-07T23:28:00Z</dcterms:created>
  <dcterms:modified xsi:type="dcterms:W3CDTF">2024-11-10T21:37:00Z</dcterms:modified>
</cp:coreProperties>
</file>