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24B09" w14:textId="7B65FA49" w:rsidR="009E0EDF" w:rsidRPr="00C34C93" w:rsidRDefault="009E0EDF" w:rsidP="00C34C93"/>
    <w:p w14:paraId="56FEE49B" w14:textId="77777777" w:rsidR="009E64D4" w:rsidRDefault="009E64D4" w:rsidP="009E64D4"/>
    <w:p w14:paraId="66858308" w14:textId="77777777" w:rsidR="009E64D4" w:rsidRPr="005853A4" w:rsidRDefault="009E64D4" w:rsidP="009E64D4">
      <w:pPr>
        <w:spacing w:line="360" w:lineRule="auto"/>
        <w:jc w:val="both"/>
        <w:rPr>
          <w:sz w:val="40"/>
          <w:szCs w:val="40"/>
        </w:rPr>
      </w:pPr>
      <w:r w:rsidRPr="005853A4">
        <w:rPr>
          <w:sz w:val="40"/>
          <w:szCs w:val="40"/>
        </w:rPr>
        <w:t>Student Name:</w:t>
      </w:r>
      <w:r>
        <w:rPr>
          <w:sz w:val="40"/>
          <w:szCs w:val="40"/>
        </w:rPr>
        <w:t xml:space="preserve"> </w:t>
      </w:r>
      <w:r w:rsidRPr="001025A6">
        <w:rPr>
          <w:sz w:val="40"/>
          <w:szCs w:val="40"/>
        </w:rPr>
        <w:t>Ivan Hristoforov Ivanov</w:t>
      </w:r>
    </w:p>
    <w:p w14:paraId="2B00C098" w14:textId="77777777" w:rsidR="009E64D4" w:rsidRPr="005853A4" w:rsidRDefault="009E64D4" w:rsidP="009E64D4">
      <w:pPr>
        <w:spacing w:line="360" w:lineRule="auto"/>
        <w:jc w:val="both"/>
        <w:rPr>
          <w:sz w:val="40"/>
          <w:szCs w:val="40"/>
        </w:rPr>
      </w:pPr>
      <w:r>
        <w:rPr>
          <w:sz w:val="40"/>
          <w:szCs w:val="40"/>
        </w:rPr>
        <w:t xml:space="preserve">Student Number: </w:t>
      </w:r>
      <w:r w:rsidRPr="007837F3">
        <w:rPr>
          <w:rFonts w:cs="Arial"/>
          <w:color w:val="333333"/>
          <w:sz w:val="40"/>
          <w:szCs w:val="40"/>
          <w:shd w:val="clear" w:color="auto" w:fill="FFFFFF"/>
        </w:rPr>
        <w:t>2413302</w:t>
      </w:r>
    </w:p>
    <w:p w14:paraId="56E95644" w14:textId="44968777" w:rsidR="009E64D4" w:rsidRPr="00D75AF1" w:rsidRDefault="009E64D4" w:rsidP="009E64D4">
      <w:pPr>
        <w:spacing w:line="360" w:lineRule="auto"/>
        <w:jc w:val="both"/>
        <w:rPr>
          <w:sz w:val="40"/>
          <w:szCs w:val="40"/>
        </w:rPr>
      </w:pPr>
      <w:r w:rsidRPr="005853A4">
        <w:rPr>
          <w:sz w:val="40"/>
          <w:szCs w:val="40"/>
        </w:rPr>
        <w:t>Module code</w:t>
      </w:r>
      <w:r>
        <w:rPr>
          <w:sz w:val="40"/>
          <w:szCs w:val="40"/>
        </w:rPr>
        <w:t xml:space="preserve">: </w:t>
      </w:r>
      <w:r w:rsidR="00C34C93">
        <w:rPr>
          <w:sz w:val="40"/>
          <w:szCs w:val="40"/>
        </w:rPr>
        <w:t>LCLM 5001</w:t>
      </w:r>
    </w:p>
    <w:p w14:paraId="509F60BE" w14:textId="5BEBC64F" w:rsidR="009E64D4" w:rsidRDefault="009E64D4" w:rsidP="009E64D4">
      <w:pPr>
        <w:spacing w:line="360" w:lineRule="auto"/>
        <w:jc w:val="both"/>
        <w:rPr>
          <w:sz w:val="40"/>
          <w:szCs w:val="40"/>
        </w:rPr>
      </w:pPr>
      <w:r>
        <w:rPr>
          <w:sz w:val="40"/>
          <w:szCs w:val="40"/>
        </w:rPr>
        <w:t xml:space="preserve">Module Title: </w:t>
      </w:r>
      <w:r w:rsidR="00300299">
        <w:rPr>
          <w:sz w:val="40"/>
          <w:szCs w:val="40"/>
        </w:rPr>
        <w:t>Understanding and Engaging Stakeholders</w:t>
      </w:r>
    </w:p>
    <w:p w14:paraId="0D4F4466" w14:textId="7CF14709" w:rsidR="009E64D4" w:rsidRDefault="009E64D4" w:rsidP="009E64D4">
      <w:pPr>
        <w:spacing w:line="360" w:lineRule="auto"/>
        <w:jc w:val="both"/>
        <w:rPr>
          <w:rFonts w:cs="Arial"/>
          <w:color w:val="424242"/>
          <w:sz w:val="40"/>
          <w:szCs w:val="40"/>
          <w:shd w:val="clear" w:color="auto" w:fill="FFFFFF"/>
        </w:rPr>
      </w:pPr>
      <w:r w:rsidRPr="005853A4">
        <w:rPr>
          <w:sz w:val="40"/>
          <w:szCs w:val="40"/>
        </w:rPr>
        <w:t xml:space="preserve">Lecturer Name: </w:t>
      </w:r>
      <w:r w:rsidR="00851591">
        <w:rPr>
          <w:sz w:val="40"/>
          <w:szCs w:val="40"/>
        </w:rPr>
        <w:t>Nadeem Mirza</w:t>
      </w:r>
    </w:p>
    <w:p w14:paraId="2599A255" w14:textId="77777777" w:rsidR="00EA16FF" w:rsidRDefault="009E64D4" w:rsidP="009E64D4">
      <w:pPr>
        <w:rPr>
          <w:sz w:val="40"/>
          <w:szCs w:val="40"/>
        </w:rPr>
      </w:pPr>
      <w:r w:rsidRPr="005853A4">
        <w:rPr>
          <w:sz w:val="40"/>
          <w:szCs w:val="40"/>
        </w:rPr>
        <w:t>Assignment Title</w:t>
      </w:r>
      <w:r w:rsidR="00EA16FF">
        <w:rPr>
          <w:sz w:val="40"/>
          <w:szCs w:val="40"/>
        </w:rPr>
        <w:t>:</w:t>
      </w:r>
    </w:p>
    <w:p w14:paraId="6CD9B19C" w14:textId="58E35DFD" w:rsidR="009E64D4" w:rsidRPr="009E64D4" w:rsidRDefault="005A2EED" w:rsidP="009E64D4">
      <w:r>
        <w:rPr>
          <w:sz w:val="40"/>
          <w:szCs w:val="40"/>
        </w:rPr>
        <w:t xml:space="preserve">Understanding the importance of </w:t>
      </w:r>
      <w:r w:rsidR="00157277">
        <w:rPr>
          <w:sz w:val="40"/>
          <w:szCs w:val="40"/>
        </w:rPr>
        <w:t>s</w:t>
      </w:r>
      <w:r>
        <w:rPr>
          <w:sz w:val="40"/>
          <w:szCs w:val="40"/>
        </w:rPr>
        <w:t xml:space="preserve">takeholder </w:t>
      </w:r>
      <w:r w:rsidR="00157277">
        <w:rPr>
          <w:sz w:val="40"/>
          <w:szCs w:val="40"/>
        </w:rPr>
        <w:t>e</w:t>
      </w:r>
      <w:r>
        <w:rPr>
          <w:sz w:val="40"/>
          <w:szCs w:val="40"/>
        </w:rPr>
        <w:t xml:space="preserve">ngagement in </w:t>
      </w:r>
      <w:r w:rsidR="00157277">
        <w:rPr>
          <w:sz w:val="40"/>
          <w:szCs w:val="40"/>
        </w:rPr>
        <w:t xml:space="preserve">successful </w:t>
      </w:r>
      <w:r w:rsidR="00EA6CC6">
        <w:rPr>
          <w:sz w:val="40"/>
          <w:szCs w:val="40"/>
        </w:rPr>
        <w:t>commencement and completion of project</w:t>
      </w:r>
    </w:p>
    <w:p w14:paraId="39E775A9" w14:textId="77777777" w:rsidR="009E64D4" w:rsidRDefault="009E64D4">
      <w:pPr>
        <w:rPr>
          <w:rFonts w:asciiTheme="majorHAnsi" w:eastAsiaTheme="majorEastAsia" w:hAnsiTheme="majorHAnsi" w:cstheme="majorBidi"/>
          <w:b/>
          <w:bCs/>
          <w:color w:val="0F4761" w:themeColor="accent1" w:themeShade="BF"/>
          <w:kern w:val="0"/>
          <w:sz w:val="28"/>
          <w:szCs w:val="28"/>
          <w14:ligatures w14:val="none"/>
        </w:rPr>
      </w:pPr>
      <w:r>
        <w:rPr>
          <w:b/>
          <w:bCs/>
          <w:kern w:val="0"/>
          <w:sz w:val="28"/>
          <w:szCs w:val="28"/>
          <w14:ligatures w14:val="none"/>
        </w:rPr>
        <w:br w:type="page"/>
      </w:r>
    </w:p>
    <w:sdt>
      <w:sdtPr>
        <w:rPr>
          <w:rFonts w:ascii="Arial" w:eastAsiaTheme="minorHAnsi" w:hAnsi="Arial" w:cstheme="minorBidi"/>
          <w:b w:val="0"/>
          <w:bCs w:val="0"/>
          <w:color w:val="auto"/>
          <w:kern w:val="2"/>
          <w:sz w:val="24"/>
          <w:szCs w:val="24"/>
          <w14:ligatures w14:val="standardContextual"/>
        </w:rPr>
        <w:id w:val="-2135782797"/>
        <w:docPartObj>
          <w:docPartGallery w:val="Table of Contents"/>
          <w:docPartUnique/>
        </w:docPartObj>
      </w:sdtPr>
      <w:sdtEndPr>
        <w:rPr>
          <w:noProof/>
        </w:rPr>
      </w:sdtEndPr>
      <w:sdtContent>
        <w:p w14:paraId="435A8C51" w14:textId="5035F088" w:rsidR="009E64D4" w:rsidRDefault="009E64D4">
          <w:pPr>
            <w:pStyle w:val="af1"/>
          </w:pPr>
          <w:r>
            <w:t>Table of Contents</w:t>
          </w:r>
        </w:p>
        <w:p w14:paraId="424CE813" w14:textId="6907976D" w:rsidR="009E64D4" w:rsidRDefault="009E64D4">
          <w:pPr>
            <w:pStyle w:val="1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217044520" w:history="1">
            <w:r w:rsidRPr="00ED03FE">
              <w:rPr>
                <w:rStyle w:val="ae"/>
                <w:rFonts w:eastAsia="Times New Roman"/>
                <w:noProof/>
              </w:rPr>
              <w:t>1. Introduction of the Company</w:t>
            </w:r>
            <w:r>
              <w:rPr>
                <w:noProof/>
                <w:webHidden/>
              </w:rPr>
              <w:tab/>
            </w:r>
            <w:r>
              <w:rPr>
                <w:noProof/>
                <w:webHidden/>
              </w:rPr>
              <w:fldChar w:fldCharType="begin"/>
            </w:r>
            <w:r>
              <w:rPr>
                <w:noProof/>
                <w:webHidden/>
              </w:rPr>
              <w:instrText xml:space="preserve"> PAGEREF _Toc217044520 \h </w:instrText>
            </w:r>
            <w:r>
              <w:rPr>
                <w:noProof/>
                <w:webHidden/>
              </w:rPr>
            </w:r>
            <w:r>
              <w:rPr>
                <w:noProof/>
                <w:webHidden/>
              </w:rPr>
              <w:fldChar w:fldCharType="separate"/>
            </w:r>
            <w:r>
              <w:rPr>
                <w:noProof/>
                <w:webHidden/>
              </w:rPr>
              <w:t>3</w:t>
            </w:r>
            <w:r>
              <w:rPr>
                <w:noProof/>
                <w:webHidden/>
              </w:rPr>
              <w:fldChar w:fldCharType="end"/>
            </w:r>
          </w:hyperlink>
        </w:p>
        <w:p w14:paraId="1B6FEC95" w14:textId="064183EC" w:rsidR="009E64D4" w:rsidRDefault="009E64D4">
          <w:pPr>
            <w:pStyle w:val="11"/>
            <w:tabs>
              <w:tab w:val="right" w:leader="dot" w:pos="9350"/>
            </w:tabs>
            <w:rPr>
              <w:rFonts w:eastAsiaTheme="minorEastAsia"/>
              <w:b w:val="0"/>
              <w:bCs w:val="0"/>
              <w:i w:val="0"/>
              <w:iCs w:val="0"/>
              <w:noProof/>
            </w:rPr>
          </w:pPr>
          <w:hyperlink w:anchor="_Toc217044521" w:history="1">
            <w:r w:rsidRPr="00ED03FE">
              <w:rPr>
                <w:rStyle w:val="ae"/>
                <w:rFonts w:eastAsia="Times New Roman"/>
                <w:noProof/>
              </w:rPr>
              <w:t>2. Company Appraisal Using SWOT Analysis</w:t>
            </w:r>
            <w:r>
              <w:rPr>
                <w:noProof/>
                <w:webHidden/>
              </w:rPr>
              <w:tab/>
            </w:r>
            <w:r>
              <w:rPr>
                <w:noProof/>
                <w:webHidden/>
              </w:rPr>
              <w:fldChar w:fldCharType="begin"/>
            </w:r>
            <w:r>
              <w:rPr>
                <w:noProof/>
                <w:webHidden/>
              </w:rPr>
              <w:instrText xml:space="preserve"> PAGEREF _Toc217044521 \h </w:instrText>
            </w:r>
            <w:r>
              <w:rPr>
                <w:noProof/>
                <w:webHidden/>
              </w:rPr>
            </w:r>
            <w:r>
              <w:rPr>
                <w:noProof/>
                <w:webHidden/>
              </w:rPr>
              <w:fldChar w:fldCharType="separate"/>
            </w:r>
            <w:r>
              <w:rPr>
                <w:noProof/>
                <w:webHidden/>
              </w:rPr>
              <w:t>4</w:t>
            </w:r>
            <w:r>
              <w:rPr>
                <w:noProof/>
                <w:webHidden/>
              </w:rPr>
              <w:fldChar w:fldCharType="end"/>
            </w:r>
          </w:hyperlink>
        </w:p>
        <w:p w14:paraId="2FD3D524" w14:textId="2069261D" w:rsidR="009E64D4" w:rsidRDefault="009E64D4">
          <w:pPr>
            <w:pStyle w:val="11"/>
            <w:tabs>
              <w:tab w:val="right" w:leader="dot" w:pos="9350"/>
            </w:tabs>
            <w:rPr>
              <w:rFonts w:eastAsiaTheme="minorEastAsia"/>
              <w:b w:val="0"/>
              <w:bCs w:val="0"/>
              <w:i w:val="0"/>
              <w:iCs w:val="0"/>
              <w:noProof/>
            </w:rPr>
          </w:pPr>
          <w:hyperlink w:anchor="_Toc217044522" w:history="1">
            <w:r w:rsidRPr="00ED03FE">
              <w:rPr>
                <w:rStyle w:val="ae"/>
                <w:rFonts w:eastAsia="Times New Roman"/>
                <w:noProof/>
              </w:rPr>
              <w:t>3. Identification of Key Internal and External Stakeholders</w:t>
            </w:r>
            <w:r>
              <w:rPr>
                <w:noProof/>
                <w:webHidden/>
              </w:rPr>
              <w:tab/>
            </w:r>
            <w:r>
              <w:rPr>
                <w:noProof/>
                <w:webHidden/>
              </w:rPr>
              <w:fldChar w:fldCharType="begin"/>
            </w:r>
            <w:r>
              <w:rPr>
                <w:noProof/>
                <w:webHidden/>
              </w:rPr>
              <w:instrText xml:space="preserve"> PAGEREF _Toc217044522 \h </w:instrText>
            </w:r>
            <w:r>
              <w:rPr>
                <w:noProof/>
                <w:webHidden/>
              </w:rPr>
            </w:r>
            <w:r>
              <w:rPr>
                <w:noProof/>
                <w:webHidden/>
              </w:rPr>
              <w:fldChar w:fldCharType="separate"/>
            </w:r>
            <w:r>
              <w:rPr>
                <w:noProof/>
                <w:webHidden/>
              </w:rPr>
              <w:t>5</w:t>
            </w:r>
            <w:r>
              <w:rPr>
                <w:noProof/>
                <w:webHidden/>
              </w:rPr>
              <w:fldChar w:fldCharType="end"/>
            </w:r>
          </w:hyperlink>
        </w:p>
        <w:p w14:paraId="6CA484B7" w14:textId="67444402" w:rsidR="009E64D4" w:rsidRDefault="009E64D4">
          <w:pPr>
            <w:pStyle w:val="31"/>
            <w:tabs>
              <w:tab w:val="right" w:leader="dot" w:pos="9350"/>
            </w:tabs>
            <w:rPr>
              <w:rFonts w:eastAsiaTheme="minorEastAsia"/>
              <w:noProof/>
              <w:sz w:val="24"/>
              <w:szCs w:val="24"/>
            </w:rPr>
          </w:pPr>
          <w:hyperlink w:anchor="_Toc217044523" w:history="1">
            <w:r w:rsidRPr="00ED03FE">
              <w:rPr>
                <w:rStyle w:val="ae"/>
                <w:rFonts w:eastAsia="Times New Roman" w:cs="Arial"/>
                <w:b/>
                <w:bCs/>
                <w:noProof/>
                <w:kern w:val="0"/>
                <w14:ligatures w14:val="none"/>
              </w:rPr>
              <w:t>Internal Stakeholders</w:t>
            </w:r>
            <w:r>
              <w:rPr>
                <w:noProof/>
                <w:webHidden/>
              </w:rPr>
              <w:tab/>
            </w:r>
            <w:r>
              <w:rPr>
                <w:noProof/>
                <w:webHidden/>
              </w:rPr>
              <w:fldChar w:fldCharType="begin"/>
            </w:r>
            <w:r>
              <w:rPr>
                <w:noProof/>
                <w:webHidden/>
              </w:rPr>
              <w:instrText xml:space="preserve"> PAGEREF _Toc217044523 \h </w:instrText>
            </w:r>
            <w:r>
              <w:rPr>
                <w:noProof/>
                <w:webHidden/>
              </w:rPr>
            </w:r>
            <w:r>
              <w:rPr>
                <w:noProof/>
                <w:webHidden/>
              </w:rPr>
              <w:fldChar w:fldCharType="separate"/>
            </w:r>
            <w:r>
              <w:rPr>
                <w:noProof/>
                <w:webHidden/>
              </w:rPr>
              <w:t>5</w:t>
            </w:r>
            <w:r>
              <w:rPr>
                <w:noProof/>
                <w:webHidden/>
              </w:rPr>
              <w:fldChar w:fldCharType="end"/>
            </w:r>
          </w:hyperlink>
        </w:p>
        <w:p w14:paraId="7E845AFC" w14:textId="1BBC22EF" w:rsidR="009E64D4" w:rsidRDefault="009E64D4">
          <w:pPr>
            <w:pStyle w:val="31"/>
            <w:tabs>
              <w:tab w:val="right" w:leader="dot" w:pos="9350"/>
            </w:tabs>
            <w:rPr>
              <w:rFonts w:eastAsiaTheme="minorEastAsia"/>
              <w:noProof/>
              <w:sz w:val="24"/>
              <w:szCs w:val="24"/>
            </w:rPr>
          </w:pPr>
          <w:hyperlink w:anchor="_Toc217044524" w:history="1">
            <w:r w:rsidRPr="00ED03FE">
              <w:rPr>
                <w:rStyle w:val="ae"/>
                <w:rFonts w:eastAsia="Times New Roman" w:cs="Arial"/>
                <w:b/>
                <w:bCs/>
                <w:noProof/>
                <w:kern w:val="0"/>
                <w14:ligatures w14:val="none"/>
              </w:rPr>
              <w:t>External Stakeholders</w:t>
            </w:r>
            <w:r>
              <w:rPr>
                <w:noProof/>
                <w:webHidden/>
              </w:rPr>
              <w:tab/>
            </w:r>
            <w:r>
              <w:rPr>
                <w:noProof/>
                <w:webHidden/>
              </w:rPr>
              <w:fldChar w:fldCharType="begin"/>
            </w:r>
            <w:r>
              <w:rPr>
                <w:noProof/>
                <w:webHidden/>
              </w:rPr>
              <w:instrText xml:space="preserve"> PAGEREF _Toc217044524 \h </w:instrText>
            </w:r>
            <w:r>
              <w:rPr>
                <w:noProof/>
                <w:webHidden/>
              </w:rPr>
            </w:r>
            <w:r>
              <w:rPr>
                <w:noProof/>
                <w:webHidden/>
              </w:rPr>
              <w:fldChar w:fldCharType="separate"/>
            </w:r>
            <w:r>
              <w:rPr>
                <w:noProof/>
                <w:webHidden/>
              </w:rPr>
              <w:t>6</w:t>
            </w:r>
            <w:r>
              <w:rPr>
                <w:noProof/>
                <w:webHidden/>
              </w:rPr>
              <w:fldChar w:fldCharType="end"/>
            </w:r>
          </w:hyperlink>
        </w:p>
        <w:p w14:paraId="36A37527" w14:textId="3A5D336B" w:rsidR="009E64D4" w:rsidRDefault="009E64D4">
          <w:pPr>
            <w:pStyle w:val="11"/>
            <w:tabs>
              <w:tab w:val="right" w:leader="dot" w:pos="9350"/>
            </w:tabs>
            <w:rPr>
              <w:rFonts w:eastAsiaTheme="minorEastAsia"/>
              <w:b w:val="0"/>
              <w:bCs w:val="0"/>
              <w:i w:val="0"/>
              <w:iCs w:val="0"/>
              <w:noProof/>
            </w:rPr>
          </w:pPr>
          <w:hyperlink w:anchor="_Toc217044525" w:history="1">
            <w:r w:rsidRPr="00ED03FE">
              <w:rPr>
                <w:rStyle w:val="ae"/>
                <w:rFonts w:eastAsia="Times New Roman"/>
                <w:noProof/>
              </w:rPr>
              <w:t>4. Roles, Responsibilities, Benefits, and Challenges of Key Stakeholders</w:t>
            </w:r>
            <w:r>
              <w:rPr>
                <w:noProof/>
                <w:webHidden/>
              </w:rPr>
              <w:tab/>
            </w:r>
            <w:r>
              <w:rPr>
                <w:noProof/>
                <w:webHidden/>
              </w:rPr>
              <w:fldChar w:fldCharType="begin"/>
            </w:r>
            <w:r>
              <w:rPr>
                <w:noProof/>
                <w:webHidden/>
              </w:rPr>
              <w:instrText xml:space="preserve"> PAGEREF _Toc217044525 \h </w:instrText>
            </w:r>
            <w:r>
              <w:rPr>
                <w:noProof/>
                <w:webHidden/>
              </w:rPr>
            </w:r>
            <w:r>
              <w:rPr>
                <w:noProof/>
                <w:webHidden/>
              </w:rPr>
              <w:fldChar w:fldCharType="separate"/>
            </w:r>
            <w:r>
              <w:rPr>
                <w:noProof/>
                <w:webHidden/>
              </w:rPr>
              <w:t>7</w:t>
            </w:r>
            <w:r>
              <w:rPr>
                <w:noProof/>
                <w:webHidden/>
              </w:rPr>
              <w:fldChar w:fldCharType="end"/>
            </w:r>
          </w:hyperlink>
        </w:p>
        <w:p w14:paraId="37D21988" w14:textId="6E033168" w:rsidR="009E64D4" w:rsidRDefault="009E64D4">
          <w:pPr>
            <w:pStyle w:val="31"/>
            <w:tabs>
              <w:tab w:val="right" w:leader="dot" w:pos="9350"/>
            </w:tabs>
            <w:rPr>
              <w:rFonts w:eastAsiaTheme="minorEastAsia"/>
              <w:noProof/>
              <w:sz w:val="24"/>
              <w:szCs w:val="24"/>
            </w:rPr>
          </w:pPr>
          <w:hyperlink w:anchor="_Toc217044526" w:history="1">
            <w:r w:rsidRPr="00ED03FE">
              <w:rPr>
                <w:rStyle w:val="ae"/>
                <w:rFonts w:eastAsia="Times New Roman" w:cs="Arial"/>
                <w:b/>
                <w:bCs/>
                <w:noProof/>
                <w:kern w:val="0"/>
                <w14:ligatures w14:val="none"/>
              </w:rPr>
              <w:t>Internal Stakeholders</w:t>
            </w:r>
            <w:r>
              <w:rPr>
                <w:noProof/>
                <w:webHidden/>
              </w:rPr>
              <w:tab/>
            </w:r>
            <w:r>
              <w:rPr>
                <w:noProof/>
                <w:webHidden/>
              </w:rPr>
              <w:fldChar w:fldCharType="begin"/>
            </w:r>
            <w:r>
              <w:rPr>
                <w:noProof/>
                <w:webHidden/>
              </w:rPr>
              <w:instrText xml:space="preserve"> PAGEREF _Toc217044526 \h </w:instrText>
            </w:r>
            <w:r>
              <w:rPr>
                <w:noProof/>
                <w:webHidden/>
              </w:rPr>
            </w:r>
            <w:r>
              <w:rPr>
                <w:noProof/>
                <w:webHidden/>
              </w:rPr>
              <w:fldChar w:fldCharType="separate"/>
            </w:r>
            <w:r>
              <w:rPr>
                <w:noProof/>
                <w:webHidden/>
              </w:rPr>
              <w:t>7</w:t>
            </w:r>
            <w:r>
              <w:rPr>
                <w:noProof/>
                <w:webHidden/>
              </w:rPr>
              <w:fldChar w:fldCharType="end"/>
            </w:r>
          </w:hyperlink>
        </w:p>
        <w:p w14:paraId="122A515F" w14:textId="7AB50E12" w:rsidR="009E64D4" w:rsidRDefault="009E64D4">
          <w:pPr>
            <w:pStyle w:val="31"/>
            <w:tabs>
              <w:tab w:val="right" w:leader="dot" w:pos="9350"/>
            </w:tabs>
            <w:rPr>
              <w:rFonts w:eastAsiaTheme="minorEastAsia"/>
              <w:noProof/>
              <w:sz w:val="24"/>
              <w:szCs w:val="24"/>
            </w:rPr>
          </w:pPr>
          <w:hyperlink w:anchor="_Toc217044527" w:history="1">
            <w:r w:rsidRPr="00ED03FE">
              <w:rPr>
                <w:rStyle w:val="ae"/>
                <w:rFonts w:eastAsia="Times New Roman" w:cs="Arial"/>
                <w:b/>
                <w:bCs/>
                <w:noProof/>
                <w:kern w:val="0"/>
                <w14:ligatures w14:val="none"/>
              </w:rPr>
              <w:t>External Stakeholders</w:t>
            </w:r>
            <w:r>
              <w:rPr>
                <w:noProof/>
                <w:webHidden/>
              </w:rPr>
              <w:tab/>
            </w:r>
            <w:r>
              <w:rPr>
                <w:noProof/>
                <w:webHidden/>
              </w:rPr>
              <w:fldChar w:fldCharType="begin"/>
            </w:r>
            <w:r>
              <w:rPr>
                <w:noProof/>
                <w:webHidden/>
              </w:rPr>
              <w:instrText xml:space="preserve"> PAGEREF _Toc217044527 \h </w:instrText>
            </w:r>
            <w:r>
              <w:rPr>
                <w:noProof/>
                <w:webHidden/>
              </w:rPr>
            </w:r>
            <w:r>
              <w:rPr>
                <w:noProof/>
                <w:webHidden/>
              </w:rPr>
              <w:fldChar w:fldCharType="separate"/>
            </w:r>
            <w:r>
              <w:rPr>
                <w:noProof/>
                <w:webHidden/>
              </w:rPr>
              <w:t>8</w:t>
            </w:r>
            <w:r>
              <w:rPr>
                <w:noProof/>
                <w:webHidden/>
              </w:rPr>
              <w:fldChar w:fldCharType="end"/>
            </w:r>
          </w:hyperlink>
        </w:p>
        <w:p w14:paraId="7C80709E" w14:textId="3842E428" w:rsidR="009E64D4" w:rsidRDefault="009E64D4">
          <w:pPr>
            <w:pStyle w:val="11"/>
            <w:tabs>
              <w:tab w:val="right" w:leader="dot" w:pos="9350"/>
            </w:tabs>
            <w:rPr>
              <w:rFonts w:eastAsiaTheme="minorEastAsia"/>
              <w:b w:val="0"/>
              <w:bCs w:val="0"/>
              <w:i w:val="0"/>
              <w:iCs w:val="0"/>
              <w:noProof/>
            </w:rPr>
          </w:pPr>
          <w:hyperlink w:anchor="_Toc217044528" w:history="1">
            <w:r w:rsidRPr="00ED03FE">
              <w:rPr>
                <w:rStyle w:val="ae"/>
                <w:rFonts w:eastAsia="Times New Roman"/>
                <w:noProof/>
              </w:rPr>
              <w:t>5. Stakeholder Engagement Frameworks, Models, and Tools</w:t>
            </w:r>
            <w:r>
              <w:rPr>
                <w:noProof/>
                <w:webHidden/>
              </w:rPr>
              <w:tab/>
            </w:r>
            <w:r>
              <w:rPr>
                <w:noProof/>
                <w:webHidden/>
              </w:rPr>
              <w:fldChar w:fldCharType="begin"/>
            </w:r>
            <w:r>
              <w:rPr>
                <w:noProof/>
                <w:webHidden/>
              </w:rPr>
              <w:instrText xml:space="preserve"> PAGEREF _Toc217044528 \h </w:instrText>
            </w:r>
            <w:r>
              <w:rPr>
                <w:noProof/>
                <w:webHidden/>
              </w:rPr>
            </w:r>
            <w:r>
              <w:rPr>
                <w:noProof/>
                <w:webHidden/>
              </w:rPr>
              <w:fldChar w:fldCharType="separate"/>
            </w:r>
            <w:r>
              <w:rPr>
                <w:noProof/>
                <w:webHidden/>
              </w:rPr>
              <w:t>8</w:t>
            </w:r>
            <w:r>
              <w:rPr>
                <w:noProof/>
                <w:webHidden/>
              </w:rPr>
              <w:fldChar w:fldCharType="end"/>
            </w:r>
          </w:hyperlink>
        </w:p>
        <w:p w14:paraId="666D45B2" w14:textId="64EE4BF0" w:rsidR="009E64D4" w:rsidRDefault="009E64D4">
          <w:pPr>
            <w:pStyle w:val="31"/>
            <w:tabs>
              <w:tab w:val="right" w:leader="dot" w:pos="9350"/>
            </w:tabs>
            <w:rPr>
              <w:rFonts w:eastAsiaTheme="minorEastAsia"/>
              <w:noProof/>
              <w:sz w:val="24"/>
              <w:szCs w:val="24"/>
            </w:rPr>
          </w:pPr>
          <w:hyperlink w:anchor="_Toc217044529" w:history="1">
            <w:r w:rsidRPr="00ED03FE">
              <w:rPr>
                <w:rStyle w:val="ae"/>
                <w:rFonts w:eastAsia="Times New Roman" w:cs="Arial"/>
                <w:b/>
                <w:bCs/>
                <w:noProof/>
                <w:kern w:val="0"/>
                <w14:ligatures w14:val="none"/>
              </w:rPr>
              <w:t>Table 2: RACI Matrix for WHOOP Wearable Health Device Launch</w:t>
            </w:r>
            <w:r>
              <w:rPr>
                <w:noProof/>
                <w:webHidden/>
              </w:rPr>
              <w:tab/>
            </w:r>
            <w:r>
              <w:rPr>
                <w:noProof/>
                <w:webHidden/>
              </w:rPr>
              <w:fldChar w:fldCharType="begin"/>
            </w:r>
            <w:r>
              <w:rPr>
                <w:noProof/>
                <w:webHidden/>
              </w:rPr>
              <w:instrText xml:space="preserve"> PAGEREF _Toc217044529 \h </w:instrText>
            </w:r>
            <w:r>
              <w:rPr>
                <w:noProof/>
                <w:webHidden/>
              </w:rPr>
            </w:r>
            <w:r>
              <w:rPr>
                <w:noProof/>
                <w:webHidden/>
              </w:rPr>
              <w:fldChar w:fldCharType="separate"/>
            </w:r>
            <w:r>
              <w:rPr>
                <w:noProof/>
                <w:webHidden/>
              </w:rPr>
              <w:t>9</w:t>
            </w:r>
            <w:r>
              <w:rPr>
                <w:noProof/>
                <w:webHidden/>
              </w:rPr>
              <w:fldChar w:fldCharType="end"/>
            </w:r>
          </w:hyperlink>
        </w:p>
        <w:p w14:paraId="0917B7E0" w14:textId="5C6FEC67" w:rsidR="009E64D4" w:rsidRDefault="009E64D4">
          <w:pPr>
            <w:pStyle w:val="11"/>
            <w:tabs>
              <w:tab w:val="right" w:leader="dot" w:pos="9350"/>
            </w:tabs>
            <w:rPr>
              <w:rFonts w:eastAsiaTheme="minorEastAsia"/>
              <w:b w:val="0"/>
              <w:bCs w:val="0"/>
              <w:i w:val="0"/>
              <w:iCs w:val="0"/>
              <w:noProof/>
            </w:rPr>
          </w:pPr>
          <w:hyperlink w:anchor="_Toc217044530" w:history="1">
            <w:r w:rsidRPr="00ED03FE">
              <w:rPr>
                <w:rStyle w:val="ae"/>
                <w:rFonts w:eastAsia="Times New Roman"/>
                <w:noProof/>
              </w:rPr>
              <w:t>6. Stakeholder Engagement Process and Conflict Management Using the 4C’s Model</w:t>
            </w:r>
            <w:r>
              <w:rPr>
                <w:noProof/>
                <w:webHidden/>
              </w:rPr>
              <w:tab/>
            </w:r>
            <w:r>
              <w:rPr>
                <w:noProof/>
                <w:webHidden/>
              </w:rPr>
              <w:fldChar w:fldCharType="begin"/>
            </w:r>
            <w:r>
              <w:rPr>
                <w:noProof/>
                <w:webHidden/>
              </w:rPr>
              <w:instrText xml:space="preserve"> PAGEREF _Toc217044530 \h </w:instrText>
            </w:r>
            <w:r>
              <w:rPr>
                <w:noProof/>
                <w:webHidden/>
              </w:rPr>
            </w:r>
            <w:r>
              <w:rPr>
                <w:noProof/>
                <w:webHidden/>
              </w:rPr>
              <w:fldChar w:fldCharType="separate"/>
            </w:r>
            <w:r>
              <w:rPr>
                <w:noProof/>
                <w:webHidden/>
              </w:rPr>
              <w:t>11</w:t>
            </w:r>
            <w:r>
              <w:rPr>
                <w:noProof/>
                <w:webHidden/>
              </w:rPr>
              <w:fldChar w:fldCharType="end"/>
            </w:r>
          </w:hyperlink>
        </w:p>
        <w:p w14:paraId="6DF5C9AA" w14:textId="73186693" w:rsidR="009E64D4" w:rsidRDefault="009E64D4">
          <w:pPr>
            <w:pStyle w:val="31"/>
            <w:tabs>
              <w:tab w:val="right" w:leader="dot" w:pos="9350"/>
            </w:tabs>
            <w:rPr>
              <w:rFonts w:eastAsiaTheme="minorEastAsia"/>
              <w:noProof/>
              <w:sz w:val="24"/>
              <w:szCs w:val="24"/>
            </w:rPr>
          </w:pPr>
          <w:hyperlink w:anchor="_Toc217044531" w:history="1">
            <w:r w:rsidRPr="00ED03FE">
              <w:rPr>
                <w:rStyle w:val="ae"/>
                <w:rFonts w:eastAsia="Times New Roman" w:cs="Arial"/>
                <w:b/>
                <w:bCs/>
                <w:noProof/>
                <w:kern w:val="0"/>
                <w14:ligatures w14:val="none"/>
              </w:rPr>
              <w:t>Stakeholder Engagement Process</w:t>
            </w:r>
            <w:r>
              <w:rPr>
                <w:noProof/>
                <w:webHidden/>
              </w:rPr>
              <w:tab/>
            </w:r>
            <w:r>
              <w:rPr>
                <w:noProof/>
                <w:webHidden/>
              </w:rPr>
              <w:fldChar w:fldCharType="begin"/>
            </w:r>
            <w:r>
              <w:rPr>
                <w:noProof/>
                <w:webHidden/>
              </w:rPr>
              <w:instrText xml:space="preserve"> PAGEREF _Toc217044531 \h </w:instrText>
            </w:r>
            <w:r>
              <w:rPr>
                <w:noProof/>
                <w:webHidden/>
              </w:rPr>
            </w:r>
            <w:r>
              <w:rPr>
                <w:noProof/>
                <w:webHidden/>
              </w:rPr>
              <w:fldChar w:fldCharType="separate"/>
            </w:r>
            <w:r>
              <w:rPr>
                <w:noProof/>
                <w:webHidden/>
              </w:rPr>
              <w:t>11</w:t>
            </w:r>
            <w:r>
              <w:rPr>
                <w:noProof/>
                <w:webHidden/>
              </w:rPr>
              <w:fldChar w:fldCharType="end"/>
            </w:r>
          </w:hyperlink>
        </w:p>
        <w:p w14:paraId="09466EEE" w14:textId="219D9841" w:rsidR="009E64D4" w:rsidRDefault="009E64D4">
          <w:pPr>
            <w:pStyle w:val="31"/>
            <w:tabs>
              <w:tab w:val="right" w:leader="dot" w:pos="9350"/>
            </w:tabs>
            <w:rPr>
              <w:rFonts w:eastAsiaTheme="minorEastAsia"/>
              <w:noProof/>
              <w:sz w:val="24"/>
              <w:szCs w:val="24"/>
            </w:rPr>
          </w:pPr>
          <w:hyperlink w:anchor="_Toc217044532" w:history="1">
            <w:r w:rsidRPr="00ED03FE">
              <w:rPr>
                <w:rStyle w:val="ae"/>
                <w:rFonts w:eastAsia="Times New Roman" w:cs="Arial"/>
                <w:b/>
                <w:bCs/>
                <w:noProof/>
                <w:kern w:val="0"/>
                <w14:ligatures w14:val="none"/>
              </w:rPr>
              <w:t>Conflict Management Using the 4C’s Model</w:t>
            </w:r>
            <w:r>
              <w:rPr>
                <w:noProof/>
                <w:webHidden/>
              </w:rPr>
              <w:tab/>
            </w:r>
            <w:r>
              <w:rPr>
                <w:noProof/>
                <w:webHidden/>
              </w:rPr>
              <w:fldChar w:fldCharType="begin"/>
            </w:r>
            <w:r>
              <w:rPr>
                <w:noProof/>
                <w:webHidden/>
              </w:rPr>
              <w:instrText xml:space="preserve"> PAGEREF _Toc217044532 \h </w:instrText>
            </w:r>
            <w:r>
              <w:rPr>
                <w:noProof/>
                <w:webHidden/>
              </w:rPr>
            </w:r>
            <w:r>
              <w:rPr>
                <w:noProof/>
                <w:webHidden/>
              </w:rPr>
              <w:fldChar w:fldCharType="separate"/>
            </w:r>
            <w:r>
              <w:rPr>
                <w:noProof/>
                <w:webHidden/>
              </w:rPr>
              <w:t>12</w:t>
            </w:r>
            <w:r>
              <w:rPr>
                <w:noProof/>
                <w:webHidden/>
              </w:rPr>
              <w:fldChar w:fldCharType="end"/>
            </w:r>
          </w:hyperlink>
        </w:p>
        <w:p w14:paraId="6E1A50CA" w14:textId="6D3985CB" w:rsidR="009E64D4" w:rsidRDefault="009E64D4">
          <w:pPr>
            <w:pStyle w:val="31"/>
            <w:tabs>
              <w:tab w:val="right" w:leader="dot" w:pos="9350"/>
            </w:tabs>
            <w:rPr>
              <w:rFonts w:eastAsiaTheme="minorEastAsia"/>
              <w:noProof/>
              <w:sz w:val="24"/>
              <w:szCs w:val="24"/>
            </w:rPr>
          </w:pPr>
          <w:hyperlink w:anchor="_Toc217044533" w:history="1">
            <w:r w:rsidRPr="00ED03FE">
              <w:rPr>
                <w:rStyle w:val="ae"/>
                <w:rFonts w:eastAsia="Times New Roman" w:cs="Arial"/>
                <w:b/>
                <w:bCs/>
                <w:noProof/>
                <w:kern w:val="0"/>
                <w14:ligatures w14:val="none"/>
              </w:rPr>
              <w:t>Evaluation of the Engagement Approach</w:t>
            </w:r>
            <w:r>
              <w:rPr>
                <w:noProof/>
                <w:webHidden/>
              </w:rPr>
              <w:tab/>
            </w:r>
            <w:r>
              <w:rPr>
                <w:noProof/>
                <w:webHidden/>
              </w:rPr>
              <w:fldChar w:fldCharType="begin"/>
            </w:r>
            <w:r>
              <w:rPr>
                <w:noProof/>
                <w:webHidden/>
              </w:rPr>
              <w:instrText xml:space="preserve"> PAGEREF _Toc217044533 \h </w:instrText>
            </w:r>
            <w:r>
              <w:rPr>
                <w:noProof/>
                <w:webHidden/>
              </w:rPr>
            </w:r>
            <w:r>
              <w:rPr>
                <w:noProof/>
                <w:webHidden/>
              </w:rPr>
              <w:fldChar w:fldCharType="separate"/>
            </w:r>
            <w:r>
              <w:rPr>
                <w:noProof/>
                <w:webHidden/>
              </w:rPr>
              <w:t>13</w:t>
            </w:r>
            <w:r>
              <w:rPr>
                <w:noProof/>
                <w:webHidden/>
              </w:rPr>
              <w:fldChar w:fldCharType="end"/>
            </w:r>
          </w:hyperlink>
        </w:p>
        <w:p w14:paraId="029A354C" w14:textId="5C31561E" w:rsidR="009E64D4" w:rsidRDefault="009E64D4">
          <w:pPr>
            <w:pStyle w:val="11"/>
            <w:tabs>
              <w:tab w:val="right" w:leader="dot" w:pos="9350"/>
            </w:tabs>
            <w:rPr>
              <w:rFonts w:eastAsiaTheme="minorEastAsia"/>
              <w:b w:val="0"/>
              <w:bCs w:val="0"/>
              <w:i w:val="0"/>
              <w:iCs w:val="0"/>
              <w:noProof/>
            </w:rPr>
          </w:pPr>
          <w:hyperlink w:anchor="_Toc217044534" w:history="1">
            <w:r w:rsidRPr="00ED03FE">
              <w:rPr>
                <w:rStyle w:val="ae"/>
                <w:rFonts w:eastAsia="Times New Roman"/>
                <w:noProof/>
              </w:rPr>
              <w:t>7. Impact of Stakeholder Engagement on Business Performance and Recommendations</w:t>
            </w:r>
            <w:r>
              <w:rPr>
                <w:noProof/>
                <w:webHidden/>
              </w:rPr>
              <w:tab/>
            </w:r>
            <w:r>
              <w:rPr>
                <w:noProof/>
                <w:webHidden/>
              </w:rPr>
              <w:fldChar w:fldCharType="begin"/>
            </w:r>
            <w:r>
              <w:rPr>
                <w:noProof/>
                <w:webHidden/>
              </w:rPr>
              <w:instrText xml:space="preserve"> PAGEREF _Toc217044534 \h </w:instrText>
            </w:r>
            <w:r>
              <w:rPr>
                <w:noProof/>
                <w:webHidden/>
              </w:rPr>
            </w:r>
            <w:r>
              <w:rPr>
                <w:noProof/>
                <w:webHidden/>
              </w:rPr>
              <w:fldChar w:fldCharType="separate"/>
            </w:r>
            <w:r>
              <w:rPr>
                <w:noProof/>
                <w:webHidden/>
              </w:rPr>
              <w:t>14</w:t>
            </w:r>
            <w:r>
              <w:rPr>
                <w:noProof/>
                <w:webHidden/>
              </w:rPr>
              <w:fldChar w:fldCharType="end"/>
            </w:r>
          </w:hyperlink>
        </w:p>
        <w:p w14:paraId="70FB44E7" w14:textId="7EB1EBF5" w:rsidR="009E64D4" w:rsidRDefault="009E64D4">
          <w:pPr>
            <w:pStyle w:val="31"/>
            <w:tabs>
              <w:tab w:val="right" w:leader="dot" w:pos="9350"/>
            </w:tabs>
            <w:rPr>
              <w:rFonts w:eastAsiaTheme="minorEastAsia"/>
              <w:noProof/>
              <w:sz w:val="24"/>
              <w:szCs w:val="24"/>
            </w:rPr>
          </w:pPr>
          <w:hyperlink w:anchor="_Toc217044535" w:history="1">
            <w:r w:rsidRPr="00ED03FE">
              <w:rPr>
                <w:rStyle w:val="ae"/>
                <w:rFonts w:eastAsia="Times New Roman" w:cs="Arial"/>
                <w:b/>
                <w:bCs/>
                <w:noProof/>
                <w:kern w:val="0"/>
                <w14:ligatures w14:val="none"/>
              </w:rPr>
              <w:t>Impact on Business Performance</w:t>
            </w:r>
            <w:r>
              <w:rPr>
                <w:noProof/>
                <w:webHidden/>
              </w:rPr>
              <w:tab/>
            </w:r>
            <w:r>
              <w:rPr>
                <w:noProof/>
                <w:webHidden/>
              </w:rPr>
              <w:fldChar w:fldCharType="begin"/>
            </w:r>
            <w:r>
              <w:rPr>
                <w:noProof/>
                <w:webHidden/>
              </w:rPr>
              <w:instrText xml:space="preserve"> PAGEREF _Toc217044535 \h </w:instrText>
            </w:r>
            <w:r>
              <w:rPr>
                <w:noProof/>
                <w:webHidden/>
              </w:rPr>
            </w:r>
            <w:r>
              <w:rPr>
                <w:noProof/>
                <w:webHidden/>
              </w:rPr>
              <w:fldChar w:fldCharType="separate"/>
            </w:r>
            <w:r>
              <w:rPr>
                <w:noProof/>
                <w:webHidden/>
              </w:rPr>
              <w:t>14</w:t>
            </w:r>
            <w:r>
              <w:rPr>
                <w:noProof/>
                <w:webHidden/>
              </w:rPr>
              <w:fldChar w:fldCharType="end"/>
            </w:r>
          </w:hyperlink>
        </w:p>
        <w:p w14:paraId="728F36C5" w14:textId="0314E852" w:rsidR="009E64D4" w:rsidRDefault="009E64D4">
          <w:pPr>
            <w:pStyle w:val="31"/>
            <w:tabs>
              <w:tab w:val="right" w:leader="dot" w:pos="9350"/>
            </w:tabs>
            <w:rPr>
              <w:rFonts w:eastAsiaTheme="minorEastAsia"/>
              <w:noProof/>
              <w:sz w:val="24"/>
              <w:szCs w:val="24"/>
            </w:rPr>
          </w:pPr>
          <w:hyperlink w:anchor="_Toc217044536" w:history="1">
            <w:r w:rsidRPr="00ED03FE">
              <w:rPr>
                <w:rStyle w:val="ae"/>
                <w:rFonts w:eastAsia="Times New Roman" w:cs="Arial"/>
                <w:b/>
                <w:bCs/>
                <w:noProof/>
                <w:kern w:val="0"/>
                <w14:ligatures w14:val="none"/>
              </w:rPr>
              <w:t>Recommendations for Future Stakeholder Engagement</w:t>
            </w:r>
            <w:r>
              <w:rPr>
                <w:noProof/>
                <w:webHidden/>
              </w:rPr>
              <w:tab/>
            </w:r>
            <w:r>
              <w:rPr>
                <w:noProof/>
                <w:webHidden/>
              </w:rPr>
              <w:fldChar w:fldCharType="begin"/>
            </w:r>
            <w:r>
              <w:rPr>
                <w:noProof/>
                <w:webHidden/>
              </w:rPr>
              <w:instrText xml:space="preserve"> PAGEREF _Toc217044536 \h </w:instrText>
            </w:r>
            <w:r>
              <w:rPr>
                <w:noProof/>
                <w:webHidden/>
              </w:rPr>
            </w:r>
            <w:r>
              <w:rPr>
                <w:noProof/>
                <w:webHidden/>
              </w:rPr>
              <w:fldChar w:fldCharType="separate"/>
            </w:r>
            <w:r>
              <w:rPr>
                <w:noProof/>
                <w:webHidden/>
              </w:rPr>
              <w:t>15</w:t>
            </w:r>
            <w:r>
              <w:rPr>
                <w:noProof/>
                <w:webHidden/>
              </w:rPr>
              <w:fldChar w:fldCharType="end"/>
            </w:r>
          </w:hyperlink>
        </w:p>
        <w:p w14:paraId="7B352710" w14:textId="1A6B3EE4" w:rsidR="009E64D4" w:rsidRDefault="009E64D4">
          <w:pPr>
            <w:pStyle w:val="11"/>
            <w:tabs>
              <w:tab w:val="right" w:leader="dot" w:pos="9350"/>
            </w:tabs>
            <w:rPr>
              <w:rFonts w:eastAsiaTheme="minorEastAsia"/>
              <w:b w:val="0"/>
              <w:bCs w:val="0"/>
              <w:i w:val="0"/>
              <w:iCs w:val="0"/>
              <w:noProof/>
            </w:rPr>
          </w:pPr>
          <w:hyperlink w:anchor="_Toc217044537" w:history="1">
            <w:r w:rsidRPr="00ED03FE">
              <w:rPr>
                <w:rStyle w:val="ae"/>
                <w:rFonts w:eastAsia="Times New Roman"/>
                <w:noProof/>
              </w:rPr>
              <w:t>8. Conclusion</w:t>
            </w:r>
            <w:r>
              <w:rPr>
                <w:noProof/>
                <w:webHidden/>
              </w:rPr>
              <w:tab/>
            </w:r>
            <w:r>
              <w:rPr>
                <w:noProof/>
                <w:webHidden/>
              </w:rPr>
              <w:fldChar w:fldCharType="begin"/>
            </w:r>
            <w:r>
              <w:rPr>
                <w:noProof/>
                <w:webHidden/>
              </w:rPr>
              <w:instrText xml:space="preserve"> PAGEREF _Toc217044537 \h </w:instrText>
            </w:r>
            <w:r>
              <w:rPr>
                <w:noProof/>
                <w:webHidden/>
              </w:rPr>
            </w:r>
            <w:r>
              <w:rPr>
                <w:noProof/>
                <w:webHidden/>
              </w:rPr>
              <w:fldChar w:fldCharType="separate"/>
            </w:r>
            <w:r>
              <w:rPr>
                <w:noProof/>
                <w:webHidden/>
              </w:rPr>
              <w:t>15</w:t>
            </w:r>
            <w:r>
              <w:rPr>
                <w:noProof/>
                <w:webHidden/>
              </w:rPr>
              <w:fldChar w:fldCharType="end"/>
            </w:r>
          </w:hyperlink>
        </w:p>
        <w:p w14:paraId="412888A0" w14:textId="1DE74C2E" w:rsidR="009E64D4" w:rsidRDefault="009E64D4">
          <w:pPr>
            <w:pStyle w:val="11"/>
            <w:tabs>
              <w:tab w:val="right" w:leader="dot" w:pos="9350"/>
            </w:tabs>
            <w:rPr>
              <w:rFonts w:eastAsiaTheme="minorEastAsia"/>
              <w:b w:val="0"/>
              <w:bCs w:val="0"/>
              <w:i w:val="0"/>
              <w:iCs w:val="0"/>
              <w:noProof/>
            </w:rPr>
          </w:pPr>
          <w:hyperlink w:anchor="_Toc217044538" w:history="1">
            <w:r w:rsidRPr="00ED03FE">
              <w:rPr>
                <w:rStyle w:val="ae"/>
                <w:noProof/>
              </w:rPr>
              <w:t>References</w:t>
            </w:r>
            <w:r>
              <w:rPr>
                <w:noProof/>
                <w:webHidden/>
              </w:rPr>
              <w:tab/>
            </w:r>
            <w:r>
              <w:rPr>
                <w:noProof/>
                <w:webHidden/>
              </w:rPr>
              <w:fldChar w:fldCharType="begin"/>
            </w:r>
            <w:r>
              <w:rPr>
                <w:noProof/>
                <w:webHidden/>
              </w:rPr>
              <w:instrText xml:space="preserve"> PAGEREF _Toc217044538 \h </w:instrText>
            </w:r>
            <w:r>
              <w:rPr>
                <w:noProof/>
                <w:webHidden/>
              </w:rPr>
            </w:r>
            <w:r>
              <w:rPr>
                <w:noProof/>
                <w:webHidden/>
              </w:rPr>
              <w:fldChar w:fldCharType="separate"/>
            </w:r>
            <w:r>
              <w:rPr>
                <w:noProof/>
                <w:webHidden/>
              </w:rPr>
              <w:t>16</w:t>
            </w:r>
            <w:r>
              <w:rPr>
                <w:noProof/>
                <w:webHidden/>
              </w:rPr>
              <w:fldChar w:fldCharType="end"/>
            </w:r>
          </w:hyperlink>
        </w:p>
        <w:p w14:paraId="03C5D91E" w14:textId="4D6253CE" w:rsidR="009E64D4" w:rsidRDefault="009E64D4">
          <w:r>
            <w:rPr>
              <w:b/>
              <w:bCs/>
              <w:noProof/>
            </w:rPr>
            <w:fldChar w:fldCharType="end"/>
          </w:r>
        </w:p>
      </w:sdtContent>
    </w:sdt>
    <w:p w14:paraId="122C6ED4" w14:textId="77777777" w:rsidR="009E64D4" w:rsidRDefault="009E64D4" w:rsidP="009E64D4">
      <w:pPr>
        <w:pStyle w:val="1"/>
        <w:rPr>
          <w:rFonts w:eastAsia="Times New Roman"/>
        </w:rPr>
      </w:pPr>
    </w:p>
    <w:p w14:paraId="514A3172" w14:textId="77777777" w:rsidR="009E64D4" w:rsidRDefault="009E64D4">
      <w:pPr>
        <w:rPr>
          <w:rFonts w:asciiTheme="majorHAnsi" w:eastAsia="Times New Roman" w:hAnsiTheme="majorHAnsi" w:cstheme="majorBidi"/>
          <w:color w:val="0F4761" w:themeColor="accent1" w:themeShade="BF"/>
          <w:sz w:val="40"/>
          <w:szCs w:val="40"/>
        </w:rPr>
      </w:pPr>
      <w:r>
        <w:rPr>
          <w:rFonts w:eastAsia="Times New Roman"/>
        </w:rPr>
        <w:br w:type="page"/>
      </w:r>
    </w:p>
    <w:p w14:paraId="4B92A7B8" w14:textId="5B651E59" w:rsidR="009E64D4" w:rsidRPr="009E64D4" w:rsidRDefault="009E64D4" w:rsidP="009E64D4">
      <w:pPr>
        <w:pStyle w:val="1"/>
        <w:rPr>
          <w:rFonts w:eastAsia="Times New Roman"/>
        </w:rPr>
      </w:pPr>
      <w:bookmarkStart w:id="0" w:name="_Toc217044305"/>
      <w:bookmarkStart w:id="1" w:name="_Toc217044520"/>
      <w:r w:rsidRPr="009E64D4">
        <w:rPr>
          <w:rFonts w:eastAsia="Times New Roman"/>
        </w:rPr>
        <w:lastRenderedPageBreak/>
        <w:t>1. Introduction of the Company</w:t>
      </w:r>
      <w:bookmarkEnd w:id="0"/>
      <w:bookmarkEnd w:id="1"/>
    </w:p>
    <w:p w14:paraId="2F1A518E"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WHOOP is a global health and performance technology company specialising in wearable devices and advanced physiological data analytics. Although headquartered in the United States, WHOOP operates extensively within the United Kingdom, where it targets professional athletes, fitness enthusiasts, and increasingly, health-conscious consumers seeking data-driven insights into their wellbeing. The organisation differentiates itself from traditional fitness tracker providers by focusing on continuous health monitoring, long-term behavioural insights, and a subscription-based service model rather than one-off device sales.</w:t>
      </w:r>
    </w:p>
    <w:p w14:paraId="5EBA8A76"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The WHOOP Strap is designed to collect and analyse key biometric data, including heart rate, heart rate variability, respiratory rate, sleep quality, and recovery levels. These metrics are interpreted through a mobile application that provides personalised feedback to support improved performance, recovery, and overall health. Unlike competitors that prioritise visual displays and step-counting features, WHOOP adopts a minimalist hardware approach, placing greater emphasis on data accuracy, scientific validation, and actionable insights. This positioning aligns closely with current trends in preventive healthcare and digital health innovation within the UK.</w:t>
      </w:r>
    </w:p>
    <w:p w14:paraId="0B77370D"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In response to increasing demand for personalised health monitoring and early detection of potential health risks, WHOOP is planning to launch a new wearable health device within the next six months. The proposed product will enhance existing functionality by incorporating advanced heart rate monitoring, blood oxygen (SpO</w:t>
      </w:r>
      <w:r w:rsidRPr="009E64D4">
        <w:rPr>
          <w:rFonts w:ascii="Cambria Math" w:eastAsia="Times New Roman" w:hAnsi="Cambria Math" w:cs="Cambria Math"/>
          <w:kern w:val="0"/>
          <w14:ligatures w14:val="none"/>
        </w:rPr>
        <w:t>₂</w:t>
      </w:r>
      <w:r w:rsidRPr="009E64D4">
        <w:rPr>
          <w:rFonts w:eastAsia="Times New Roman" w:cs="Arial"/>
          <w:kern w:val="0"/>
          <w14:ligatures w14:val="none"/>
        </w:rPr>
        <w:t>) measurement, and more sophisticated sleep pattern analysis. This launch represents a strategically significant project that must balance technological innovation, regulatory compliance, and commercial viability.</w:t>
      </w:r>
    </w:p>
    <w:p w14:paraId="293A3376"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 xml:space="preserve">As the appointed project manager, my responsibility is to ensure the successful delivery of this product by engaging a wide range of internal and external stakeholders throughout the project lifecycle. In healthcare technology projects, stakeholder engagement is particularly critical due to the sensitivity of health data, strict regulatory requirements, and </w:t>
      </w:r>
      <w:r w:rsidRPr="009E64D4">
        <w:rPr>
          <w:rFonts w:eastAsia="Times New Roman" w:cs="Arial"/>
          <w:kern w:val="0"/>
          <w14:ligatures w14:val="none"/>
        </w:rPr>
        <w:lastRenderedPageBreak/>
        <w:t>the need for cross-functional collaboration. This report therefore critically examines the application of stakeholder engagement mechanisms in preparing the new WHOOP device for launch, evaluating their impact on project success and overall business performance.</w:t>
      </w:r>
    </w:p>
    <w:p w14:paraId="1736FA22" w14:textId="77777777" w:rsidR="009E64D4" w:rsidRPr="009E64D4" w:rsidRDefault="009E64D4" w:rsidP="009E64D4">
      <w:pPr>
        <w:pStyle w:val="1"/>
        <w:rPr>
          <w:rFonts w:eastAsia="Times New Roman"/>
        </w:rPr>
      </w:pPr>
      <w:bookmarkStart w:id="2" w:name="_Toc217044306"/>
      <w:bookmarkStart w:id="3" w:name="_Toc217044521"/>
      <w:r w:rsidRPr="009E64D4">
        <w:rPr>
          <w:rFonts w:eastAsia="Times New Roman"/>
        </w:rPr>
        <w:t>2. Company Appraisal Using SWOT Analysis</w:t>
      </w:r>
      <w:bookmarkEnd w:id="2"/>
      <w:bookmarkEnd w:id="3"/>
    </w:p>
    <w:p w14:paraId="13424847" w14:textId="77777777" w:rsidR="009E64D4" w:rsidRPr="009E64D4" w:rsidRDefault="009E64D4" w:rsidP="009E64D4">
      <w:pPr>
        <w:pStyle w:val="p1"/>
        <w:spacing w:line="360" w:lineRule="auto"/>
        <w:jc w:val="both"/>
        <w:rPr>
          <w:rFonts w:ascii="Arial" w:hAnsi="Arial" w:cs="Arial"/>
        </w:rPr>
      </w:pPr>
      <w:r w:rsidRPr="009E64D4">
        <w:rPr>
          <w:rFonts w:ascii="Arial" w:hAnsi="Arial" w:cs="Arial"/>
        </w:rPr>
        <w:t>A SWOT analysis provides a structured evaluation of WHOOP’s internal capabilities and external environment, allowing strategic insight into factors that may influence the success of the new product launch.</w:t>
      </w:r>
    </w:p>
    <w:p w14:paraId="4590741B" w14:textId="77777777" w:rsidR="009E64D4" w:rsidRDefault="009E64D4"/>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68"/>
        <w:gridCol w:w="4292"/>
      </w:tblGrid>
      <w:tr w:rsidR="009E64D4" w:rsidRPr="009E64D4" w14:paraId="4C53F9AB" w14:textId="77777777">
        <w:trPr>
          <w:tblHeader/>
          <w:tblCellSpacing w:w="15" w:type="dxa"/>
        </w:trPr>
        <w:tc>
          <w:tcPr>
            <w:tcW w:w="0" w:type="auto"/>
            <w:vAlign w:val="center"/>
            <w:hideMark/>
          </w:tcPr>
          <w:p w14:paraId="135B9A0B"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Strengths</w:t>
            </w:r>
          </w:p>
        </w:tc>
        <w:tc>
          <w:tcPr>
            <w:tcW w:w="0" w:type="auto"/>
            <w:vAlign w:val="center"/>
            <w:hideMark/>
          </w:tcPr>
          <w:p w14:paraId="3C3159EF"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Weaknesses</w:t>
            </w:r>
          </w:p>
        </w:tc>
      </w:tr>
      <w:tr w:rsidR="009E64D4" w:rsidRPr="009E64D4" w14:paraId="1CD2F9B4" w14:textId="77777777">
        <w:trPr>
          <w:tblCellSpacing w:w="15" w:type="dxa"/>
        </w:trPr>
        <w:tc>
          <w:tcPr>
            <w:tcW w:w="0" w:type="auto"/>
            <w:vAlign w:val="center"/>
            <w:hideMark/>
          </w:tcPr>
          <w:p w14:paraId="4C9DF8C6"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Strong brand reputation in the wearable health and performance market, particularly among athletes and fitness-focused consumers.</w:t>
            </w:r>
          </w:p>
        </w:tc>
        <w:tc>
          <w:tcPr>
            <w:tcW w:w="0" w:type="auto"/>
            <w:vAlign w:val="center"/>
            <w:hideMark/>
          </w:tcPr>
          <w:p w14:paraId="635DB41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Premium pricing and mandatory subscription model may limit accessibility for price-sensitive customers.</w:t>
            </w:r>
          </w:p>
        </w:tc>
      </w:tr>
      <w:tr w:rsidR="009E64D4" w:rsidRPr="009E64D4" w14:paraId="3497137E" w14:textId="77777777">
        <w:trPr>
          <w:tblCellSpacing w:w="15" w:type="dxa"/>
        </w:trPr>
        <w:tc>
          <w:tcPr>
            <w:tcW w:w="0" w:type="auto"/>
            <w:vAlign w:val="center"/>
            <w:hideMark/>
          </w:tcPr>
          <w:p w14:paraId="64C220F7"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Advanced data analytics and scientifically grounded insights that differentiate WHOOP from basic fitness trackers.</w:t>
            </w:r>
          </w:p>
        </w:tc>
        <w:tc>
          <w:tcPr>
            <w:tcW w:w="0" w:type="auto"/>
            <w:vAlign w:val="center"/>
            <w:hideMark/>
          </w:tcPr>
          <w:p w14:paraId="067794E0"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Lack of an on-device display may reduce appeal for users who prefer real-time visual feedback.</w:t>
            </w:r>
          </w:p>
        </w:tc>
      </w:tr>
      <w:tr w:rsidR="009E64D4" w:rsidRPr="009E64D4" w14:paraId="340D34A7" w14:textId="77777777">
        <w:trPr>
          <w:tblCellSpacing w:w="15" w:type="dxa"/>
        </w:trPr>
        <w:tc>
          <w:tcPr>
            <w:tcW w:w="0" w:type="auto"/>
            <w:vAlign w:val="center"/>
            <w:hideMark/>
          </w:tcPr>
          <w:p w14:paraId="22D3928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Subscription-based business model provides recurring revenue and long-term customer engagement.</w:t>
            </w:r>
          </w:p>
        </w:tc>
        <w:tc>
          <w:tcPr>
            <w:tcW w:w="0" w:type="auto"/>
            <w:vAlign w:val="center"/>
            <w:hideMark/>
          </w:tcPr>
          <w:p w14:paraId="29A82E84"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Heavy reliance on digital platforms increases exposure to cybersecurity and data privacy risks.</w:t>
            </w:r>
          </w:p>
        </w:tc>
      </w:tr>
      <w:tr w:rsidR="009E64D4" w:rsidRPr="009E64D4" w14:paraId="1C889B78" w14:textId="77777777">
        <w:trPr>
          <w:tblCellSpacing w:w="15" w:type="dxa"/>
        </w:trPr>
        <w:tc>
          <w:tcPr>
            <w:tcW w:w="0" w:type="auto"/>
            <w:vAlign w:val="center"/>
            <w:hideMark/>
          </w:tcPr>
          <w:p w14:paraId="79A9B51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Strong partnerships with elite athletes and sports organisations enhance credibility and brand trust.</w:t>
            </w:r>
          </w:p>
        </w:tc>
        <w:tc>
          <w:tcPr>
            <w:tcW w:w="0" w:type="auto"/>
            <w:vAlign w:val="center"/>
            <w:hideMark/>
          </w:tcPr>
          <w:p w14:paraId="7E945B89"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Limited appeal to casual users compared to multifunctional competitors such as smartwatches.</w:t>
            </w:r>
          </w:p>
        </w:tc>
      </w:tr>
    </w:tbl>
    <w:p w14:paraId="0D793363" w14:textId="77777777" w:rsidR="009E64D4" w:rsidRPr="009E64D4" w:rsidRDefault="009E64D4">
      <w:pPr>
        <w:rPr>
          <w:rFonts w:cs="Arial"/>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28"/>
        <w:gridCol w:w="4332"/>
      </w:tblGrid>
      <w:tr w:rsidR="009E64D4" w:rsidRPr="009E64D4" w14:paraId="1887FAA0" w14:textId="77777777">
        <w:trPr>
          <w:tblHeader/>
          <w:tblCellSpacing w:w="15" w:type="dxa"/>
        </w:trPr>
        <w:tc>
          <w:tcPr>
            <w:tcW w:w="0" w:type="auto"/>
            <w:vAlign w:val="center"/>
            <w:hideMark/>
          </w:tcPr>
          <w:p w14:paraId="72439EE9"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Opportunities</w:t>
            </w:r>
          </w:p>
        </w:tc>
        <w:tc>
          <w:tcPr>
            <w:tcW w:w="0" w:type="auto"/>
            <w:vAlign w:val="center"/>
            <w:hideMark/>
          </w:tcPr>
          <w:p w14:paraId="273432A7"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Threats</w:t>
            </w:r>
          </w:p>
        </w:tc>
      </w:tr>
      <w:tr w:rsidR="009E64D4" w:rsidRPr="009E64D4" w14:paraId="1EFE9528" w14:textId="77777777">
        <w:trPr>
          <w:tblCellSpacing w:w="15" w:type="dxa"/>
        </w:trPr>
        <w:tc>
          <w:tcPr>
            <w:tcW w:w="0" w:type="auto"/>
            <w:vAlign w:val="center"/>
            <w:hideMark/>
          </w:tcPr>
          <w:p w14:paraId="33A68A5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Growing demand for preventive healthcare, sleep optimisation, and personalised wellness solutions in the UK.</w:t>
            </w:r>
          </w:p>
        </w:tc>
        <w:tc>
          <w:tcPr>
            <w:tcW w:w="0" w:type="auto"/>
            <w:vAlign w:val="center"/>
            <w:hideMark/>
          </w:tcPr>
          <w:p w14:paraId="17151620"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Intense competition from established brands such as Apple, Fitbit, and Garmin.</w:t>
            </w:r>
          </w:p>
        </w:tc>
      </w:tr>
      <w:tr w:rsidR="009E64D4" w:rsidRPr="009E64D4" w14:paraId="3A008E32" w14:textId="77777777">
        <w:trPr>
          <w:tblCellSpacing w:w="15" w:type="dxa"/>
        </w:trPr>
        <w:tc>
          <w:tcPr>
            <w:tcW w:w="0" w:type="auto"/>
            <w:vAlign w:val="center"/>
            <w:hideMark/>
          </w:tcPr>
          <w:p w14:paraId="27ACD69B"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Increasing integration of digital health technologies within healthcare and corporate wellness programmes.</w:t>
            </w:r>
          </w:p>
        </w:tc>
        <w:tc>
          <w:tcPr>
            <w:tcW w:w="0" w:type="auto"/>
            <w:vAlign w:val="center"/>
            <w:hideMark/>
          </w:tcPr>
          <w:p w14:paraId="2CB1BF3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Strict regulatory requirements and potential reclassification as a medical device in the UK.</w:t>
            </w:r>
          </w:p>
        </w:tc>
      </w:tr>
      <w:tr w:rsidR="009E64D4" w:rsidRPr="009E64D4" w14:paraId="03D9515F" w14:textId="77777777">
        <w:trPr>
          <w:tblCellSpacing w:w="15" w:type="dxa"/>
        </w:trPr>
        <w:tc>
          <w:tcPr>
            <w:tcW w:w="0" w:type="auto"/>
            <w:vAlign w:val="center"/>
            <w:hideMark/>
          </w:tcPr>
          <w:p w14:paraId="425BF45F"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Rising public awareness of cardiovascular health and sleep-related disorders.</w:t>
            </w:r>
          </w:p>
        </w:tc>
        <w:tc>
          <w:tcPr>
            <w:tcW w:w="0" w:type="auto"/>
            <w:vAlign w:val="center"/>
            <w:hideMark/>
          </w:tcPr>
          <w:p w14:paraId="5CBAC30A"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Rapid technological advancements may shorten product life cycles.</w:t>
            </w:r>
          </w:p>
        </w:tc>
      </w:tr>
      <w:tr w:rsidR="009E64D4" w:rsidRPr="009E64D4" w14:paraId="5EE23EFA" w14:textId="77777777">
        <w:trPr>
          <w:tblCellSpacing w:w="15" w:type="dxa"/>
        </w:trPr>
        <w:tc>
          <w:tcPr>
            <w:tcW w:w="0" w:type="auto"/>
            <w:vAlign w:val="center"/>
            <w:hideMark/>
          </w:tcPr>
          <w:p w14:paraId="43134ADB"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lastRenderedPageBreak/>
              <w:t>Potential partnerships with healthcare providers, insurers, and employers in the UK market.</w:t>
            </w:r>
          </w:p>
        </w:tc>
        <w:tc>
          <w:tcPr>
            <w:tcW w:w="0" w:type="auto"/>
            <w:vAlign w:val="center"/>
            <w:hideMark/>
          </w:tcPr>
          <w:p w14:paraId="562B86E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Consumer concerns regarding data protection and compliance with UK GDPR regulations.</w:t>
            </w:r>
          </w:p>
        </w:tc>
      </w:tr>
    </w:tbl>
    <w:p w14:paraId="473282CE" w14:textId="77777777" w:rsidR="009E64D4" w:rsidRDefault="009E64D4">
      <w:pPr>
        <w:rPr>
          <w:b/>
          <w:bCs/>
        </w:rPr>
      </w:pPr>
    </w:p>
    <w:p w14:paraId="56B2CA72" w14:textId="77777777" w:rsidR="009E64D4" w:rsidRPr="009E64D4" w:rsidRDefault="009E64D4" w:rsidP="009E64D4">
      <w:pPr>
        <w:pStyle w:val="1"/>
        <w:rPr>
          <w:rFonts w:eastAsia="Times New Roman"/>
        </w:rPr>
      </w:pPr>
      <w:bookmarkStart w:id="4" w:name="_Toc217044307"/>
      <w:bookmarkStart w:id="5" w:name="_Toc217044522"/>
      <w:r w:rsidRPr="009E64D4">
        <w:rPr>
          <w:rFonts w:eastAsia="Times New Roman"/>
        </w:rPr>
        <w:t>3. Identification of Key Internal and External Stakeholders</w:t>
      </w:r>
      <w:bookmarkEnd w:id="4"/>
      <w:bookmarkEnd w:id="5"/>
    </w:p>
    <w:p w14:paraId="3256E9B8"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The successful launch of WHOOP’s new wearable health device depends on the effective identification and engagement of a wide range of internal and external stakeholders. Stakeholders are individuals or groups that have an interest in, or can influence, the outcomes of a project. In a healthcare technology context, stakeholder complexity is increased due to regulatory requirements, data sensitivity, and the need for technical reliability. Early and systematic stakeholder identification enables the project manager to anticipate expectations, manage risks, and allocate resources efficiently.</w:t>
      </w:r>
    </w:p>
    <w:p w14:paraId="000C1928" w14:textId="77777777" w:rsidR="009E64D4" w:rsidRPr="009E64D4" w:rsidRDefault="009E64D4" w:rsidP="009E64D4">
      <w:pPr>
        <w:spacing w:before="100" w:beforeAutospacing="1" w:after="100" w:afterAutospacing="1" w:line="360" w:lineRule="auto"/>
        <w:jc w:val="both"/>
        <w:outlineLvl w:val="2"/>
        <w:rPr>
          <w:rFonts w:eastAsia="Times New Roman" w:cs="Arial"/>
          <w:b/>
          <w:bCs/>
          <w:kern w:val="0"/>
          <w14:ligatures w14:val="none"/>
        </w:rPr>
      </w:pPr>
      <w:bookmarkStart w:id="6" w:name="_Toc217044308"/>
      <w:bookmarkStart w:id="7" w:name="_Toc217044523"/>
      <w:r w:rsidRPr="009E64D4">
        <w:rPr>
          <w:rFonts w:eastAsia="Times New Roman" w:cs="Arial"/>
          <w:b/>
          <w:bCs/>
          <w:kern w:val="0"/>
          <w14:ligatures w14:val="none"/>
        </w:rPr>
        <w:t>Internal Stakeholders</w:t>
      </w:r>
      <w:bookmarkEnd w:id="6"/>
      <w:bookmarkEnd w:id="7"/>
    </w:p>
    <w:p w14:paraId="54BA1A99"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Internal stakeholders play a direct role in the planning, development, and delivery of the wearable device. The product development team is a critical stakeholder group responsible for hardware engineering, device design, firmware development, and integration of sensors capable of accurately tracking heart rate, blood oxygen levels, and sleep patterns. Closely linked to this team is the data and analytics team, whose role is to develop and refine algorithms that convert raw physiological data into meaningful health insights presented through the WHOOP mobile application.</w:t>
      </w:r>
    </w:p>
    <w:p w14:paraId="1B9A0C02"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 xml:space="preserve">The regulatory and compliance team represents another high-influence internal stakeholder. This group ensures that the device complies with UK healthcare regulations, data protection laws such as UK GDPR, and any relevant guidance from the Medicines and Healthcare products Regulatory Agency (MHRA). Their involvement is essential to reduce legal, financial, and reputational risk. The marketing and communications team is responsible for market positioning, branding, and consumer engagement strategies, ensuring the product launch aligns with WHOOP’s premium and science-driven brand </w:t>
      </w:r>
      <w:r w:rsidRPr="009E64D4">
        <w:rPr>
          <w:rFonts w:eastAsia="Times New Roman" w:cs="Arial"/>
          <w:kern w:val="0"/>
          <w14:ligatures w14:val="none"/>
        </w:rPr>
        <w:lastRenderedPageBreak/>
        <w:t>identity. In parallel, the sales and commercial team focuses on subscription acquisition, distribution channels, pricing strategies, and partnerships.</w:t>
      </w:r>
    </w:p>
    <w:p w14:paraId="38AB5369"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Senior management and the executive leadership team act as strategic stakeholders by providing governance, approving budgets, and making key decisions at project milestones. Their level of power and interest places them among the most influential stakeholders in the project.</w:t>
      </w:r>
    </w:p>
    <w:p w14:paraId="1883F7FC" w14:textId="77777777" w:rsidR="009E64D4" w:rsidRPr="009E64D4" w:rsidRDefault="009E64D4" w:rsidP="009E64D4">
      <w:pPr>
        <w:spacing w:before="100" w:beforeAutospacing="1" w:after="100" w:afterAutospacing="1" w:line="360" w:lineRule="auto"/>
        <w:jc w:val="both"/>
        <w:outlineLvl w:val="2"/>
        <w:rPr>
          <w:rFonts w:eastAsia="Times New Roman" w:cs="Arial"/>
          <w:b/>
          <w:bCs/>
          <w:kern w:val="0"/>
          <w14:ligatures w14:val="none"/>
        </w:rPr>
      </w:pPr>
      <w:bookmarkStart w:id="8" w:name="_Toc217044309"/>
      <w:bookmarkStart w:id="9" w:name="_Toc217044524"/>
      <w:r w:rsidRPr="009E64D4">
        <w:rPr>
          <w:rFonts w:eastAsia="Times New Roman" w:cs="Arial"/>
          <w:b/>
          <w:bCs/>
          <w:kern w:val="0"/>
          <w14:ligatures w14:val="none"/>
        </w:rPr>
        <w:t>External Stakeholders</w:t>
      </w:r>
      <w:bookmarkEnd w:id="8"/>
      <w:bookmarkEnd w:id="9"/>
    </w:p>
    <w:p w14:paraId="6F69A8D5"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External stakeholders include parties outside the organisation who significantly influence project outcomes. Suppliers and manufacturing partners are responsible for producing device components and assembling the wearable at scale. Their performance directly affects cost control, quality assurance, and delivery timelines. Technology partners, including cloud service providers and application platforms, support data processing, storage, and system reliability.</w:t>
      </w:r>
    </w:p>
    <w:p w14:paraId="771CFAD7"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Regulatory bodies, particularly the MHRA, play a crucial external role by setting compliance requirements that must be met prior to market launch. Healthcare professionals and research partners contribute clinical credibility and may support validation studies, increasing consumer trust in the product’s health insights. Finally, customers and end users represent a critical stakeholder group, as their acceptance, satisfaction, and continued subscription determine the long-term commercial success of the product. Investors and strategic partners also remain key external stakeholders due to their financial interest in project performance.</w:t>
      </w:r>
    </w:p>
    <w:p w14:paraId="1FD7F981"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By identifying and categorising these stakeholders early, the project manager can tailor engagement strategies according to stakeholder influence, expectations, and potential impact on project success.</w:t>
      </w:r>
    </w:p>
    <w:p w14:paraId="35FD9E8C" w14:textId="77777777" w:rsidR="009E64D4" w:rsidRPr="009E64D4" w:rsidRDefault="009E64D4" w:rsidP="009E64D4">
      <w:pPr>
        <w:pStyle w:val="1"/>
        <w:rPr>
          <w:rFonts w:eastAsia="Times New Roman"/>
        </w:rPr>
      </w:pPr>
      <w:bookmarkStart w:id="10" w:name="_Toc217044310"/>
      <w:bookmarkStart w:id="11" w:name="_Toc217044525"/>
      <w:r w:rsidRPr="009E64D4">
        <w:rPr>
          <w:rFonts w:eastAsia="Times New Roman"/>
        </w:rPr>
        <w:lastRenderedPageBreak/>
        <w:t>4. Roles, Responsibilities, Benefits, and Challenges of Key Stakeholders</w:t>
      </w:r>
      <w:bookmarkEnd w:id="10"/>
      <w:bookmarkEnd w:id="11"/>
    </w:p>
    <w:p w14:paraId="0079EDA7"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The effective delivery of WHOOP’s new wearable health device relies on the coordinated contribution of multiple internal and external stakeholders, each with distinct roles, responsibilities, and expectations. Understanding not only what these stakeholders do, but also the benefits they bring and the challenges they face, enables the project manager to design appropriate engagement and conflict management strategies throughout the project lifecycle.</w:t>
      </w:r>
    </w:p>
    <w:p w14:paraId="4509274B" w14:textId="77777777" w:rsidR="009E64D4" w:rsidRPr="009E64D4" w:rsidRDefault="009E64D4" w:rsidP="009E64D4">
      <w:pPr>
        <w:spacing w:before="100" w:beforeAutospacing="1" w:after="100" w:afterAutospacing="1" w:line="240" w:lineRule="auto"/>
        <w:jc w:val="both"/>
        <w:outlineLvl w:val="2"/>
        <w:rPr>
          <w:rFonts w:eastAsia="Times New Roman" w:cs="Arial"/>
          <w:b/>
          <w:bCs/>
          <w:kern w:val="0"/>
          <w14:ligatures w14:val="none"/>
        </w:rPr>
      </w:pPr>
      <w:bookmarkStart w:id="12" w:name="_Toc217044311"/>
      <w:bookmarkStart w:id="13" w:name="_Toc217044526"/>
      <w:r w:rsidRPr="009E64D4">
        <w:rPr>
          <w:rFonts w:eastAsia="Times New Roman" w:cs="Arial"/>
          <w:b/>
          <w:bCs/>
          <w:kern w:val="0"/>
          <w14:ligatures w14:val="none"/>
        </w:rPr>
        <w:t>Internal Stakeholders</w:t>
      </w:r>
      <w:bookmarkEnd w:id="12"/>
      <w:bookmarkEnd w:id="13"/>
    </w:p>
    <w:p w14:paraId="125DD863"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The product development team holds primary responsibility for the design, engineering, and technical functionality of the wearable device. This includes sensor integration, hardware durability, firmware development, and ensuring measurement accuracy for heart rate, blood oxygen levels, and sleep patterns. The benefit this team brings lies in its technical expertise and innovative capability, which directly influences product quality and market competitiveness. However, the team may face challenges related to tight development timelines, evolving technical requirements, and the need to balance innovation with reliability and cost constraints.</w:t>
      </w:r>
    </w:p>
    <w:p w14:paraId="678F72BA"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The data and analytics team is responsible for developing algorithms that translate raw physiological data into actionable insights for users. Their contribution significantly enhances the perceived value of the WHOOP device by enabling personalised health recommendations and long-term trend analysis. Despite these benefits, challenges include ensuring data accuracy, minimising algorithmic bias, and maintaining compliance with ethical data usage standards. The complexity of validating health-related data can also create dependency on regulatory and research stakeholders.</w:t>
      </w:r>
    </w:p>
    <w:p w14:paraId="4E162C0B"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The regulatory and compliance team plays a critical role in ensuring that the product adheres to UK healthcare regulations, MHRA guidelines, and UK GDPR requirements. Their involvement reduces legal and reputational risks and supports consumer trust. However, regulatory processes can be time-consuming and may introduce delays or design changes, creating tension with development and marketing teams seeking rapid progress.</w:t>
      </w:r>
    </w:p>
    <w:p w14:paraId="17357DAB"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The marketing and communications team is responsible for shaping the product narrative, positioning the device within the UK health and wellness market, and managing promotional campaigns. Their expertise supports customer acquisition and brand differentiation. Challenges faced by this team include managing competitive pressure, ensuring claims remain compliant with healthcare regulations, and aligning messaging with the actual capabilities of the device.</w:t>
      </w:r>
    </w:p>
    <w:p w14:paraId="7A22C968"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p>
    <w:p w14:paraId="23959524" w14:textId="2F5ED244"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lastRenderedPageBreak/>
        <w:t>The sales and commercial team focus on revenue generation, subscription growth, and partnerships. Their contribution ensures the project delivers measurable financial outcomes. However, challenges arise when market expectations conflict with technical limitations or pricing strategies, potentially leading to internal disagreements over product features and launch timing.</w:t>
      </w:r>
    </w:p>
    <w:p w14:paraId="2E49E522"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Senior management and the executive leadership team provide governance, strategic direction, and resource allocation. Their oversight ensures alignment with organisational goals, although competing priorities and risk tolerance levels may influence decision-making and project scope.</w:t>
      </w:r>
    </w:p>
    <w:p w14:paraId="5A9DEBDA" w14:textId="77777777" w:rsidR="009E64D4" w:rsidRPr="009E64D4" w:rsidRDefault="009E64D4" w:rsidP="009E64D4">
      <w:pPr>
        <w:spacing w:before="100" w:beforeAutospacing="1" w:after="100" w:afterAutospacing="1" w:line="240" w:lineRule="auto"/>
        <w:jc w:val="both"/>
        <w:outlineLvl w:val="2"/>
        <w:rPr>
          <w:rFonts w:eastAsia="Times New Roman" w:cs="Arial"/>
          <w:b/>
          <w:bCs/>
          <w:kern w:val="0"/>
          <w14:ligatures w14:val="none"/>
        </w:rPr>
      </w:pPr>
      <w:bookmarkStart w:id="14" w:name="_Toc217044312"/>
      <w:bookmarkStart w:id="15" w:name="_Toc217044527"/>
      <w:r w:rsidRPr="009E64D4">
        <w:rPr>
          <w:rFonts w:eastAsia="Times New Roman" w:cs="Arial"/>
          <w:b/>
          <w:bCs/>
          <w:kern w:val="0"/>
          <w14:ligatures w14:val="none"/>
        </w:rPr>
        <w:t>External Stakeholders</w:t>
      </w:r>
      <w:bookmarkEnd w:id="14"/>
      <w:bookmarkEnd w:id="15"/>
    </w:p>
    <w:p w14:paraId="505BA1B7"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Suppliers and manufacturing partners are responsible for component sourcing, device assembly, and quality assurance. Their involvement enables scalability and cost efficiency. However, challenges such as supply chain disruptions, quality variability, and dependency on external timelines may affect project delivery.</w:t>
      </w:r>
    </w:p>
    <w:p w14:paraId="4E43859A"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Healthcare professionals and research partners contribute clinical insight, validation, and credibility. Their involvement enhances trust and supports evidence-based marketing. Challenges may include scepticism toward commercial technology solutions and differing professional priorities.</w:t>
      </w:r>
    </w:p>
    <w:p w14:paraId="52F3BE31"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Customers and end users benefit from improved health awareness and personalised insights. However, concerns around data privacy, device comfort, and subscription cost represent potential barriers to adoption that must be addressed through transparent engagement.</w:t>
      </w:r>
    </w:p>
    <w:p w14:paraId="48A951C4"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By recognising the interconnected roles, benefits, and challenges of these stakeholders, the project manager is better positioned to design engagement strategies that reduce conflict, enhance collaboration, and support successful project outcomes.</w:t>
      </w:r>
    </w:p>
    <w:p w14:paraId="2DA49EF8" w14:textId="77777777" w:rsidR="009E64D4" w:rsidRPr="009E64D4" w:rsidRDefault="009E64D4" w:rsidP="009E64D4">
      <w:pPr>
        <w:pStyle w:val="1"/>
        <w:rPr>
          <w:rFonts w:eastAsia="Times New Roman"/>
        </w:rPr>
      </w:pPr>
      <w:bookmarkStart w:id="16" w:name="_Toc217044313"/>
      <w:bookmarkStart w:id="17" w:name="_Toc217044528"/>
      <w:r w:rsidRPr="009E64D4">
        <w:rPr>
          <w:rFonts w:eastAsia="Times New Roman"/>
        </w:rPr>
        <w:t>5. Stakeholder Engagement Frameworks, Models, and Tools</w:t>
      </w:r>
      <w:bookmarkEnd w:id="16"/>
      <w:bookmarkEnd w:id="17"/>
    </w:p>
    <w:p w14:paraId="275542C9"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Effective stakeholder engagement is essential to the successful delivery of WHOOP’s new wearable health device, particularly given the technical, regulatory, and commercial complexity of the project. To ensure stakeholders are engaged systematically and consistently, a range of established project management frameworks, models, and tools are applied. These tools support role clarity, communication efficiency, accountability, and conflict prevention throughout the project lifecycle.</w:t>
      </w:r>
    </w:p>
    <w:p w14:paraId="6A47EA7B"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 xml:space="preserve">One of the primary tools used is the stakeholder matrix (power–interest matrix), which categorises stakeholders according to their level of influence and interest in the project. </w:t>
      </w:r>
      <w:r w:rsidRPr="009E64D4">
        <w:rPr>
          <w:rFonts w:eastAsia="Times New Roman" w:cs="Arial"/>
          <w:kern w:val="0"/>
          <w14:ligatures w14:val="none"/>
        </w:rPr>
        <w:lastRenderedPageBreak/>
        <w:t>Senior management, regulatory bodies, and the product development team are identified as high-power, high-interest stakeholders and therefore require close management and frequent engagement. In contrast, stakeholders such as end users and secondary suppliers may be managed through regular updates and feedback mechanisms. This prioritisation ensures that engagement efforts are proportionate and strategically focused.</w:t>
      </w:r>
    </w:p>
    <w:p w14:paraId="40296602"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To further clarify roles and responsibilities across the project, a RACI matrix is applied. The RACI framework identifies who is Responsible, Accountable, Consulted, and Informed for key project activities. This tool is particularly valuable in cross-functional projects such as wearable device development, where role ambiguity can lead to delays, duplication of effort, or conflict. By clearly defining accountability, the RACI matrix supports coordination, decision-making, and performance monitoring.</w:t>
      </w:r>
    </w:p>
    <w:p w14:paraId="6CAD183C" w14:textId="77777777" w:rsidR="009E64D4" w:rsidRPr="009E64D4" w:rsidRDefault="009E64D4" w:rsidP="009E64D4">
      <w:pPr>
        <w:spacing w:before="100" w:beforeAutospacing="1" w:after="100" w:afterAutospacing="1" w:line="240" w:lineRule="auto"/>
        <w:outlineLvl w:val="2"/>
        <w:rPr>
          <w:rFonts w:eastAsia="Times New Roman" w:cs="Arial"/>
          <w:b/>
          <w:bCs/>
          <w:kern w:val="0"/>
          <w14:ligatures w14:val="none"/>
        </w:rPr>
      </w:pPr>
      <w:bookmarkStart w:id="18" w:name="_Toc217044314"/>
      <w:bookmarkStart w:id="19" w:name="_Toc217044529"/>
      <w:r w:rsidRPr="009E64D4">
        <w:rPr>
          <w:rFonts w:eastAsia="Times New Roman" w:cs="Arial"/>
          <w:b/>
          <w:bCs/>
          <w:kern w:val="0"/>
          <w14:ligatures w14:val="none"/>
        </w:rPr>
        <w:t>Table 2: RACI Matrix for WHOOP Wearable Health Device Launch</w:t>
      </w:r>
      <w:bookmarkEnd w:id="18"/>
      <w:bookmarkEnd w:id="19"/>
    </w:p>
    <w:p w14:paraId="3D220BFF" w14:textId="77777777" w:rsidR="009E64D4" w:rsidRPr="009E64D4" w:rsidRDefault="009E64D4" w:rsidP="009E64D4">
      <w:pPr>
        <w:pStyle w:val="p1"/>
        <w:rPr>
          <w:rFonts w:ascii="Arial" w:hAnsi="Arial" w:cs="Arial"/>
        </w:rPr>
      </w:pPr>
      <w:r w:rsidRPr="009E64D4">
        <w:rPr>
          <w:rStyle w:val="s1"/>
          <w:rFonts w:ascii="Arial" w:eastAsiaTheme="majorEastAsia" w:hAnsi="Arial" w:cs="Arial"/>
          <w:b/>
          <w:bCs/>
        </w:rPr>
        <w:t>Key:</w:t>
      </w:r>
      <w:r w:rsidRPr="009E64D4">
        <w:rPr>
          <w:rFonts w:ascii="Arial" w:hAnsi="Arial" w:cs="Arial"/>
        </w:rPr>
        <w:t xml:space="preserve"> R = Responsible</w:t>
      </w:r>
      <w:r w:rsidRPr="009E64D4">
        <w:rPr>
          <w:rFonts w:ascii="Arial" w:hAnsi="Arial" w:cs="Arial"/>
        </w:rPr>
        <w:t> </w:t>
      </w:r>
      <w:r w:rsidRPr="009E64D4">
        <w:rPr>
          <w:rFonts w:ascii="Arial" w:hAnsi="Arial" w:cs="Arial"/>
        </w:rPr>
        <w:t>A = Accountable</w:t>
      </w:r>
      <w:r w:rsidRPr="009E64D4">
        <w:rPr>
          <w:rFonts w:ascii="Arial" w:hAnsi="Arial" w:cs="Arial"/>
        </w:rPr>
        <w:t> </w:t>
      </w:r>
      <w:r w:rsidRPr="009E64D4">
        <w:rPr>
          <w:rFonts w:ascii="Arial" w:hAnsi="Arial" w:cs="Arial"/>
        </w:rPr>
        <w:t>C = Consulted</w:t>
      </w:r>
      <w:r w:rsidRPr="009E64D4">
        <w:rPr>
          <w:rFonts w:ascii="Arial" w:hAnsi="Arial" w:cs="Arial"/>
        </w:rPr>
        <w:t> </w:t>
      </w:r>
      <w:r w:rsidRPr="009E64D4">
        <w:rPr>
          <w:rFonts w:ascii="Arial" w:hAnsi="Arial" w:cs="Arial"/>
        </w:rPr>
        <w:t>I = Informed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7"/>
        <w:gridCol w:w="820"/>
        <w:gridCol w:w="1221"/>
        <w:gridCol w:w="882"/>
        <w:gridCol w:w="1107"/>
        <w:gridCol w:w="933"/>
        <w:gridCol w:w="543"/>
        <w:gridCol w:w="1333"/>
        <w:gridCol w:w="1204"/>
      </w:tblGrid>
      <w:tr w:rsidR="009E64D4" w:rsidRPr="009E64D4" w14:paraId="7A88C3C8" w14:textId="77777777">
        <w:trPr>
          <w:tblHeader/>
          <w:tblCellSpacing w:w="15" w:type="dxa"/>
        </w:trPr>
        <w:tc>
          <w:tcPr>
            <w:tcW w:w="0" w:type="auto"/>
            <w:vAlign w:val="center"/>
            <w:hideMark/>
          </w:tcPr>
          <w:p w14:paraId="5DEFCC8A"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Project Activities</w:t>
            </w:r>
          </w:p>
        </w:tc>
        <w:tc>
          <w:tcPr>
            <w:tcW w:w="0" w:type="auto"/>
            <w:vAlign w:val="center"/>
            <w:hideMark/>
          </w:tcPr>
          <w:p w14:paraId="5386A7DE"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Project Manager</w:t>
            </w:r>
          </w:p>
        </w:tc>
        <w:tc>
          <w:tcPr>
            <w:tcW w:w="0" w:type="auto"/>
            <w:vAlign w:val="center"/>
            <w:hideMark/>
          </w:tcPr>
          <w:p w14:paraId="6FE2D267"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Product Development Team</w:t>
            </w:r>
          </w:p>
        </w:tc>
        <w:tc>
          <w:tcPr>
            <w:tcW w:w="0" w:type="auto"/>
            <w:vAlign w:val="center"/>
            <w:hideMark/>
          </w:tcPr>
          <w:p w14:paraId="6BAEA2B1"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Data &amp; Analytics Team</w:t>
            </w:r>
          </w:p>
        </w:tc>
        <w:tc>
          <w:tcPr>
            <w:tcW w:w="0" w:type="auto"/>
            <w:vAlign w:val="center"/>
            <w:hideMark/>
          </w:tcPr>
          <w:p w14:paraId="25A44216"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Regulatory &amp; Compliance Team</w:t>
            </w:r>
          </w:p>
        </w:tc>
        <w:tc>
          <w:tcPr>
            <w:tcW w:w="0" w:type="auto"/>
            <w:vAlign w:val="center"/>
            <w:hideMark/>
          </w:tcPr>
          <w:p w14:paraId="2987FB1E"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Marketing Team</w:t>
            </w:r>
          </w:p>
        </w:tc>
        <w:tc>
          <w:tcPr>
            <w:tcW w:w="0" w:type="auto"/>
            <w:vAlign w:val="center"/>
            <w:hideMark/>
          </w:tcPr>
          <w:p w14:paraId="60B97F6B"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Sales Team</w:t>
            </w:r>
          </w:p>
        </w:tc>
        <w:tc>
          <w:tcPr>
            <w:tcW w:w="0" w:type="auto"/>
            <w:vAlign w:val="center"/>
            <w:hideMark/>
          </w:tcPr>
          <w:p w14:paraId="475A1DB0"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Suppliers / Manufacturing</w:t>
            </w:r>
          </w:p>
        </w:tc>
        <w:tc>
          <w:tcPr>
            <w:tcW w:w="0" w:type="auto"/>
            <w:vAlign w:val="center"/>
            <w:hideMark/>
          </w:tcPr>
          <w:p w14:paraId="6731BF67" w14:textId="77777777" w:rsidR="009E64D4" w:rsidRPr="009E64D4" w:rsidRDefault="009E64D4" w:rsidP="009E64D4">
            <w:pPr>
              <w:spacing w:before="100" w:beforeAutospacing="1" w:after="100" w:afterAutospacing="1" w:line="240" w:lineRule="auto"/>
              <w:jc w:val="center"/>
              <w:rPr>
                <w:rFonts w:eastAsia="Times New Roman" w:cs="Arial"/>
                <w:b/>
                <w:bCs/>
                <w:kern w:val="0"/>
                <w14:ligatures w14:val="none"/>
              </w:rPr>
            </w:pPr>
            <w:r w:rsidRPr="009E64D4">
              <w:rPr>
                <w:rFonts w:eastAsia="Times New Roman" w:cs="Arial"/>
                <w:b/>
                <w:bCs/>
                <w:kern w:val="0"/>
                <w14:ligatures w14:val="none"/>
              </w:rPr>
              <w:t>Senior Management</w:t>
            </w:r>
          </w:p>
        </w:tc>
      </w:tr>
      <w:tr w:rsidR="009E64D4" w:rsidRPr="009E64D4" w14:paraId="2F6F70C3" w14:textId="77777777">
        <w:trPr>
          <w:tblCellSpacing w:w="15" w:type="dxa"/>
        </w:trPr>
        <w:tc>
          <w:tcPr>
            <w:tcW w:w="0" w:type="auto"/>
            <w:vAlign w:val="center"/>
            <w:hideMark/>
          </w:tcPr>
          <w:p w14:paraId="6BCBC90A"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Project planning &amp; scheduling</w:t>
            </w:r>
          </w:p>
        </w:tc>
        <w:tc>
          <w:tcPr>
            <w:tcW w:w="0" w:type="auto"/>
            <w:vAlign w:val="center"/>
            <w:hideMark/>
          </w:tcPr>
          <w:p w14:paraId="03EC685E"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A</w:t>
            </w:r>
          </w:p>
        </w:tc>
        <w:tc>
          <w:tcPr>
            <w:tcW w:w="0" w:type="auto"/>
            <w:vAlign w:val="center"/>
            <w:hideMark/>
          </w:tcPr>
          <w:p w14:paraId="1F6C88A3"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21C2885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3EF4609F"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402B7B65"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5F299E0B"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5AA0E95B"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6A252E55"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r>
      <w:tr w:rsidR="009E64D4" w:rsidRPr="009E64D4" w14:paraId="221FF006" w14:textId="77777777">
        <w:trPr>
          <w:tblCellSpacing w:w="15" w:type="dxa"/>
        </w:trPr>
        <w:tc>
          <w:tcPr>
            <w:tcW w:w="0" w:type="auto"/>
            <w:vAlign w:val="center"/>
            <w:hideMark/>
          </w:tcPr>
          <w:p w14:paraId="6145A24F"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Device design &amp; development</w:t>
            </w:r>
          </w:p>
        </w:tc>
        <w:tc>
          <w:tcPr>
            <w:tcW w:w="0" w:type="auto"/>
            <w:vAlign w:val="center"/>
            <w:hideMark/>
          </w:tcPr>
          <w:p w14:paraId="477096C0"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45542CB9"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4944A167"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68F0D15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799C108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7332288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664908F9"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1AEA1B24"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r>
      <w:tr w:rsidR="009E64D4" w:rsidRPr="009E64D4" w14:paraId="707F57C5" w14:textId="77777777">
        <w:trPr>
          <w:tblCellSpacing w:w="15" w:type="dxa"/>
        </w:trPr>
        <w:tc>
          <w:tcPr>
            <w:tcW w:w="0" w:type="auto"/>
            <w:vAlign w:val="center"/>
            <w:hideMark/>
          </w:tcPr>
          <w:p w14:paraId="3E47D5A5"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Software &amp; algorithm development</w:t>
            </w:r>
          </w:p>
        </w:tc>
        <w:tc>
          <w:tcPr>
            <w:tcW w:w="0" w:type="auto"/>
            <w:vAlign w:val="center"/>
            <w:hideMark/>
          </w:tcPr>
          <w:p w14:paraId="64DBEF0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646D1849"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48498C53"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489923E5"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3602D69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25EE525E"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42DAA3E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58CDF6BB"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r>
      <w:tr w:rsidR="009E64D4" w:rsidRPr="009E64D4" w14:paraId="3AFFFDEC" w14:textId="77777777">
        <w:trPr>
          <w:tblCellSpacing w:w="15" w:type="dxa"/>
        </w:trPr>
        <w:tc>
          <w:tcPr>
            <w:tcW w:w="0" w:type="auto"/>
            <w:vAlign w:val="center"/>
            <w:hideMark/>
          </w:tcPr>
          <w:p w14:paraId="605719B9"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Regulatory approval &amp; compliance</w:t>
            </w:r>
          </w:p>
        </w:tc>
        <w:tc>
          <w:tcPr>
            <w:tcW w:w="0" w:type="auto"/>
            <w:vAlign w:val="center"/>
            <w:hideMark/>
          </w:tcPr>
          <w:p w14:paraId="0882C379"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1B91B6B3"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401ABE47"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5D028E0C"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46103D8C"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7815FFDE"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7F05E9F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20ECE453"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A</w:t>
            </w:r>
          </w:p>
        </w:tc>
      </w:tr>
      <w:tr w:rsidR="009E64D4" w:rsidRPr="009E64D4" w14:paraId="031EE364" w14:textId="77777777">
        <w:trPr>
          <w:tblCellSpacing w:w="15" w:type="dxa"/>
        </w:trPr>
        <w:tc>
          <w:tcPr>
            <w:tcW w:w="0" w:type="auto"/>
            <w:vAlign w:val="center"/>
            <w:hideMark/>
          </w:tcPr>
          <w:p w14:paraId="09BD224D"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Supplier selection &amp; manufacturing</w:t>
            </w:r>
          </w:p>
        </w:tc>
        <w:tc>
          <w:tcPr>
            <w:tcW w:w="0" w:type="auto"/>
            <w:vAlign w:val="center"/>
            <w:hideMark/>
          </w:tcPr>
          <w:p w14:paraId="37D9961A"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31602AC7"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5155EB2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682A653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3D7913F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68FEEA27"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1669BFB3"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71EBEE39"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A</w:t>
            </w:r>
          </w:p>
        </w:tc>
      </w:tr>
      <w:tr w:rsidR="009E64D4" w:rsidRPr="009E64D4" w14:paraId="7E3104D9" w14:textId="77777777">
        <w:trPr>
          <w:tblCellSpacing w:w="15" w:type="dxa"/>
        </w:trPr>
        <w:tc>
          <w:tcPr>
            <w:tcW w:w="0" w:type="auto"/>
            <w:vAlign w:val="center"/>
            <w:hideMark/>
          </w:tcPr>
          <w:p w14:paraId="53062F5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Product testing &amp; quality assurance</w:t>
            </w:r>
          </w:p>
        </w:tc>
        <w:tc>
          <w:tcPr>
            <w:tcW w:w="0" w:type="auto"/>
            <w:vAlign w:val="center"/>
            <w:hideMark/>
          </w:tcPr>
          <w:p w14:paraId="2F532FC5"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255C592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62D51D09"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24C7C36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1E9F234D"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5A1A0A40"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34082BD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3885C05A"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r>
      <w:tr w:rsidR="009E64D4" w:rsidRPr="009E64D4" w14:paraId="642B8694" w14:textId="77777777">
        <w:trPr>
          <w:tblCellSpacing w:w="15" w:type="dxa"/>
        </w:trPr>
        <w:tc>
          <w:tcPr>
            <w:tcW w:w="0" w:type="auto"/>
            <w:vAlign w:val="center"/>
            <w:hideMark/>
          </w:tcPr>
          <w:p w14:paraId="3993F5F7"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lastRenderedPageBreak/>
              <w:t>Marketing strategy &amp; campaign execution</w:t>
            </w:r>
          </w:p>
        </w:tc>
        <w:tc>
          <w:tcPr>
            <w:tcW w:w="0" w:type="auto"/>
            <w:vAlign w:val="center"/>
            <w:hideMark/>
          </w:tcPr>
          <w:p w14:paraId="7C4FC53E"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1B4EC46D"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37D24877"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1932BFEB"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4AF9672C"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5CF7E3CA"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2CEAB04C"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427A2D60"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A</w:t>
            </w:r>
          </w:p>
        </w:tc>
      </w:tr>
      <w:tr w:rsidR="009E64D4" w:rsidRPr="009E64D4" w14:paraId="5EEB79AD" w14:textId="77777777">
        <w:trPr>
          <w:tblCellSpacing w:w="15" w:type="dxa"/>
        </w:trPr>
        <w:tc>
          <w:tcPr>
            <w:tcW w:w="0" w:type="auto"/>
            <w:vAlign w:val="center"/>
            <w:hideMark/>
          </w:tcPr>
          <w:p w14:paraId="74D6B946"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Sales channel preparation &amp; launch</w:t>
            </w:r>
          </w:p>
        </w:tc>
        <w:tc>
          <w:tcPr>
            <w:tcW w:w="0" w:type="auto"/>
            <w:vAlign w:val="center"/>
            <w:hideMark/>
          </w:tcPr>
          <w:p w14:paraId="6C8EA6A4"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379BD74B"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709F198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22A27216"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4CFF720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7EC5A385"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7F1F1BA0"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6773C222"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A</w:t>
            </w:r>
          </w:p>
        </w:tc>
      </w:tr>
      <w:tr w:rsidR="009E64D4" w:rsidRPr="009E64D4" w14:paraId="4EA46FE6" w14:textId="77777777">
        <w:trPr>
          <w:tblCellSpacing w:w="15" w:type="dxa"/>
        </w:trPr>
        <w:tc>
          <w:tcPr>
            <w:tcW w:w="0" w:type="auto"/>
            <w:vAlign w:val="center"/>
            <w:hideMark/>
          </w:tcPr>
          <w:p w14:paraId="0AA7CE33"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Stakeholder communication &amp; reporting</w:t>
            </w:r>
          </w:p>
        </w:tc>
        <w:tc>
          <w:tcPr>
            <w:tcW w:w="0" w:type="auto"/>
            <w:vAlign w:val="center"/>
            <w:hideMark/>
          </w:tcPr>
          <w:p w14:paraId="629E20AA"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R</w:t>
            </w:r>
          </w:p>
        </w:tc>
        <w:tc>
          <w:tcPr>
            <w:tcW w:w="0" w:type="auto"/>
            <w:vAlign w:val="center"/>
            <w:hideMark/>
          </w:tcPr>
          <w:p w14:paraId="6758050E"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36C6C81F"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02F8258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04C484D6"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0228C297"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70BDD1D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3D28507C"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A</w:t>
            </w:r>
          </w:p>
        </w:tc>
      </w:tr>
      <w:tr w:rsidR="009E64D4" w:rsidRPr="009E64D4" w14:paraId="3E3745B7" w14:textId="77777777">
        <w:trPr>
          <w:tblCellSpacing w:w="15" w:type="dxa"/>
        </w:trPr>
        <w:tc>
          <w:tcPr>
            <w:tcW w:w="0" w:type="auto"/>
            <w:vAlign w:val="center"/>
            <w:hideMark/>
          </w:tcPr>
          <w:p w14:paraId="1565B601"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Final product launch approval</w:t>
            </w:r>
          </w:p>
        </w:tc>
        <w:tc>
          <w:tcPr>
            <w:tcW w:w="0" w:type="auto"/>
            <w:vAlign w:val="center"/>
            <w:hideMark/>
          </w:tcPr>
          <w:p w14:paraId="7A0409F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C</w:t>
            </w:r>
          </w:p>
        </w:tc>
        <w:tc>
          <w:tcPr>
            <w:tcW w:w="0" w:type="auto"/>
            <w:vAlign w:val="center"/>
            <w:hideMark/>
          </w:tcPr>
          <w:p w14:paraId="07FF657C"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6BE4F93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4A39DBDE"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28B4BD86"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38D78A68"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3FE5919F"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I</w:t>
            </w:r>
          </w:p>
        </w:tc>
        <w:tc>
          <w:tcPr>
            <w:tcW w:w="0" w:type="auto"/>
            <w:vAlign w:val="center"/>
            <w:hideMark/>
          </w:tcPr>
          <w:p w14:paraId="6510526E" w14:textId="77777777" w:rsidR="009E64D4" w:rsidRPr="009E64D4" w:rsidRDefault="009E64D4" w:rsidP="009E64D4">
            <w:pPr>
              <w:spacing w:before="100" w:beforeAutospacing="1" w:after="100" w:afterAutospacing="1" w:line="240" w:lineRule="auto"/>
              <w:rPr>
                <w:rFonts w:eastAsia="Times New Roman" w:cs="Arial"/>
                <w:kern w:val="0"/>
                <w14:ligatures w14:val="none"/>
              </w:rPr>
            </w:pPr>
            <w:r w:rsidRPr="009E64D4">
              <w:rPr>
                <w:rFonts w:eastAsia="Times New Roman" w:cs="Arial"/>
                <w:kern w:val="0"/>
                <w14:ligatures w14:val="none"/>
              </w:rPr>
              <w:t>A</w:t>
            </w:r>
          </w:p>
        </w:tc>
      </w:tr>
    </w:tbl>
    <w:p w14:paraId="4386721F" w14:textId="77777777" w:rsidR="009E64D4" w:rsidRDefault="009E64D4">
      <w:pPr>
        <w:rPr>
          <w:b/>
          <w:bCs/>
        </w:rPr>
      </w:pPr>
    </w:p>
    <w:p w14:paraId="0D84DA19" w14:textId="77777777" w:rsidR="009E64D4" w:rsidRPr="009E64D4" w:rsidRDefault="009E64D4" w:rsidP="009E64D4">
      <w:pPr>
        <w:pStyle w:val="p1"/>
        <w:spacing w:line="360" w:lineRule="auto"/>
        <w:jc w:val="both"/>
        <w:rPr>
          <w:rFonts w:ascii="Arial" w:hAnsi="Arial" w:cs="Arial"/>
        </w:rPr>
      </w:pPr>
      <w:r w:rsidRPr="009E64D4">
        <w:rPr>
          <w:rFonts w:ascii="Arial" w:hAnsi="Arial" w:cs="Arial"/>
        </w:rPr>
        <w:t>The RACI matrix reduces uncertainty by ensuring that each activity has a single point of accountability, which is recognised as best practice in project management. This clarity is particularly important when managing regulatory approval, supplier coordination, and cross-departmental decision-making.</w:t>
      </w:r>
    </w:p>
    <w:p w14:paraId="5DC01400" w14:textId="4981A431" w:rsidR="009E64D4" w:rsidRPr="009E64D4" w:rsidRDefault="009E64D4" w:rsidP="009E64D4">
      <w:pPr>
        <w:pStyle w:val="p1"/>
        <w:spacing w:line="360" w:lineRule="auto"/>
        <w:jc w:val="both"/>
        <w:rPr>
          <w:rFonts w:ascii="Arial" w:hAnsi="Arial" w:cs="Arial"/>
        </w:rPr>
      </w:pPr>
      <w:r w:rsidRPr="009E64D4">
        <w:rPr>
          <w:rFonts w:ascii="Arial" w:hAnsi="Arial" w:cs="Arial"/>
        </w:rPr>
        <w:t xml:space="preserve">In addition to RACI, a </w:t>
      </w:r>
      <w:r w:rsidRPr="009E64D4">
        <w:rPr>
          <w:rStyle w:val="s1"/>
          <w:rFonts w:ascii="Arial" w:eastAsiaTheme="majorEastAsia" w:hAnsi="Arial" w:cs="Arial"/>
        </w:rPr>
        <w:t>communication plan</w:t>
      </w:r>
      <w:r w:rsidRPr="009E64D4">
        <w:rPr>
          <w:rFonts w:ascii="Arial" w:hAnsi="Arial" w:cs="Arial"/>
        </w:rPr>
        <w:t xml:space="preserve"> is implemented to define how information flows between stakeholders. This includes the frequency, format, and responsibility for communication, such as weekly progress reports, milestone reviews, and escalation channels. A structured communication plan reduces misunderstandings and supports transparency.</w:t>
      </w:r>
    </w:p>
    <w:p w14:paraId="328F7A01" w14:textId="77777777" w:rsidR="009E64D4" w:rsidRPr="009E64D4" w:rsidRDefault="009E64D4" w:rsidP="009E64D4">
      <w:pPr>
        <w:pStyle w:val="p1"/>
        <w:spacing w:line="360" w:lineRule="auto"/>
        <w:jc w:val="both"/>
        <w:rPr>
          <w:rFonts w:ascii="Arial" w:hAnsi="Arial" w:cs="Arial"/>
        </w:rPr>
      </w:pPr>
      <w:r w:rsidRPr="009E64D4">
        <w:rPr>
          <w:rFonts w:ascii="Arial" w:hAnsi="Arial" w:cs="Arial"/>
        </w:rPr>
        <w:t xml:space="preserve">Finally, a </w:t>
      </w:r>
      <w:r w:rsidRPr="009E64D4">
        <w:rPr>
          <w:rStyle w:val="s1"/>
          <w:rFonts w:ascii="Arial" w:eastAsiaTheme="majorEastAsia" w:hAnsi="Arial" w:cs="Arial"/>
        </w:rPr>
        <w:t>stakeholder engagement plan</w:t>
      </w:r>
      <w:r w:rsidRPr="009E64D4">
        <w:rPr>
          <w:rFonts w:ascii="Arial" w:hAnsi="Arial" w:cs="Arial"/>
        </w:rPr>
        <w:t xml:space="preserve"> outlines how stakeholders will be involved at each project phase, from initiation to launch. This ensures consistent engagement, alignment with stakeholder expectations, and proactive management of emerging risks. Collectively, these frameworks and tools provide a structured and professional approach to </w:t>
      </w:r>
      <w:r w:rsidRPr="009E64D4">
        <w:rPr>
          <w:rFonts w:ascii="Arial" w:hAnsi="Arial" w:cs="Arial"/>
        </w:rPr>
        <w:lastRenderedPageBreak/>
        <w:t>stakeholder engagement, supporting successful project delivery and improved business performance.</w:t>
      </w:r>
    </w:p>
    <w:p w14:paraId="54F27014" w14:textId="77777777" w:rsidR="009E64D4" w:rsidRPr="009E64D4" w:rsidRDefault="009E64D4" w:rsidP="009E64D4">
      <w:pPr>
        <w:pStyle w:val="1"/>
        <w:rPr>
          <w:rFonts w:eastAsia="Times New Roman"/>
        </w:rPr>
      </w:pPr>
      <w:bookmarkStart w:id="20" w:name="_Toc217044315"/>
      <w:bookmarkStart w:id="21" w:name="_Toc217044530"/>
      <w:r w:rsidRPr="009E64D4">
        <w:rPr>
          <w:rFonts w:eastAsia="Times New Roman"/>
        </w:rPr>
        <w:t>6. Stakeholder Engagement Process and Conflict Management Using the 4C’s Model</w:t>
      </w:r>
      <w:bookmarkEnd w:id="20"/>
      <w:bookmarkEnd w:id="21"/>
    </w:p>
    <w:p w14:paraId="0B547F7E"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As the project manager responsible for the launch of WHOOP’s new wearable health device, I will adopt a structured and proactive stakeholder engagement process across the full project lifecycle. Given the complexity of healthcare technology projects, which involve technical uncertainty, regulatory scrutiny, and commercial pressure, effective stakeholder engagement is essential to minimise risk, maintain alignment, and ensure timely delivery. This section critically explains the engagement process undertaken and evaluates how stakeholder conflicts will be managed using the 4C’s model: communication, coordination, cooperation, and collaboration.</w:t>
      </w:r>
    </w:p>
    <w:p w14:paraId="2EB3F652" w14:textId="77777777" w:rsidR="009E64D4" w:rsidRPr="009E64D4" w:rsidRDefault="009E64D4" w:rsidP="009E64D4">
      <w:pPr>
        <w:spacing w:before="100" w:beforeAutospacing="1" w:after="100" w:afterAutospacing="1" w:line="360" w:lineRule="auto"/>
        <w:jc w:val="both"/>
        <w:outlineLvl w:val="2"/>
        <w:rPr>
          <w:rFonts w:eastAsia="Times New Roman" w:cs="Arial"/>
          <w:b/>
          <w:bCs/>
          <w:kern w:val="0"/>
          <w14:ligatures w14:val="none"/>
        </w:rPr>
      </w:pPr>
      <w:bookmarkStart w:id="22" w:name="_Toc217044316"/>
      <w:bookmarkStart w:id="23" w:name="_Toc217044531"/>
      <w:r w:rsidRPr="009E64D4">
        <w:rPr>
          <w:rFonts w:eastAsia="Times New Roman" w:cs="Arial"/>
          <w:b/>
          <w:bCs/>
          <w:kern w:val="0"/>
          <w14:ligatures w14:val="none"/>
        </w:rPr>
        <w:t>Stakeholder Engagement Process</w:t>
      </w:r>
      <w:bookmarkEnd w:id="22"/>
      <w:bookmarkEnd w:id="23"/>
    </w:p>
    <w:p w14:paraId="3BAB857A" w14:textId="5E6FE2E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The engagement process begins during the initiation phase, where key internal and external stakeholders are identified and analysed using stakeholder mapping tools. Early engagement with senior management, regulatory teams, and product development stakeholders ensures that project objectives, constraints, and success criteria are clearly defined. At this stage, expectations are aligned, and potential areas of conflict such as regulatory timelines versus commercial launch pressure are identified early.</w:t>
      </w:r>
    </w:p>
    <w:p w14:paraId="73319329" w14:textId="056092F6"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During the planning phase, engagement becomes more structured. Stakeholder engagement plans, communication schedules, and the RACI matrix are implemented to clarify responsibilities and decision-making authority. Regular planning workshops and cross-functional meetings are used to gather input from technical, regulatory, and commercial teams. This inclusive approach supports stakeholder buy-in and reduces resistance to later project decisions.</w:t>
      </w:r>
    </w:p>
    <w:p w14:paraId="4FE76E5A"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In the execution phase, stakeholder engagement focuses on maintaining momentum and managing emerging issues. Progress updates, sprint reviews, and milestone meetings are used to ensure transparency. External stakeholders such as suppliers and regulatory bodies are engaged through formal reporting and compliance reviews. Continuous engagement at this stage allows risks to be escalated early, reducing the likelihood of last-minute disruptions before launch.</w:t>
      </w:r>
    </w:p>
    <w:p w14:paraId="0584CAEA"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During the monitoring and control phase, stakeholder feedback is actively collected and evaluated. Performance indicators such as development progress, regulatory readiness, and marketing preparedness are reviewed against agreed objectives. Engagement is adjusted where necessary to address stakeholder concerns or shifts in project priorities.</w:t>
      </w:r>
    </w:p>
    <w:p w14:paraId="25EDC09E"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Finally, in the closure phase, stakeholders are engaged through post-launch reviews and performance evaluations. Lessons learned are documented and shared across the organisation to improve future projects. This final engagement phase reinforces accountability and long-term stakeholder relationships.</w:t>
      </w:r>
    </w:p>
    <w:p w14:paraId="7113095D" w14:textId="77777777" w:rsidR="009E64D4" w:rsidRPr="009E64D4" w:rsidRDefault="009E64D4" w:rsidP="009E64D4">
      <w:pPr>
        <w:spacing w:before="100" w:beforeAutospacing="1" w:after="100" w:afterAutospacing="1" w:line="360" w:lineRule="auto"/>
        <w:jc w:val="both"/>
        <w:outlineLvl w:val="2"/>
        <w:rPr>
          <w:rFonts w:eastAsia="Times New Roman" w:cs="Arial"/>
          <w:b/>
          <w:bCs/>
          <w:kern w:val="0"/>
          <w14:ligatures w14:val="none"/>
        </w:rPr>
      </w:pPr>
      <w:bookmarkStart w:id="24" w:name="_Toc217044317"/>
      <w:bookmarkStart w:id="25" w:name="_Toc217044532"/>
      <w:r w:rsidRPr="009E64D4">
        <w:rPr>
          <w:rFonts w:eastAsia="Times New Roman" w:cs="Arial"/>
          <w:b/>
          <w:bCs/>
          <w:kern w:val="0"/>
          <w14:ligatures w14:val="none"/>
        </w:rPr>
        <w:t>Conflict Management Using the 4C’s Model</w:t>
      </w:r>
      <w:bookmarkEnd w:id="24"/>
      <w:bookmarkEnd w:id="25"/>
    </w:p>
    <w:p w14:paraId="007F9A7D"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Stakeholder conflict is inevitable in projects involving diverse interests, particularly where technical feasibility, regulatory compliance, and commercial objectives intersect. The 4C’s model provides a structured framework for managing such conflicts effectively.</w:t>
      </w:r>
    </w:p>
    <w:p w14:paraId="1E14F58B"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Communication is the foundation of conflict prevention and resolution. Clear, consistent, and transparent communication reduces misunderstandings and misinformation. As project manager, I will ensure that stakeholders receive timely updates using appropriate channels, such as formal reports for senior management and collaborative platforms for operational teams. Open communication also provides stakeholders with opportunities to voice concerns before they escalate into conflicts.</w:t>
      </w:r>
    </w:p>
    <w:p w14:paraId="529AA7A2" w14:textId="77777777" w:rsid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Coordination focuses on aligning tasks, schedules, and dependencies across stakeholder groups. Poor coordination often leads to duplicated effort, missed deadlines, and frustration among teams. Through integrated project schedules, shared documentation, and clearly defined handover points, coordination ensures that stakeholders understand how their contributions fit into the broader project. This is particularly important when managing dependencies between product development, regulatory approval, and marketing activities.</w:t>
      </w:r>
    </w:p>
    <w:p w14:paraId="7B0B58FF" w14:textId="4867D672"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Cooperation emphasises willingness among stakeholders to work towards shared goals rather than individual departmental objectives. In this project, cooperation is encouraged by reinforcing the shared objective of delivering a compliant, high-quality product within the launch timeline. Incentives, shared performance metrics, and recognition of cross-functional contributions are used to promote cooperative behaviour. When conflicts arise, negotiation and compromise are employed to balance competing priorities.</w:t>
      </w:r>
    </w:p>
    <w:p w14:paraId="37F13F34"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Collaboration represents the highest level of stakeholder engagement and involves joint problem-solving and decision-making. Collaborative practices such as design workshops, pilot testing, and cross-functional review sessions enable stakeholders to contribute expertise and innovate collectively. Collaboration is particularly valuable when addressing complex issues, such as resolving technical limitations while maintaining regulatory compliance and market appeal.</w:t>
      </w:r>
    </w:p>
    <w:p w14:paraId="0B77DC67"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When conflicts cannot be resolved at operational level, formal escalation procedures are followed, involving senior management as neutral decision-makers. This ensures that conflicts are resolved fairly and in alignment with organisational strategy.</w:t>
      </w:r>
    </w:p>
    <w:p w14:paraId="430403FC" w14:textId="77777777" w:rsidR="009E64D4" w:rsidRPr="009E64D4" w:rsidRDefault="009E64D4" w:rsidP="009E64D4">
      <w:pPr>
        <w:spacing w:before="100" w:beforeAutospacing="1" w:after="100" w:afterAutospacing="1" w:line="360" w:lineRule="auto"/>
        <w:jc w:val="both"/>
        <w:outlineLvl w:val="2"/>
        <w:rPr>
          <w:rFonts w:eastAsia="Times New Roman" w:cs="Arial"/>
          <w:b/>
          <w:bCs/>
          <w:kern w:val="0"/>
          <w14:ligatures w14:val="none"/>
        </w:rPr>
      </w:pPr>
      <w:bookmarkStart w:id="26" w:name="_Toc217044318"/>
      <w:bookmarkStart w:id="27" w:name="_Toc217044533"/>
      <w:r w:rsidRPr="009E64D4">
        <w:rPr>
          <w:rFonts w:eastAsia="Times New Roman" w:cs="Arial"/>
          <w:b/>
          <w:bCs/>
          <w:kern w:val="0"/>
          <w14:ligatures w14:val="none"/>
        </w:rPr>
        <w:t>Evaluation of the Engagement Approach</w:t>
      </w:r>
      <w:bookmarkEnd w:id="26"/>
      <w:bookmarkEnd w:id="27"/>
    </w:p>
    <w:p w14:paraId="52777CA2"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By applying a structured engagement process supported by the 4C’s model, the project manager can effectively manage stakeholder expectations, reduce conflict, and enhance project performance. This approach promotes trust, accountability, and shared ownership, all of which are critical to the successful launch of WHOOP’s new wearable health device. Moreover, proactive conflict management supports timely decision-making and protects the project from delays, cost overruns, and reputational risk.</w:t>
      </w:r>
    </w:p>
    <w:p w14:paraId="04A65A0B" w14:textId="77777777" w:rsidR="009E64D4" w:rsidRPr="009E64D4" w:rsidRDefault="009E64D4" w:rsidP="009E64D4">
      <w:pPr>
        <w:pStyle w:val="1"/>
        <w:rPr>
          <w:rFonts w:eastAsia="Times New Roman"/>
        </w:rPr>
      </w:pPr>
      <w:bookmarkStart w:id="28" w:name="_Toc217044319"/>
      <w:bookmarkStart w:id="29" w:name="_Toc217044534"/>
      <w:r w:rsidRPr="009E64D4">
        <w:rPr>
          <w:rFonts w:eastAsia="Times New Roman"/>
        </w:rPr>
        <w:t>7. Impact of Stakeholder Engagement on Business Performance and Recommendations</w:t>
      </w:r>
      <w:bookmarkEnd w:id="28"/>
      <w:bookmarkEnd w:id="29"/>
    </w:p>
    <w:p w14:paraId="2EED235F"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Effective stakeholder engagement plays a critical role in determining the overall business performance of WHOOP’s new wearable health device launch. In complex healthcare technology projects, stakeholder engagement extends beyond operational coordination and directly influences product quality, regulatory success, market acceptance, and long-term organisational performance. This section evaluates the impact of stakeholder engagement on business outcomes and provides strategic recommendations for future projects.</w:t>
      </w:r>
    </w:p>
    <w:p w14:paraId="7D48F4E3" w14:textId="77777777" w:rsidR="009E64D4" w:rsidRPr="009E64D4" w:rsidRDefault="009E64D4" w:rsidP="009E64D4">
      <w:pPr>
        <w:spacing w:before="100" w:beforeAutospacing="1" w:after="100" w:afterAutospacing="1" w:line="240" w:lineRule="auto"/>
        <w:jc w:val="both"/>
        <w:outlineLvl w:val="2"/>
        <w:rPr>
          <w:rFonts w:eastAsia="Times New Roman" w:cs="Arial"/>
          <w:b/>
          <w:bCs/>
          <w:kern w:val="0"/>
          <w14:ligatures w14:val="none"/>
        </w:rPr>
      </w:pPr>
      <w:bookmarkStart w:id="30" w:name="_Toc217044320"/>
      <w:bookmarkStart w:id="31" w:name="_Toc217044535"/>
      <w:r w:rsidRPr="009E64D4">
        <w:rPr>
          <w:rFonts w:eastAsia="Times New Roman" w:cs="Arial"/>
          <w:b/>
          <w:bCs/>
          <w:kern w:val="0"/>
          <w14:ligatures w14:val="none"/>
        </w:rPr>
        <w:t>Impact on Business Performance</w:t>
      </w:r>
      <w:bookmarkEnd w:id="30"/>
      <w:bookmarkEnd w:id="31"/>
    </w:p>
    <w:p w14:paraId="3B19470F"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One of the most significant impacts of effective stakeholder engagement is improved product quality and reliability. Active involvement of the product development and data analytics teams ensures that technical requirements, user feedback, and scientific validation are continuously incorporated into the design process. Early engagement with healthcare professionals and regulatory stakeholders also enhances the accuracy and credibility of health metrics, reducing the risk of post-launch product issues or recalls. As a result, WHOOP can strengthen its reputation as a trusted, science-driven health technology brand.</w:t>
      </w:r>
    </w:p>
    <w:p w14:paraId="374B7405"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Stakeholder engagement also contributes to regulatory efficiency and risk reduction. By engaging the regulatory and compliance team from the early stages of the project, potential compliance risks are identified and mitigated proactively. This reduces delays associated with regulatory approval and minimises the likelihood of legal penalties or reputational damage. In the UK healthcare context, where data protection and medical device regulations are stringent, such engagement is essential to maintaining operational continuity and consumer trust.</w:t>
      </w:r>
    </w:p>
    <w:p w14:paraId="1E192E6E"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From a commercial perspective, strong engagement with marketing and sales stakeholders positively impacts market penetration and revenue generation. Alignment between product capabilities and marketing claims ensures that promotional messaging remains accurate and compliant, reducing the risk of consumer dissatisfaction or regulatory scrutiny. Engagement with sales teams allows pricing strategies and subscription models to be shaped by market insights, improving customer acquisition and retention rates. This alignment ultimately supports sustainable revenue growth and strengthens WHOOP’s competitive position in the wearable health market.</w:t>
      </w:r>
    </w:p>
    <w:p w14:paraId="57B9E556"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Effective engagement with suppliers and manufacturing partners also enhances operational efficiency and cost control. Clear communication, role clarity through tools such as the RACI matrix, and collaborative planning reduce supply chain disruptions and production inefficiencies. This contributes to on-time product delivery and protects profit margins.</w:t>
      </w:r>
    </w:p>
    <w:p w14:paraId="41D35267"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Finally, stakeholder engagement has a direct impact on customer satisfaction and brand loyalty. By incorporating user feedback and addressing concerns related to data privacy, comfort, and value for money, WHOOP can improve customer experience and long-term subscription retention. In a subscription-based business model, sustained engagement and trust are critical drivers of lifetime customer value.</w:t>
      </w:r>
    </w:p>
    <w:p w14:paraId="630D059E"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p>
    <w:p w14:paraId="059D7431" w14:textId="77777777" w:rsidR="009E64D4" w:rsidRPr="009E64D4" w:rsidRDefault="009E64D4" w:rsidP="009E64D4">
      <w:pPr>
        <w:spacing w:before="100" w:beforeAutospacing="1" w:after="100" w:afterAutospacing="1" w:line="240" w:lineRule="auto"/>
        <w:jc w:val="both"/>
        <w:outlineLvl w:val="2"/>
        <w:rPr>
          <w:rFonts w:eastAsia="Times New Roman" w:cs="Arial"/>
          <w:b/>
          <w:bCs/>
          <w:kern w:val="0"/>
          <w14:ligatures w14:val="none"/>
        </w:rPr>
      </w:pPr>
      <w:bookmarkStart w:id="32" w:name="_Toc217044321"/>
      <w:bookmarkStart w:id="33" w:name="_Toc217044536"/>
      <w:r w:rsidRPr="009E64D4">
        <w:rPr>
          <w:rFonts w:eastAsia="Times New Roman" w:cs="Arial"/>
          <w:b/>
          <w:bCs/>
          <w:kern w:val="0"/>
          <w14:ligatures w14:val="none"/>
        </w:rPr>
        <w:t>Recommendations for Future Stakeholder Engagement</w:t>
      </w:r>
      <w:bookmarkEnd w:id="32"/>
      <w:bookmarkEnd w:id="33"/>
    </w:p>
    <w:p w14:paraId="1B9F26FD"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To further strengthen business performance in future projects, several recommendations are proposed. First, WHOOP should invest in advanced stakeholder management and communication platforms that enable real-time collaboration, progress tracking, and issue escalation. Digital dashboards and integrated project management tools can improve transparency and decision-making across stakeholder groups.</w:t>
      </w:r>
    </w:p>
    <w:p w14:paraId="0AC3B023"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Second, greater emphasis should be placed on early-stage stakeholder involvement, particularly healthcare professionals and regulatory experts, during product ideation and design. This proactive approach reduces rework, accelerates compliance processes, and enhances product credibility.</w:t>
      </w:r>
    </w:p>
    <w:p w14:paraId="58CF2FD0" w14:textId="77777777" w:rsidR="009E64D4" w:rsidRPr="009E64D4" w:rsidRDefault="009E64D4" w:rsidP="009E64D4">
      <w:pPr>
        <w:spacing w:before="100" w:beforeAutospacing="1" w:after="100" w:afterAutospacing="1" w:line="240" w:lineRule="auto"/>
        <w:jc w:val="both"/>
        <w:rPr>
          <w:rFonts w:eastAsia="Times New Roman" w:cs="Arial"/>
          <w:kern w:val="0"/>
          <w14:ligatures w14:val="none"/>
        </w:rPr>
      </w:pPr>
      <w:r w:rsidRPr="009E64D4">
        <w:rPr>
          <w:rFonts w:eastAsia="Times New Roman" w:cs="Arial"/>
          <w:kern w:val="0"/>
          <w14:ligatures w14:val="none"/>
        </w:rPr>
        <w:t>Third, WHOOP should implement formal stakeholder engagement training for project managers and team leaders. Developing competencies in negotiation, conflict management, and collaborative leadership will improve engagement outcomes across future projects.</w:t>
      </w:r>
    </w:p>
    <w:p w14:paraId="48028D61" w14:textId="77777777" w:rsidR="009E64D4" w:rsidRPr="009E64D4" w:rsidRDefault="009E64D4" w:rsidP="009E64D4">
      <w:pPr>
        <w:spacing w:before="100" w:beforeAutospacing="1" w:after="100" w:afterAutospacing="1" w:line="240" w:lineRule="auto"/>
        <w:jc w:val="both"/>
        <w:rPr>
          <w:rFonts w:ascii="Times New Roman" w:eastAsia="Times New Roman" w:hAnsi="Times New Roman" w:cs="Times New Roman"/>
          <w:kern w:val="0"/>
          <w14:ligatures w14:val="none"/>
        </w:rPr>
      </w:pPr>
      <w:r w:rsidRPr="009E64D4">
        <w:rPr>
          <w:rFonts w:eastAsia="Times New Roman" w:cs="Arial"/>
          <w:kern w:val="0"/>
          <w14:ligatures w14:val="none"/>
        </w:rPr>
        <w:t>Finally, continuous evaluation of stakeholder engagement effectiveness through feedback surveys and performance metrics is recommended. This enables WHOOP to refine engagement strategies and maintain alignment with organisational goals in a rapidly evolving digital health environment.</w:t>
      </w:r>
    </w:p>
    <w:p w14:paraId="7C70F79D" w14:textId="77777777" w:rsidR="009E64D4" w:rsidRPr="009E64D4" w:rsidRDefault="009E64D4" w:rsidP="009E64D4">
      <w:pPr>
        <w:pStyle w:val="1"/>
        <w:rPr>
          <w:rFonts w:eastAsia="Times New Roman"/>
        </w:rPr>
      </w:pPr>
      <w:bookmarkStart w:id="34" w:name="_Toc217044322"/>
      <w:bookmarkStart w:id="35" w:name="_Toc217044537"/>
      <w:r w:rsidRPr="009E64D4">
        <w:rPr>
          <w:rFonts w:eastAsia="Times New Roman"/>
        </w:rPr>
        <w:t>8. Conclusion</w:t>
      </w:r>
      <w:bookmarkEnd w:id="34"/>
      <w:bookmarkEnd w:id="35"/>
    </w:p>
    <w:p w14:paraId="4538C983"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This report has critically examined the role of stakeholder engagement in the successful preparation and launch of WHOOP’s new wearable health device within the UK market. Operating within the healthcare technology sector presents unique challenges, including regulatory scrutiny, data protection obligations, rapid technological change, and heightened consumer expectations. As demonstrated throughout this report, effective stakeholder engagement is not a peripheral activity but a central component of successful project management and organisational performance.</w:t>
      </w:r>
    </w:p>
    <w:p w14:paraId="07AD908A" w14:textId="2DA5EE24"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The analysis highlighted the importance of systematically identifying both internal and external stakeholders and understanding their respective roles, responsibilities, benefits, and challenges. By applying strategic tools such as the SWOT analysis, stakeholder matrix, RACI framework, and structured communication and engagement plans, the project manager can reduce ambiguity, align stakeholder expectations, and enhance coordination across the project. These frameworks support informed decision-making and ensure accountability throughout the project lifecycle.</w:t>
      </w:r>
    </w:p>
    <w:p w14:paraId="04352B60" w14:textId="6AAD3EFD"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Furthermore, the application of the 4C’s model</w:t>
      </w:r>
      <w:r>
        <w:rPr>
          <w:rFonts w:eastAsia="Times New Roman" w:cs="Arial"/>
          <w:kern w:val="0"/>
          <w14:ligatures w14:val="none"/>
        </w:rPr>
        <w:t xml:space="preserve"> </w:t>
      </w:r>
      <w:r w:rsidRPr="009E64D4">
        <w:rPr>
          <w:rFonts w:eastAsia="Times New Roman" w:cs="Arial"/>
          <w:kern w:val="0"/>
          <w14:ligatures w14:val="none"/>
        </w:rPr>
        <w:t>communication, coordination, cooperation, and collaboration</w:t>
      </w:r>
      <w:r>
        <w:rPr>
          <w:rFonts w:eastAsia="Times New Roman" w:cs="Arial"/>
          <w:kern w:val="0"/>
          <w14:ligatures w14:val="none"/>
        </w:rPr>
        <w:t xml:space="preserve"> </w:t>
      </w:r>
      <w:r w:rsidRPr="009E64D4">
        <w:rPr>
          <w:rFonts w:eastAsia="Times New Roman" w:cs="Arial"/>
          <w:kern w:val="0"/>
          <w14:ligatures w14:val="none"/>
        </w:rPr>
        <w:t>demonstrated how stakeholder conflict can be proactively managed in a complex, cross-functional environment. Effective communication and coordination were shown to reduce misunderstandings and delays, while cooperation and collaboration encouraged shared ownership and innovation. Together, these approaches contribute to improved project outcomes, reduced risk, and enhanced stakeholder satisfaction.</w:t>
      </w:r>
    </w:p>
    <w:p w14:paraId="1C9370CB"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The evaluation of stakeholder engagement impacts confirmed that strong engagement positively influences product quality, regulatory compliance, operational efficiency, customer trust, and long-term business performance. For WHOOP, whose business model depends on sustained customer relationships and brand credibility, stakeholder engagement is directly linked to competitive advantage and financial sustainability.</w:t>
      </w:r>
    </w:p>
    <w:p w14:paraId="3AC6A421" w14:textId="77777777" w:rsidR="009E64D4" w:rsidRPr="009E64D4" w:rsidRDefault="009E64D4" w:rsidP="009E64D4">
      <w:pPr>
        <w:spacing w:before="100" w:beforeAutospacing="1" w:after="100" w:afterAutospacing="1" w:line="360" w:lineRule="auto"/>
        <w:jc w:val="both"/>
        <w:rPr>
          <w:rFonts w:eastAsia="Times New Roman" w:cs="Arial"/>
          <w:kern w:val="0"/>
          <w14:ligatures w14:val="none"/>
        </w:rPr>
      </w:pPr>
      <w:r w:rsidRPr="009E64D4">
        <w:rPr>
          <w:rFonts w:eastAsia="Times New Roman" w:cs="Arial"/>
          <w:kern w:val="0"/>
          <w14:ligatures w14:val="none"/>
        </w:rPr>
        <w:t>In conclusion, this report demonstrates that stakeholder engagement must be embedded as a continuous and strategic process rather than a one-off managerial activity. As digital health technologies continue to evolve, organisations such as WHOOP must prioritise stakeholder-centric project management practices to successfully deliver innovation, maintain regulatory compliance, and achieve sustainable growth in the UK healthcare technology market.</w:t>
      </w:r>
    </w:p>
    <w:p w14:paraId="4C673E03" w14:textId="1ED726CF" w:rsidR="009E64D4" w:rsidRPr="009E64D4" w:rsidRDefault="009E64D4" w:rsidP="009E64D4">
      <w:pPr>
        <w:pStyle w:val="1"/>
        <w:rPr>
          <w:rFonts w:ascii="Times New Roman" w:hAnsi="Times New Roman"/>
        </w:rPr>
      </w:pPr>
      <w:bookmarkStart w:id="36" w:name="_Toc217044323"/>
      <w:bookmarkStart w:id="37" w:name="_Toc217044538"/>
      <w:r>
        <w:t>References</w:t>
      </w:r>
      <w:bookmarkEnd w:id="36"/>
      <w:bookmarkEnd w:id="37"/>
    </w:p>
    <w:p w14:paraId="2FC2CBED" w14:textId="3B8254CA" w:rsidR="009E64D4" w:rsidRPr="009E64D4" w:rsidRDefault="009E64D4" w:rsidP="009E64D4">
      <w:pPr>
        <w:pStyle w:val="p3"/>
        <w:numPr>
          <w:ilvl w:val="0"/>
          <w:numId w:val="1"/>
        </w:numPr>
        <w:rPr>
          <w:rFonts w:ascii="Arial" w:hAnsi="Arial" w:cs="Arial"/>
        </w:rPr>
      </w:pPr>
      <w:r w:rsidRPr="009E64D4">
        <w:rPr>
          <w:rFonts w:ascii="Arial" w:hAnsi="Arial" w:cs="Arial"/>
        </w:rPr>
        <w:t xml:space="preserve">Bourne, L. (2015) </w:t>
      </w:r>
      <w:r w:rsidRPr="009E64D4">
        <w:rPr>
          <w:rFonts w:ascii="Arial" w:hAnsi="Arial" w:cs="Arial"/>
          <w:i/>
          <w:iCs/>
        </w:rPr>
        <w:t>Stakeholder Relationship Management: A Maturity Model for Organisational Implementation</w:t>
      </w:r>
      <w:r w:rsidRPr="009E64D4">
        <w:rPr>
          <w:rFonts w:ascii="Arial" w:hAnsi="Arial" w:cs="Arial"/>
        </w:rPr>
        <w:t>. 2nd edn. Farnham: Gower.</w:t>
      </w:r>
    </w:p>
    <w:p w14:paraId="3EB3343C" w14:textId="7989E451" w:rsidR="009E64D4" w:rsidRPr="009E64D4" w:rsidRDefault="009E64D4" w:rsidP="009E64D4">
      <w:pPr>
        <w:pStyle w:val="p3"/>
        <w:numPr>
          <w:ilvl w:val="0"/>
          <w:numId w:val="1"/>
        </w:numPr>
        <w:rPr>
          <w:rFonts w:ascii="Arial" w:hAnsi="Arial" w:cs="Arial"/>
        </w:rPr>
      </w:pPr>
      <w:r w:rsidRPr="009E64D4">
        <w:rPr>
          <w:rFonts w:ascii="Arial" w:hAnsi="Arial" w:cs="Arial"/>
        </w:rPr>
        <w:t xml:space="preserve">Freeman, R.E. (1984) </w:t>
      </w:r>
      <w:r w:rsidRPr="009E64D4">
        <w:rPr>
          <w:rFonts w:ascii="Arial" w:hAnsi="Arial" w:cs="Arial"/>
          <w:i/>
          <w:iCs/>
        </w:rPr>
        <w:t>Strategic Management: A Stakeholder Approach</w:t>
      </w:r>
      <w:r w:rsidRPr="009E64D4">
        <w:rPr>
          <w:rFonts w:ascii="Arial" w:hAnsi="Arial" w:cs="Arial"/>
        </w:rPr>
        <w:t xml:space="preserve">. Boston: Pitman. </w:t>
      </w:r>
    </w:p>
    <w:p w14:paraId="53BAE176" w14:textId="77777777" w:rsidR="009E64D4" w:rsidRPr="009E64D4" w:rsidRDefault="009E64D4" w:rsidP="009E64D4">
      <w:pPr>
        <w:pStyle w:val="p3"/>
        <w:numPr>
          <w:ilvl w:val="0"/>
          <w:numId w:val="1"/>
        </w:numPr>
        <w:rPr>
          <w:rFonts w:ascii="Arial" w:hAnsi="Arial" w:cs="Arial"/>
        </w:rPr>
      </w:pPr>
      <w:r w:rsidRPr="009E64D4">
        <w:rPr>
          <w:rFonts w:ascii="Arial" w:hAnsi="Arial" w:cs="Arial"/>
        </w:rPr>
        <w:t xml:space="preserve">Johnson, G., Scholes, K. and Whittington, R. (2020) </w:t>
      </w:r>
      <w:r w:rsidRPr="009E64D4">
        <w:rPr>
          <w:rFonts w:ascii="Arial" w:hAnsi="Arial" w:cs="Arial"/>
          <w:i/>
          <w:iCs/>
        </w:rPr>
        <w:t>Exploring Strategy</w:t>
      </w:r>
      <w:r w:rsidRPr="009E64D4">
        <w:rPr>
          <w:rFonts w:ascii="Arial" w:hAnsi="Arial" w:cs="Arial"/>
        </w:rPr>
        <w:t xml:space="preserve">. 12th edn. Harlow: Pearson Education. </w:t>
      </w:r>
    </w:p>
    <w:p w14:paraId="6D5BDE57" w14:textId="77777777" w:rsidR="009E64D4" w:rsidRPr="009E64D4" w:rsidRDefault="009E64D4" w:rsidP="009E64D4">
      <w:pPr>
        <w:pStyle w:val="p3"/>
        <w:numPr>
          <w:ilvl w:val="0"/>
          <w:numId w:val="1"/>
        </w:numPr>
        <w:rPr>
          <w:rFonts w:ascii="Arial" w:hAnsi="Arial" w:cs="Arial"/>
        </w:rPr>
      </w:pPr>
      <w:r w:rsidRPr="009E64D4">
        <w:rPr>
          <w:rFonts w:ascii="Arial" w:hAnsi="Arial" w:cs="Arial"/>
        </w:rPr>
        <w:t xml:space="preserve">Mendelow, A.L. (1991) ‘Environmental scanning: The impact of stakeholder concept’, </w:t>
      </w:r>
      <w:r w:rsidRPr="009E64D4">
        <w:rPr>
          <w:rFonts w:ascii="Arial" w:hAnsi="Arial" w:cs="Arial"/>
          <w:i/>
          <w:iCs/>
        </w:rPr>
        <w:t>Proceedings of the International Conference on Information Systems</w:t>
      </w:r>
      <w:r w:rsidRPr="009E64D4">
        <w:rPr>
          <w:rFonts w:ascii="Arial" w:hAnsi="Arial" w:cs="Arial"/>
        </w:rPr>
        <w:t>, pp. 407–418.</w:t>
      </w:r>
    </w:p>
    <w:p w14:paraId="15DA7D3F" w14:textId="3750B720" w:rsidR="009E64D4" w:rsidRPr="009E64D4" w:rsidRDefault="009E64D4" w:rsidP="009E64D4">
      <w:pPr>
        <w:pStyle w:val="p3"/>
        <w:numPr>
          <w:ilvl w:val="0"/>
          <w:numId w:val="1"/>
        </w:numPr>
        <w:rPr>
          <w:rFonts w:ascii="Arial" w:hAnsi="Arial" w:cs="Arial"/>
        </w:rPr>
      </w:pPr>
      <w:r w:rsidRPr="009E64D4">
        <w:rPr>
          <w:rFonts w:ascii="Arial" w:hAnsi="Arial" w:cs="Arial"/>
        </w:rPr>
        <w:t xml:space="preserve">Project Management Institute (PMI) (2021) </w:t>
      </w:r>
      <w:r w:rsidRPr="009E64D4">
        <w:rPr>
          <w:rFonts w:ascii="Arial" w:hAnsi="Arial" w:cs="Arial"/>
          <w:i/>
          <w:iCs/>
        </w:rPr>
        <w:t>A Guide to the Project Management Body of Knowledge (PMBOK® Guide)</w:t>
      </w:r>
      <w:r w:rsidRPr="009E64D4">
        <w:rPr>
          <w:rFonts w:ascii="Arial" w:hAnsi="Arial" w:cs="Arial"/>
        </w:rPr>
        <w:t xml:space="preserve">. 7th edn. Newtown Square, PA: PMI. Available at: </w:t>
      </w:r>
      <w:hyperlink r:id="rId8" w:history="1">
        <w:r w:rsidRPr="009E64D4">
          <w:rPr>
            <w:rStyle w:val="ae"/>
            <w:rFonts w:ascii="Arial" w:hAnsi="Arial" w:cs="Arial"/>
          </w:rPr>
          <w:t>https://www.pmi.org/pmbok-guide-standards/foundational/pmbok</w:t>
        </w:r>
      </w:hyperlink>
      <w:r w:rsidRPr="009E64D4">
        <w:rPr>
          <w:rFonts w:ascii="Arial" w:hAnsi="Arial" w:cs="Arial"/>
        </w:rPr>
        <w:t xml:space="preserve"> (Accessed: 1 December 2025).</w:t>
      </w:r>
    </w:p>
    <w:p w14:paraId="46ECE39E" w14:textId="44EFAF3F" w:rsidR="009E64D4" w:rsidRPr="009E64D4" w:rsidRDefault="009E64D4" w:rsidP="009E64D4">
      <w:pPr>
        <w:pStyle w:val="p3"/>
        <w:numPr>
          <w:ilvl w:val="0"/>
          <w:numId w:val="1"/>
        </w:numPr>
        <w:rPr>
          <w:rFonts w:ascii="Arial" w:hAnsi="Arial" w:cs="Arial"/>
        </w:rPr>
      </w:pPr>
      <w:r w:rsidRPr="009E64D4">
        <w:rPr>
          <w:rFonts w:ascii="Arial" w:hAnsi="Arial" w:cs="Arial"/>
        </w:rPr>
        <w:t xml:space="preserve">UK Government (2018) </w:t>
      </w:r>
      <w:r w:rsidRPr="009E64D4">
        <w:rPr>
          <w:rFonts w:ascii="Arial" w:hAnsi="Arial" w:cs="Arial"/>
          <w:i/>
          <w:iCs/>
        </w:rPr>
        <w:t>Data Protection Act 2018</w:t>
      </w:r>
      <w:r w:rsidRPr="009E64D4">
        <w:rPr>
          <w:rFonts w:ascii="Arial" w:hAnsi="Arial" w:cs="Arial"/>
        </w:rPr>
        <w:t xml:space="preserve">. London: HMSO. Available at: </w:t>
      </w:r>
      <w:hyperlink r:id="rId9" w:history="1">
        <w:r w:rsidRPr="009E64D4">
          <w:rPr>
            <w:rStyle w:val="ae"/>
            <w:rFonts w:ascii="Arial" w:hAnsi="Arial" w:cs="Arial"/>
          </w:rPr>
          <w:t>https://www.legislation.gov.uk/ukpga/2018/12/contents</w:t>
        </w:r>
      </w:hyperlink>
      <w:r w:rsidRPr="009E64D4">
        <w:rPr>
          <w:rFonts w:ascii="Arial" w:hAnsi="Arial" w:cs="Arial"/>
        </w:rPr>
        <w:t xml:space="preserve"> (Accessed: </w:t>
      </w:r>
      <w:r>
        <w:rPr>
          <w:rFonts w:ascii="Arial" w:hAnsi="Arial" w:cs="Arial"/>
        </w:rPr>
        <w:t>1</w:t>
      </w:r>
      <w:r w:rsidRPr="009E64D4">
        <w:rPr>
          <w:rFonts w:ascii="Arial" w:hAnsi="Arial" w:cs="Arial"/>
        </w:rPr>
        <w:t xml:space="preserve"> December 2025)</w:t>
      </w:r>
    </w:p>
    <w:p w14:paraId="52706D8D" w14:textId="64735354" w:rsidR="009E64D4" w:rsidRPr="009E64D4" w:rsidRDefault="009E64D4" w:rsidP="009E64D4">
      <w:pPr>
        <w:pStyle w:val="p3"/>
        <w:numPr>
          <w:ilvl w:val="0"/>
          <w:numId w:val="1"/>
        </w:numPr>
        <w:rPr>
          <w:rFonts w:ascii="Arial" w:hAnsi="Arial" w:cs="Arial"/>
        </w:rPr>
      </w:pPr>
      <w:r w:rsidRPr="009E64D4">
        <w:rPr>
          <w:rFonts w:ascii="Arial" w:hAnsi="Arial" w:cs="Arial"/>
        </w:rPr>
        <w:t xml:space="preserve">WHOOP (2024) </w:t>
      </w:r>
      <w:r w:rsidRPr="009E64D4">
        <w:rPr>
          <w:rFonts w:ascii="Arial" w:hAnsi="Arial" w:cs="Arial"/>
          <w:i/>
          <w:iCs/>
        </w:rPr>
        <w:t>The WHOOP Platform: Science and Technology</w:t>
      </w:r>
      <w:r w:rsidRPr="009E64D4">
        <w:rPr>
          <w:rFonts w:ascii="Arial" w:hAnsi="Arial" w:cs="Arial"/>
        </w:rPr>
        <w:t xml:space="preserve">. Available at: </w:t>
      </w:r>
      <w:hyperlink r:id="rId10" w:history="1">
        <w:r w:rsidRPr="009E64D4">
          <w:rPr>
            <w:rStyle w:val="ae"/>
            <w:rFonts w:ascii="Arial" w:hAnsi="Arial" w:cs="Arial"/>
          </w:rPr>
          <w:t>https://www.whoop.com/gb/en/thelocker/science/</w:t>
        </w:r>
      </w:hyperlink>
      <w:r w:rsidRPr="009E64D4">
        <w:rPr>
          <w:rFonts w:ascii="Arial" w:hAnsi="Arial" w:cs="Arial"/>
        </w:rPr>
        <w:t xml:space="preserve"> (Accessed: </w:t>
      </w:r>
      <w:r>
        <w:rPr>
          <w:rFonts w:ascii="Arial" w:hAnsi="Arial" w:cs="Arial"/>
        </w:rPr>
        <w:t>2</w:t>
      </w:r>
      <w:r w:rsidRPr="009E64D4">
        <w:rPr>
          <w:rFonts w:ascii="Arial" w:hAnsi="Arial" w:cs="Arial"/>
        </w:rPr>
        <w:t xml:space="preserve"> December 2025).</w:t>
      </w:r>
    </w:p>
    <w:p w14:paraId="79C7B9A0" w14:textId="77777777" w:rsidR="009E64D4" w:rsidRPr="009E64D4" w:rsidRDefault="009E64D4" w:rsidP="009E64D4">
      <w:pPr>
        <w:spacing w:before="100" w:beforeAutospacing="1" w:after="100" w:afterAutospacing="1" w:line="240" w:lineRule="auto"/>
        <w:rPr>
          <w:rFonts w:ascii="Times New Roman" w:eastAsia="Times New Roman" w:hAnsi="Times New Roman" w:cs="Times New Roman"/>
          <w:kern w:val="0"/>
          <w14:ligatures w14:val="none"/>
        </w:rPr>
      </w:pPr>
    </w:p>
    <w:p w14:paraId="1DBA4242" w14:textId="77777777" w:rsidR="009E64D4" w:rsidRPr="009E64D4" w:rsidRDefault="009E64D4">
      <w:pPr>
        <w:rPr>
          <w:b/>
          <w:bCs/>
        </w:rPr>
      </w:pPr>
    </w:p>
    <w:sectPr w:rsidR="009E64D4" w:rsidRPr="009E64D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B185A" w14:textId="77777777" w:rsidR="003E4908" w:rsidRDefault="003E4908" w:rsidP="009E64D4">
      <w:pPr>
        <w:spacing w:after="0" w:line="240" w:lineRule="auto"/>
      </w:pPr>
      <w:r>
        <w:separator/>
      </w:r>
    </w:p>
  </w:endnote>
  <w:endnote w:type="continuationSeparator" w:id="0">
    <w:p w14:paraId="14D28E7C" w14:textId="77777777" w:rsidR="003E4908" w:rsidRDefault="003E4908" w:rsidP="009E6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4F234" w14:textId="77777777" w:rsidR="003E4908" w:rsidRDefault="003E4908" w:rsidP="009E64D4">
      <w:pPr>
        <w:spacing w:after="0" w:line="240" w:lineRule="auto"/>
      </w:pPr>
      <w:r>
        <w:separator/>
      </w:r>
    </w:p>
  </w:footnote>
  <w:footnote w:type="continuationSeparator" w:id="0">
    <w:p w14:paraId="6FC4EE02" w14:textId="77777777" w:rsidR="003E4908" w:rsidRDefault="003E4908" w:rsidP="009E6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AF6DC9"/>
    <w:multiLevelType w:val="hybridMultilevel"/>
    <w:tmpl w:val="ECC84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8707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4D4"/>
    <w:rsid w:val="000750FE"/>
    <w:rsid w:val="001255E5"/>
    <w:rsid w:val="00157277"/>
    <w:rsid w:val="00300299"/>
    <w:rsid w:val="003E4908"/>
    <w:rsid w:val="00567B90"/>
    <w:rsid w:val="005A2EED"/>
    <w:rsid w:val="00851591"/>
    <w:rsid w:val="009E0EDF"/>
    <w:rsid w:val="009E64D4"/>
    <w:rsid w:val="00C34C93"/>
    <w:rsid w:val="00CD7ACF"/>
    <w:rsid w:val="00E759B6"/>
    <w:rsid w:val="00EA16FF"/>
    <w:rsid w:val="00EA6CC6"/>
    <w:rsid w:val="00ED6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95F200"/>
  <w15:chartTrackingRefBased/>
  <w15:docId w15:val="{6F487EBE-CA95-4042-AD8E-B2BCBDC03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7ACF"/>
    <w:rPr>
      <w:rFonts w:ascii="Arial" w:hAnsi="Arial"/>
    </w:rPr>
  </w:style>
  <w:style w:type="paragraph" w:styleId="1">
    <w:name w:val="heading 1"/>
    <w:basedOn w:val="a"/>
    <w:next w:val="a"/>
    <w:link w:val="10"/>
    <w:uiPriority w:val="9"/>
    <w:qFormat/>
    <w:rsid w:val="009E64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9E64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9E64D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0"/>
    <w:uiPriority w:val="9"/>
    <w:semiHidden/>
    <w:unhideWhenUsed/>
    <w:qFormat/>
    <w:rsid w:val="009E64D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9E64D4"/>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E64D4"/>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E64D4"/>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E64D4"/>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E64D4"/>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9E64D4"/>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rsid w:val="009E64D4"/>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rsid w:val="009E64D4"/>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9E64D4"/>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9E64D4"/>
    <w:rPr>
      <w:rFonts w:eastAsiaTheme="majorEastAsia" w:cstheme="majorBidi"/>
      <w:color w:val="0F4761" w:themeColor="accent1" w:themeShade="BF"/>
    </w:rPr>
  </w:style>
  <w:style w:type="character" w:customStyle="1" w:styleId="60">
    <w:name w:val="Заглавие 6 Знак"/>
    <w:basedOn w:val="a0"/>
    <w:link w:val="6"/>
    <w:uiPriority w:val="9"/>
    <w:semiHidden/>
    <w:rsid w:val="009E64D4"/>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9E64D4"/>
    <w:rPr>
      <w:rFonts w:eastAsiaTheme="majorEastAsia" w:cstheme="majorBidi"/>
      <w:color w:val="595959" w:themeColor="text1" w:themeTint="A6"/>
    </w:rPr>
  </w:style>
  <w:style w:type="character" w:customStyle="1" w:styleId="80">
    <w:name w:val="Заглавие 8 Знак"/>
    <w:basedOn w:val="a0"/>
    <w:link w:val="8"/>
    <w:uiPriority w:val="9"/>
    <w:semiHidden/>
    <w:rsid w:val="009E64D4"/>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9E64D4"/>
    <w:rPr>
      <w:rFonts w:eastAsiaTheme="majorEastAsia" w:cstheme="majorBidi"/>
      <w:color w:val="272727" w:themeColor="text1" w:themeTint="D8"/>
    </w:rPr>
  </w:style>
  <w:style w:type="paragraph" w:styleId="a3">
    <w:name w:val="Title"/>
    <w:basedOn w:val="a"/>
    <w:next w:val="a"/>
    <w:link w:val="a4"/>
    <w:uiPriority w:val="10"/>
    <w:qFormat/>
    <w:rsid w:val="009E64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9E64D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64D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лавие Знак"/>
    <w:basedOn w:val="a0"/>
    <w:link w:val="a5"/>
    <w:uiPriority w:val="11"/>
    <w:rsid w:val="009E64D4"/>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E64D4"/>
    <w:pPr>
      <w:spacing w:before="160"/>
      <w:jc w:val="center"/>
    </w:pPr>
    <w:rPr>
      <w:i/>
      <w:iCs/>
      <w:color w:val="404040" w:themeColor="text1" w:themeTint="BF"/>
    </w:rPr>
  </w:style>
  <w:style w:type="character" w:customStyle="1" w:styleId="a8">
    <w:name w:val="Цитат Знак"/>
    <w:basedOn w:val="a0"/>
    <w:link w:val="a7"/>
    <w:uiPriority w:val="29"/>
    <w:rsid w:val="009E64D4"/>
    <w:rPr>
      <w:rFonts w:ascii="Arial" w:hAnsi="Arial"/>
      <w:i/>
      <w:iCs/>
      <w:color w:val="404040" w:themeColor="text1" w:themeTint="BF"/>
    </w:rPr>
  </w:style>
  <w:style w:type="paragraph" w:styleId="a9">
    <w:name w:val="List Paragraph"/>
    <w:basedOn w:val="a"/>
    <w:uiPriority w:val="34"/>
    <w:qFormat/>
    <w:rsid w:val="009E64D4"/>
    <w:pPr>
      <w:ind w:left="720"/>
      <w:contextualSpacing/>
    </w:pPr>
  </w:style>
  <w:style w:type="character" w:styleId="aa">
    <w:name w:val="Intense Emphasis"/>
    <w:basedOn w:val="a0"/>
    <w:uiPriority w:val="21"/>
    <w:qFormat/>
    <w:rsid w:val="009E64D4"/>
    <w:rPr>
      <w:i/>
      <w:iCs/>
      <w:color w:val="0F4761" w:themeColor="accent1" w:themeShade="BF"/>
    </w:rPr>
  </w:style>
  <w:style w:type="paragraph" w:styleId="ab">
    <w:name w:val="Intense Quote"/>
    <w:basedOn w:val="a"/>
    <w:next w:val="a"/>
    <w:link w:val="ac"/>
    <w:uiPriority w:val="30"/>
    <w:qFormat/>
    <w:rsid w:val="009E64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9E64D4"/>
    <w:rPr>
      <w:rFonts w:ascii="Arial" w:hAnsi="Arial"/>
      <w:i/>
      <w:iCs/>
      <w:color w:val="0F4761" w:themeColor="accent1" w:themeShade="BF"/>
    </w:rPr>
  </w:style>
  <w:style w:type="character" w:styleId="ad">
    <w:name w:val="Intense Reference"/>
    <w:basedOn w:val="a0"/>
    <w:uiPriority w:val="32"/>
    <w:qFormat/>
    <w:rsid w:val="009E64D4"/>
    <w:rPr>
      <w:b/>
      <w:bCs/>
      <w:smallCaps/>
      <w:color w:val="0F4761" w:themeColor="accent1" w:themeShade="BF"/>
      <w:spacing w:val="5"/>
    </w:rPr>
  </w:style>
  <w:style w:type="paragraph" w:customStyle="1" w:styleId="p2">
    <w:name w:val="p2"/>
    <w:basedOn w:val="a"/>
    <w:rsid w:val="009E64D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a"/>
    <w:rsid w:val="009E64D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1">
    <w:name w:val="p1"/>
    <w:basedOn w:val="a"/>
    <w:rsid w:val="009E64D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2">
    <w:name w:val="s2"/>
    <w:basedOn w:val="a0"/>
    <w:rsid w:val="009E64D4"/>
  </w:style>
  <w:style w:type="character" w:customStyle="1" w:styleId="s1">
    <w:name w:val="s1"/>
    <w:basedOn w:val="a0"/>
    <w:rsid w:val="009E64D4"/>
  </w:style>
  <w:style w:type="character" w:styleId="ae">
    <w:name w:val="Hyperlink"/>
    <w:basedOn w:val="a0"/>
    <w:uiPriority w:val="99"/>
    <w:unhideWhenUsed/>
    <w:rsid w:val="009E64D4"/>
    <w:rPr>
      <w:color w:val="467886" w:themeColor="hyperlink"/>
      <w:u w:val="single"/>
    </w:rPr>
  </w:style>
  <w:style w:type="character" w:styleId="af">
    <w:name w:val="Unresolved Mention"/>
    <w:basedOn w:val="a0"/>
    <w:uiPriority w:val="99"/>
    <w:semiHidden/>
    <w:unhideWhenUsed/>
    <w:rsid w:val="009E64D4"/>
    <w:rPr>
      <w:color w:val="605E5C"/>
      <w:shd w:val="clear" w:color="auto" w:fill="E1DFDD"/>
    </w:rPr>
  </w:style>
  <w:style w:type="character" w:styleId="af0">
    <w:name w:val="FollowedHyperlink"/>
    <w:basedOn w:val="a0"/>
    <w:uiPriority w:val="99"/>
    <w:semiHidden/>
    <w:unhideWhenUsed/>
    <w:rsid w:val="009E64D4"/>
    <w:rPr>
      <w:color w:val="96607D" w:themeColor="followedHyperlink"/>
      <w:u w:val="single"/>
    </w:rPr>
  </w:style>
  <w:style w:type="paragraph" w:styleId="af1">
    <w:name w:val="TOC Heading"/>
    <w:basedOn w:val="1"/>
    <w:next w:val="a"/>
    <w:uiPriority w:val="39"/>
    <w:unhideWhenUsed/>
    <w:qFormat/>
    <w:rsid w:val="009E64D4"/>
    <w:pPr>
      <w:spacing w:before="480" w:after="0" w:line="276" w:lineRule="auto"/>
      <w:outlineLvl w:val="9"/>
    </w:pPr>
    <w:rPr>
      <w:b/>
      <w:bCs/>
      <w:kern w:val="0"/>
      <w:sz w:val="28"/>
      <w:szCs w:val="28"/>
      <w14:ligatures w14:val="none"/>
    </w:rPr>
  </w:style>
  <w:style w:type="paragraph" w:styleId="11">
    <w:name w:val="toc 1"/>
    <w:basedOn w:val="a"/>
    <w:next w:val="a"/>
    <w:autoRedefine/>
    <w:uiPriority w:val="39"/>
    <w:unhideWhenUsed/>
    <w:rsid w:val="009E64D4"/>
    <w:pPr>
      <w:spacing w:before="120" w:after="0"/>
    </w:pPr>
    <w:rPr>
      <w:rFonts w:asciiTheme="minorHAnsi" w:hAnsiTheme="minorHAnsi"/>
      <w:b/>
      <w:bCs/>
      <w:i/>
      <w:iCs/>
    </w:rPr>
  </w:style>
  <w:style w:type="paragraph" w:styleId="31">
    <w:name w:val="toc 3"/>
    <w:basedOn w:val="a"/>
    <w:next w:val="a"/>
    <w:autoRedefine/>
    <w:uiPriority w:val="39"/>
    <w:unhideWhenUsed/>
    <w:rsid w:val="009E64D4"/>
    <w:pPr>
      <w:spacing w:after="0"/>
      <w:ind w:left="480"/>
    </w:pPr>
    <w:rPr>
      <w:rFonts w:asciiTheme="minorHAnsi" w:hAnsiTheme="minorHAnsi"/>
      <w:sz w:val="20"/>
      <w:szCs w:val="20"/>
    </w:rPr>
  </w:style>
  <w:style w:type="paragraph" w:styleId="21">
    <w:name w:val="toc 2"/>
    <w:basedOn w:val="a"/>
    <w:next w:val="a"/>
    <w:autoRedefine/>
    <w:uiPriority w:val="39"/>
    <w:unhideWhenUsed/>
    <w:rsid w:val="009E64D4"/>
    <w:pPr>
      <w:spacing w:before="120" w:after="0"/>
      <w:ind w:left="240"/>
    </w:pPr>
    <w:rPr>
      <w:rFonts w:asciiTheme="minorHAnsi" w:hAnsiTheme="minorHAnsi"/>
      <w:b/>
      <w:bCs/>
      <w:sz w:val="22"/>
      <w:szCs w:val="22"/>
    </w:rPr>
  </w:style>
  <w:style w:type="paragraph" w:styleId="41">
    <w:name w:val="toc 4"/>
    <w:basedOn w:val="a"/>
    <w:next w:val="a"/>
    <w:autoRedefine/>
    <w:uiPriority w:val="39"/>
    <w:semiHidden/>
    <w:unhideWhenUsed/>
    <w:rsid w:val="009E64D4"/>
    <w:pPr>
      <w:spacing w:after="0"/>
      <w:ind w:left="720"/>
    </w:pPr>
    <w:rPr>
      <w:rFonts w:asciiTheme="minorHAnsi" w:hAnsiTheme="minorHAnsi"/>
      <w:sz w:val="20"/>
      <w:szCs w:val="20"/>
    </w:rPr>
  </w:style>
  <w:style w:type="paragraph" w:styleId="51">
    <w:name w:val="toc 5"/>
    <w:basedOn w:val="a"/>
    <w:next w:val="a"/>
    <w:autoRedefine/>
    <w:uiPriority w:val="39"/>
    <w:semiHidden/>
    <w:unhideWhenUsed/>
    <w:rsid w:val="009E64D4"/>
    <w:pPr>
      <w:spacing w:after="0"/>
      <w:ind w:left="960"/>
    </w:pPr>
    <w:rPr>
      <w:rFonts w:asciiTheme="minorHAnsi" w:hAnsiTheme="minorHAnsi"/>
      <w:sz w:val="20"/>
      <w:szCs w:val="20"/>
    </w:rPr>
  </w:style>
  <w:style w:type="paragraph" w:styleId="61">
    <w:name w:val="toc 6"/>
    <w:basedOn w:val="a"/>
    <w:next w:val="a"/>
    <w:autoRedefine/>
    <w:uiPriority w:val="39"/>
    <w:semiHidden/>
    <w:unhideWhenUsed/>
    <w:rsid w:val="009E64D4"/>
    <w:pPr>
      <w:spacing w:after="0"/>
      <w:ind w:left="1200"/>
    </w:pPr>
    <w:rPr>
      <w:rFonts w:asciiTheme="minorHAnsi" w:hAnsiTheme="minorHAnsi"/>
      <w:sz w:val="20"/>
      <w:szCs w:val="20"/>
    </w:rPr>
  </w:style>
  <w:style w:type="paragraph" w:styleId="71">
    <w:name w:val="toc 7"/>
    <w:basedOn w:val="a"/>
    <w:next w:val="a"/>
    <w:autoRedefine/>
    <w:uiPriority w:val="39"/>
    <w:semiHidden/>
    <w:unhideWhenUsed/>
    <w:rsid w:val="009E64D4"/>
    <w:pPr>
      <w:spacing w:after="0"/>
      <w:ind w:left="1440"/>
    </w:pPr>
    <w:rPr>
      <w:rFonts w:asciiTheme="minorHAnsi" w:hAnsiTheme="minorHAnsi"/>
      <w:sz w:val="20"/>
      <w:szCs w:val="20"/>
    </w:rPr>
  </w:style>
  <w:style w:type="paragraph" w:styleId="81">
    <w:name w:val="toc 8"/>
    <w:basedOn w:val="a"/>
    <w:next w:val="a"/>
    <w:autoRedefine/>
    <w:uiPriority w:val="39"/>
    <w:semiHidden/>
    <w:unhideWhenUsed/>
    <w:rsid w:val="009E64D4"/>
    <w:pPr>
      <w:spacing w:after="0"/>
      <w:ind w:left="1680"/>
    </w:pPr>
    <w:rPr>
      <w:rFonts w:asciiTheme="minorHAnsi" w:hAnsiTheme="minorHAnsi"/>
      <w:sz w:val="20"/>
      <w:szCs w:val="20"/>
    </w:rPr>
  </w:style>
  <w:style w:type="paragraph" w:styleId="91">
    <w:name w:val="toc 9"/>
    <w:basedOn w:val="a"/>
    <w:next w:val="a"/>
    <w:autoRedefine/>
    <w:uiPriority w:val="39"/>
    <w:semiHidden/>
    <w:unhideWhenUsed/>
    <w:rsid w:val="009E64D4"/>
    <w:pPr>
      <w:spacing w:after="0"/>
      <w:ind w:left="1920"/>
    </w:pPr>
    <w:rPr>
      <w:rFonts w:asciiTheme="minorHAnsi" w:hAnsiTheme="minorHAnsi"/>
      <w:sz w:val="20"/>
      <w:szCs w:val="20"/>
    </w:rPr>
  </w:style>
  <w:style w:type="paragraph" w:styleId="af2">
    <w:name w:val="header"/>
    <w:basedOn w:val="a"/>
    <w:link w:val="af3"/>
    <w:uiPriority w:val="99"/>
    <w:unhideWhenUsed/>
    <w:rsid w:val="009E64D4"/>
    <w:pPr>
      <w:tabs>
        <w:tab w:val="center" w:pos="4680"/>
        <w:tab w:val="right" w:pos="9360"/>
      </w:tabs>
      <w:spacing w:after="0" w:line="240" w:lineRule="auto"/>
    </w:pPr>
  </w:style>
  <w:style w:type="character" w:customStyle="1" w:styleId="af3">
    <w:name w:val="Горен колонтитул Знак"/>
    <w:basedOn w:val="a0"/>
    <w:link w:val="af2"/>
    <w:uiPriority w:val="99"/>
    <w:rsid w:val="009E64D4"/>
    <w:rPr>
      <w:rFonts w:ascii="Arial" w:hAnsi="Arial"/>
    </w:rPr>
  </w:style>
  <w:style w:type="paragraph" w:styleId="af4">
    <w:name w:val="footer"/>
    <w:basedOn w:val="a"/>
    <w:link w:val="af5"/>
    <w:uiPriority w:val="99"/>
    <w:unhideWhenUsed/>
    <w:rsid w:val="009E64D4"/>
    <w:pPr>
      <w:tabs>
        <w:tab w:val="center" w:pos="4680"/>
        <w:tab w:val="right" w:pos="9360"/>
      </w:tabs>
      <w:spacing w:after="0" w:line="240" w:lineRule="auto"/>
    </w:pPr>
  </w:style>
  <w:style w:type="character" w:customStyle="1" w:styleId="af5">
    <w:name w:val="Долен колонтитул Знак"/>
    <w:basedOn w:val="a0"/>
    <w:link w:val="af4"/>
    <w:uiPriority w:val="99"/>
    <w:rsid w:val="009E64D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i.org/pmbok-guide-standards/foundational/pmbok"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yperlink" Target="https://www.whoop.com/gb/en/thelocker/science/" TargetMode="External" /><Relationship Id="rId4" Type="http://schemas.openxmlformats.org/officeDocument/2006/relationships/settings" Target="settings.xml" /><Relationship Id="rId9" Type="http://schemas.openxmlformats.org/officeDocument/2006/relationships/hyperlink" Target="https://www.legislation.gov.uk/ukpga/2018/12/content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13431-A3D6-4D4F-BFFC-22E794D22F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4847</Words>
  <Characters>27634</Characters>
  <Application>Microsoft Office Word</Application>
  <DocSecurity>0</DocSecurity>
  <Lines>230</Lines>
  <Paragraphs>64</Paragraphs>
  <ScaleCrop>false</ScaleCrop>
  <Company/>
  <LinksUpToDate>false</LinksUpToDate>
  <CharactersWithSpaces>32417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Ivan Hristoforov Ivanov (2413302)</cp:lastModifiedBy>
  <cp:revision>2</cp:revision>
  <dcterms:created xsi:type="dcterms:W3CDTF">2025-12-19T12:01:00Z</dcterms:created>
  <dcterms:modified xsi:type="dcterms:W3CDTF">2025-12-19T12:01:00Z</dcterms:modified>
</cp:coreProperties>
</file>