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F7D64" w14:textId="77777777" w:rsidR="008C06EF" w:rsidRDefault="008C06EF" w:rsidP="008C06EF">
      <w:pPr>
        <w:jc w:val="center"/>
      </w:pPr>
      <w:r>
        <w:rPr>
          <w:rFonts w:ascii="Times New Roman"/>
          <w:sz w:val="20"/>
        </w:rPr>
        <w:drawing>
          <wp:inline distT="0" distB="0" distL="0" distR="0" wp14:anchorId="1438F0DE" wp14:editId="677D354F">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tbl>
      <w:tblPr>
        <w:tblW w:w="9925" w:type="dxa"/>
        <w:tblInd w:w="-4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8C06EF" w14:paraId="204D2D11" w14:textId="77777777" w:rsidTr="00CD68F8">
        <w:trPr>
          <w:trHeight w:val="791"/>
        </w:trPr>
        <w:tc>
          <w:tcPr>
            <w:tcW w:w="2096" w:type="dxa"/>
          </w:tcPr>
          <w:p w14:paraId="2D1A3102" w14:textId="77777777" w:rsidR="008C06EF" w:rsidRDefault="008C06EF" w:rsidP="00CD68F8">
            <w:pPr>
              <w:pStyle w:val="TableParagraph"/>
              <w:spacing w:before="259"/>
              <w:ind w:left="107"/>
              <w:rPr>
                <w:b/>
                <w:sz w:val="24"/>
              </w:rPr>
            </w:pPr>
            <w:r>
              <w:rPr>
                <w:b/>
                <w:sz w:val="24"/>
              </w:rPr>
              <w:t>Student</w:t>
            </w:r>
            <w:r>
              <w:rPr>
                <w:b/>
                <w:spacing w:val="-3"/>
                <w:sz w:val="24"/>
              </w:rPr>
              <w:t xml:space="preserve"> </w:t>
            </w:r>
            <w:r>
              <w:rPr>
                <w:b/>
                <w:spacing w:val="-2"/>
                <w:sz w:val="24"/>
              </w:rPr>
              <w:t>name:</w:t>
            </w:r>
          </w:p>
        </w:tc>
        <w:tc>
          <w:tcPr>
            <w:tcW w:w="3293" w:type="dxa"/>
          </w:tcPr>
          <w:p w14:paraId="78037ABB" w14:textId="77777777" w:rsidR="008C06EF" w:rsidRDefault="008C06EF" w:rsidP="00CD68F8">
            <w:pPr>
              <w:pStyle w:val="TableParagraph"/>
              <w:rPr>
                <w:rFonts w:ascii="Times New Roman"/>
              </w:rPr>
            </w:pPr>
          </w:p>
          <w:p w14:paraId="60D6DEBC" w14:textId="0A15C28C" w:rsidR="002F209A" w:rsidRPr="002F209A" w:rsidRDefault="002F209A" w:rsidP="00CD68F8">
            <w:pPr>
              <w:pStyle w:val="TableParagraph"/>
              <w:rPr>
                <w:rFonts w:cs="Arial"/>
                <w:b/>
                <w:bCs/>
              </w:rPr>
            </w:pPr>
            <w:r>
              <w:rPr>
                <w:rFonts w:ascii="Times New Roman"/>
                <w:b/>
                <w:bCs/>
              </w:rPr>
              <w:t xml:space="preserve"> </w:t>
            </w:r>
            <w:r>
              <w:rPr>
                <w:rFonts w:cs="Arial"/>
                <w:b/>
                <w:bCs/>
              </w:rPr>
              <w:t xml:space="preserve">Meetkumar </w:t>
            </w:r>
            <w:proofErr w:type="spellStart"/>
            <w:r>
              <w:rPr>
                <w:rFonts w:cs="Arial"/>
                <w:b/>
                <w:bCs/>
              </w:rPr>
              <w:t>Sureshbhai</w:t>
            </w:r>
            <w:proofErr w:type="spellEnd"/>
            <w:r>
              <w:rPr>
                <w:rFonts w:cs="Arial"/>
                <w:b/>
                <w:bCs/>
              </w:rPr>
              <w:t xml:space="preserve"> </w:t>
            </w:r>
            <w:r w:rsidR="006A7261">
              <w:rPr>
                <w:rFonts w:cs="Arial"/>
                <w:b/>
                <w:bCs/>
              </w:rPr>
              <w:t>V</w:t>
            </w:r>
            <w:r>
              <w:rPr>
                <w:rFonts w:cs="Arial"/>
                <w:b/>
                <w:bCs/>
              </w:rPr>
              <w:t>asani</w:t>
            </w:r>
          </w:p>
        </w:tc>
        <w:tc>
          <w:tcPr>
            <w:tcW w:w="2268" w:type="dxa"/>
            <w:shd w:val="clear" w:color="auto" w:fill="D9D9D9"/>
          </w:tcPr>
          <w:p w14:paraId="2E2BB74D" w14:textId="77777777" w:rsidR="008C06EF" w:rsidRDefault="008C06EF" w:rsidP="00CD68F8">
            <w:pPr>
              <w:pStyle w:val="TableParagraph"/>
              <w:spacing w:before="120"/>
              <w:ind w:left="107" w:right="205"/>
              <w:rPr>
                <w:b/>
                <w:sz w:val="24"/>
              </w:rPr>
            </w:pPr>
            <w:r>
              <w:rPr>
                <w:b/>
                <w:sz w:val="24"/>
              </w:rPr>
              <w:t>Student</w:t>
            </w:r>
            <w:r>
              <w:rPr>
                <w:b/>
                <w:spacing w:val="-17"/>
                <w:sz w:val="24"/>
              </w:rPr>
              <w:t xml:space="preserve"> </w:t>
            </w:r>
            <w:r>
              <w:rPr>
                <w:b/>
                <w:sz w:val="24"/>
              </w:rPr>
              <w:t xml:space="preserve">ID </w:t>
            </w:r>
            <w:r>
              <w:rPr>
                <w:b/>
                <w:spacing w:val="-2"/>
                <w:sz w:val="24"/>
              </w:rPr>
              <w:t>number:</w:t>
            </w:r>
          </w:p>
        </w:tc>
        <w:tc>
          <w:tcPr>
            <w:tcW w:w="2268" w:type="dxa"/>
          </w:tcPr>
          <w:p w14:paraId="6EB61808" w14:textId="77777777" w:rsidR="008C06EF" w:rsidRDefault="008C06EF" w:rsidP="00CD68F8">
            <w:pPr>
              <w:pStyle w:val="TableParagraph"/>
              <w:rPr>
                <w:rFonts w:ascii="Times New Roman"/>
              </w:rPr>
            </w:pPr>
          </w:p>
          <w:p w14:paraId="5E23D91E" w14:textId="6B9D8F0F" w:rsidR="002F209A" w:rsidRPr="002F209A" w:rsidRDefault="002F209A" w:rsidP="00CD68F8">
            <w:pPr>
              <w:pStyle w:val="TableParagraph"/>
              <w:rPr>
                <w:rFonts w:cs="Arial"/>
                <w:b/>
                <w:bCs/>
              </w:rPr>
            </w:pPr>
            <w:r>
              <w:rPr>
                <w:rFonts w:ascii="Times New Roman"/>
              </w:rPr>
              <w:t xml:space="preserve"> </w:t>
            </w:r>
            <w:r>
              <w:rPr>
                <w:rFonts w:cs="Arial"/>
                <w:b/>
                <w:bCs/>
              </w:rPr>
              <w:t>25</w:t>
            </w:r>
          </w:p>
        </w:tc>
      </w:tr>
      <w:tr w:rsidR="008C06EF" w14:paraId="3482F678" w14:textId="77777777" w:rsidTr="00CD68F8">
        <w:trPr>
          <w:trHeight w:val="518"/>
        </w:trPr>
        <w:tc>
          <w:tcPr>
            <w:tcW w:w="2096" w:type="dxa"/>
          </w:tcPr>
          <w:p w14:paraId="4BC69E7F" w14:textId="77777777" w:rsidR="008C06EF" w:rsidRDefault="008C06EF" w:rsidP="00CD68F8">
            <w:pPr>
              <w:pStyle w:val="TableParagraph"/>
              <w:spacing w:before="122"/>
              <w:ind w:left="107"/>
              <w:rPr>
                <w:b/>
                <w:sz w:val="24"/>
              </w:rPr>
            </w:pPr>
            <w:proofErr w:type="spellStart"/>
            <w:r>
              <w:rPr>
                <w:b/>
                <w:spacing w:val="-2"/>
                <w:sz w:val="24"/>
              </w:rPr>
              <w:t>Programme</w:t>
            </w:r>
            <w:proofErr w:type="spellEnd"/>
            <w:r>
              <w:rPr>
                <w:b/>
                <w:spacing w:val="-2"/>
                <w:sz w:val="24"/>
              </w:rPr>
              <w:t>:</w:t>
            </w:r>
          </w:p>
        </w:tc>
        <w:tc>
          <w:tcPr>
            <w:tcW w:w="7829" w:type="dxa"/>
            <w:gridSpan w:val="3"/>
          </w:tcPr>
          <w:p w14:paraId="1DBB4641" w14:textId="77777777" w:rsidR="008C06EF" w:rsidRDefault="008C06EF" w:rsidP="00CD68F8">
            <w:pPr>
              <w:pStyle w:val="TableParagraph"/>
              <w:spacing w:before="122"/>
              <w:ind w:left="105"/>
              <w:rPr>
                <w:b/>
                <w:sz w:val="24"/>
              </w:rPr>
            </w:pPr>
            <w:r>
              <w:rPr>
                <w:b/>
                <w:sz w:val="24"/>
              </w:rPr>
              <w:t>Master</w:t>
            </w:r>
            <w:r>
              <w:rPr>
                <w:b/>
                <w:spacing w:val="-4"/>
                <w:sz w:val="24"/>
              </w:rPr>
              <w:t xml:space="preserve"> </w:t>
            </w:r>
            <w:r>
              <w:rPr>
                <w:b/>
                <w:sz w:val="24"/>
              </w:rPr>
              <w:t>of</w:t>
            </w:r>
            <w:r>
              <w:rPr>
                <w:b/>
                <w:spacing w:val="-3"/>
                <w:sz w:val="24"/>
              </w:rPr>
              <w:t xml:space="preserve"> </w:t>
            </w:r>
            <w:r>
              <w:rPr>
                <w:b/>
                <w:sz w:val="24"/>
              </w:rPr>
              <w:t>Business</w:t>
            </w:r>
            <w:r>
              <w:rPr>
                <w:b/>
                <w:spacing w:val="-3"/>
                <w:sz w:val="24"/>
              </w:rPr>
              <w:t xml:space="preserve"> </w:t>
            </w:r>
            <w:r>
              <w:rPr>
                <w:b/>
                <w:spacing w:val="-2"/>
                <w:sz w:val="24"/>
              </w:rPr>
              <w:t>Administration</w:t>
            </w:r>
          </w:p>
        </w:tc>
      </w:tr>
      <w:tr w:rsidR="008C06EF" w14:paraId="13FC4E51" w14:textId="77777777" w:rsidTr="00CD68F8">
        <w:trPr>
          <w:trHeight w:val="516"/>
        </w:trPr>
        <w:tc>
          <w:tcPr>
            <w:tcW w:w="2096" w:type="dxa"/>
          </w:tcPr>
          <w:p w14:paraId="1F361EAE" w14:textId="77777777" w:rsidR="008C06EF" w:rsidRDefault="008C06EF" w:rsidP="00CD68F8">
            <w:pPr>
              <w:pStyle w:val="TableParagraph"/>
              <w:spacing w:before="121"/>
              <w:ind w:left="107"/>
              <w:rPr>
                <w:b/>
                <w:sz w:val="24"/>
              </w:rPr>
            </w:pPr>
            <w:r>
              <w:rPr>
                <w:b/>
                <w:spacing w:val="-2"/>
                <w:sz w:val="24"/>
              </w:rPr>
              <w:t>Module:</w:t>
            </w:r>
          </w:p>
        </w:tc>
        <w:tc>
          <w:tcPr>
            <w:tcW w:w="7829" w:type="dxa"/>
            <w:gridSpan w:val="3"/>
          </w:tcPr>
          <w:p w14:paraId="7A43BED1" w14:textId="15635BA9" w:rsidR="008C06EF" w:rsidRDefault="008C06EF" w:rsidP="00CD68F8">
            <w:pPr>
              <w:pStyle w:val="TableParagraph"/>
              <w:spacing w:before="121"/>
              <w:ind w:left="105"/>
              <w:rPr>
                <w:b/>
                <w:sz w:val="24"/>
              </w:rPr>
            </w:pPr>
            <w:r>
              <w:rPr>
                <w:b/>
                <w:sz w:val="24"/>
              </w:rPr>
              <w:t xml:space="preserve">Marketing </w:t>
            </w:r>
            <w:r>
              <w:rPr>
                <w:b/>
                <w:spacing w:val="-2"/>
                <w:sz w:val="24"/>
              </w:rPr>
              <w:t>Management</w:t>
            </w:r>
          </w:p>
        </w:tc>
      </w:tr>
      <w:tr w:rsidR="008C06EF" w14:paraId="69CB8ACF" w14:textId="77777777" w:rsidTr="00CD68F8">
        <w:trPr>
          <w:trHeight w:val="827"/>
        </w:trPr>
        <w:tc>
          <w:tcPr>
            <w:tcW w:w="2096" w:type="dxa"/>
          </w:tcPr>
          <w:p w14:paraId="51552C9A" w14:textId="77777777" w:rsidR="008C06EF" w:rsidRDefault="008C06EF" w:rsidP="00CD68F8">
            <w:pPr>
              <w:pStyle w:val="TableParagraph"/>
              <w:rPr>
                <w:b/>
                <w:sz w:val="24"/>
              </w:rPr>
            </w:pPr>
          </w:p>
          <w:p w14:paraId="4B9CEC1B" w14:textId="77777777" w:rsidR="008C06EF" w:rsidRDefault="008C06EF" w:rsidP="00CD68F8">
            <w:pPr>
              <w:pStyle w:val="TableParagraph"/>
              <w:ind w:left="107"/>
              <w:rPr>
                <w:b/>
                <w:sz w:val="24"/>
              </w:rPr>
            </w:pPr>
            <w:r>
              <w:rPr>
                <w:b/>
                <w:sz w:val="24"/>
              </w:rPr>
              <w:t>Module</w:t>
            </w:r>
            <w:r>
              <w:rPr>
                <w:b/>
                <w:spacing w:val="-5"/>
                <w:sz w:val="24"/>
              </w:rPr>
              <w:t xml:space="preserve"> </w:t>
            </w:r>
            <w:r>
              <w:rPr>
                <w:b/>
                <w:spacing w:val="-2"/>
                <w:sz w:val="24"/>
              </w:rPr>
              <w:t>code:</w:t>
            </w:r>
          </w:p>
        </w:tc>
        <w:tc>
          <w:tcPr>
            <w:tcW w:w="7829" w:type="dxa"/>
            <w:gridSpan w:val="3"/>
          </w:tcPr>
          <w:p w14:paraId="5E1AB1AE" w14:textId="77777777" w:rsidR="008C06EF" w:rsidRDefault="008C06EF" w:rsidP="00CD68F8">
            <w:pPr>
              <w:pStyle w:val="TableParagraph"/>
              <w:rPr>
                <w:b/>
                <w:sz w:val="24"/>
              </w:rPr>
            </w:pPr>
          </w:p>
          <w:p w14:paraId="411F534D" w14:textId="3E5CD739" w:rsidR="008C06EF" w:rsidRDefault="008C06EF" w:rsidP="00CD68F8">
            <w:pPr>
              <w:pStyle w:val="TableParagraph"/>
              <w:ind w:left="105"/>
              <w:rPr>
                <w:b/>
                <w:sz w:val="24"/>
              </w:rPr>
            </w:pPr>
            <w:r>
              <w:rPr>
                <w:b/>
                <w:spacing w:val="-2"/>
                <w:sz w:val="24"/>
              </w:rPr>
              <w:t>LCMB7024</w:t>
            </w:r>
          </w:p>
        </w:tc>
      </w:tr>
      <w:tr w:rsidR="008C06EF" w14:paraId="721C3790" w14:textId="77777777" w:rsidTr="00CD68F8">
        <w:trPr>
          <w:trHeight w:val="852"/>
        </w:trPr>
        <w:tc>
          <w:tcPr>
            <w:tcW w:w="2096" w:type="dxa"/>
          </w:tcPr>
          <w:p w14:paraId="40991F3C" w14:textId="77777777" w:rsidR="008C06EF" w:rsidRDefault="008C06EF" w:rsidP="00CD68F8">
            <w:pPr>
              <w:pStyle w:val="TableParagraph"/>
              <w:spacing w:before="179"/>
              <w:rPr>
                <w:b/>
                <w:sz w:val="24"/>
              </w:rPr>
            </w:pPr>
          </w:p>
          <w:p w14:paraId="4D501A30" w14:textId="77777777" w:rsidR="008C06EF" w:rsidRDefault="008C06EF" w:rsidP="00CD68F8">
            <w:pPr>
              <w:pStyle w:val="TableParagraph"/>
              <w:spacing w:before="1"/>
              <w:ind w:left="107"/>
              <w:rPr>
                <w:b/>
                <w:sz w:val="24"/>
              </w:rPr>
            </w:pPr>
            <w:r>
              <w:rPr>
                <w:b/>
                <w:spacing w:val="-2"/>
                <w:sz w:val="24"/>
              </w:rPr>
              <w:t>Lecturer:</w:t>
            </w:r>
          </w:p>
        </w:tc>
        <w:tc>
          <w:tcPr>
            <w:tcW w:w="7829" w:type="dxa"/>
            <w:gridSpan w:val="3"/>
          </w:tcPr>
          <w:p w14:paraId="75FBB29F" w14:textId="77777777" w:rsidR="008C06EF" w:rsidRDefault="008C06EF" w:rsidP="00CD68F8">
            <w:pPr>
              <w:pStyle w:val="TableParagraph"/>
              <w:spacing w:before="259" w:line="343" w:lineRule="auto"/>
              <w:ind w:right="335"/>
              <w:rPr>
                <w:b/>
                <w:sz w:val="24"/>
                <w:lang w:val="en-IN"/>
              </w:rPr>
            </w:pPr>
            <w:r>
              <w:rPr>
                <w:b/>
                <w:sz w:val="24"/>
              </w:rPr>
              <w:t xml:space="preserve"> </w:t>
            </w:r>
            <w:r w:rsidRPr="008C06EF">
              <w:rPr>
                <w:b/>
                <w:sz w:val="24"/>
                <w:lang w:val="en-IN"/>
              </w:rPr>
              <w:t xml:space="preserve">Laila Maazouz </w:t>
            </w:r>
          </w:p>
          <w:p w14:paraId="265A5283" w14:textId="0FBA37CF" w:rsidR="008C06EF" w:rsidRDefault="008C06EF" w:rsidP="00CD68F8">
            <w:pPr>
              <w:pStyle w:val="TableParagraph"/>
              <w:spacing w:before="259" w:line="343" w:lineRule="auto"/>
              <w:ind w:right="335"/>
              <w:rPr>
                <w:b/>
                <w:sz w:val="24"/>
              </w:rPr>
            </w:pPr>
            <w:r w:rsidRPr="008C06EF">
              <w:rPr>
                <w:b/>
                <w:sz w:val="24"/>
                <w:lang w:val="en-IN"/>
              </w:rPr>
              <w:t xml:space="preserve">Taonga Kaonga </w:t>
            </w:r>
            <w:proofErr w:type="spellStart"/>
            <w:r w:rsidRPr="008C06EF">
              <w:rPr>
                <w:b/>
                <w:sz w:val="24"/>
                <w:lang w:val="en-IN"/>
              </w:rPr>
              <w:t>Sobere</w:t>
            </w:r>
            <w:proofErr w:type="spellEnd"/>
            <w:r w:rsidRPr="008C06EF">
              <w:rPr>
                <w:b/>
                <w:sz w:val="24"/>
                <w:lang w:val="en-IN"/>
              </w:rPr>
              <w:t xml:space="preserve"> </w:t>
            </w:r>
            <w:proofErr w:type="spellStart"/>
            <w:r w:rsidRPr="008C06EF">
              <w:rPr>
                <w:b/>
                <w:sz w:val="24"/>
                <w:lang w:val="en-IN"/>
              </w:rPr>
              <w:t>Snithers</w:t>
            </w:r>
            <w:proofErr w:type="spellEnd"/>
            <w:r w:rsidRPr="008C06EF">
              <w:rPr>
                <w:b/>
                <w:sz w:val="24"/>
                <w:lang w:val="en-IN"/>
              </w:rPr>
              <w:t xml:space="preserve"> </w:t>
            </w:r>
          </w:p>
        </w:tc>
      </w:tr>
      <w:tr w:rsidR="008C06EF" w14:paraId="14AEFA5B" w14:textId="77777777" w:rsidTr="00CD68F8">
        <w:trPr>
          <w:trHeight w:val="791"/>
        </w:trPr>
        <w:tc>
          <w:tcPr>
            <w:tcW w:w="2096" w:type="dxa"/>
          </w:tcPr>
          <w:p w14:paraId="3F8C968F" w14:textId="77777777" w:rsidR="008C06EF" w:rsidRDefault="008C06EF" w:rsidP="00CD68F8">
            <w:pPr>
              <w:pStyle w:val="TableParagraph"/>
              <w:spacing w:before="120"/>
              <w:ind w:left="107" w:right="84"/>
              <w:rPr>
                <w:b/>
                <w:sz w:val="24"/>
              </w:rPr>
            </w:pPr>
            <w:r>
              <w:rPr>
                <w:b/>
                <w:spacing w:val="-2"/>
                <w:sz w:val="24"/>
              </w:rPr>
              <w:t>Assignment Title:</w:t>
            </w:r>
          </w:p>
        </w:tc>
        <w:tc>
          <w:tcPr>
            <w:tcW w:w="3293" w:type="dxa"/>
          </w:tcPr>
          <w:p w14:paraId="0F78C08C" w14:textId="7DB36B3D" w:rsidR="008C06EF" w:rsidRDefault="008C06EF" w:rsidP="00CD68F8">
            <w:pPr>
              <w:pStyle w:val="TableParagraph"/>
              <w:spacing w:before="120"/>
              <w:ind w:left="105"/>
              <w:rPr>
                <w:b/>
                <w:sz w:val="24"/>
              </w:rPr>
            </w:pPr>
            <w:r w:rsidRPr="008C06EF">
              <w:rPr>
                <w:b/>
                <w:sz w:val="24"/>
                <w:lang w:val="en-IN"/>
              </w:rPr>
              <w:t>Marketing Environment Analysis</w:t>
            </w:r>
          </w:p>
        </w:tc>
        <w:tc>
          <w:tcPr>
            <w:tcW w:w="2268" w:type="dxa"/>
          </w:tcPr>
          <w:p w14:paraId="267F711C" w14:textId="77777777" w:rsidR="008C06EF" w:rsidRDefault="008C06EF" w:rsidP="00CD68F8">
            <w:pPr>
              <w:pStyle w:val="TableParagraph"/>
              <w:spacing w:before="120"/>
              <w:ind w:left="107" w:right="205"/>
              <w:rPr>
                <w:b/>
                <w:sz w:val="24"/>
              </w:rPr>
            </w:pPr>
            <w:r>
              <w:rPr>
                <w:b/>
                <w:sz w:val="24"/>
              </w:rPr>
              <w:t>Word</w:t>
            </w:r>
            <w:r>
              <w:rPr>
                <w:b/>
                <w:spacing w:val="-17"/>
                <w:sz w:val="24"/>
              </w:rPr>
              <w:t xml:space="preserve"> </w:t>
            </w:r>
            <w:r>
              <w:rPr>
                <w:b/>
                <w:sz w:val="24"/>
              </w:rPr>
              <w:t>count</w:t>
            </w:r>
            <w:r>
              <w:rPr>
                <w:b/>
                <w:spacing w:val="-17"/>
                <w:sz w:val="24"/>
              </w:rPr>
              <w:t>:</w:t>
            </w:r>
          </w:p>
        </w:tc>
        <w:tc>
          <w:tcPr>
            <w:tcW w:w="2268" w:type="dxa"/>
          </w:tcPr>
          <w:p w14:paraId="02230622" w14:textId="71A562E5" w:rsidR="008C06EF" w:rsidRDefault="008C06EF" w:rsidP="00CD68F8">
            <w:pPr>
              <w:pStyle w:val="TableParagraph"/>
              <w:spacing w:before="259"/>
              <w:rPr>
                <w:b/>
                <w:sz w:val="24"/>
              </w:rPr>
            </w:pPr>
            <w:r>
              <w:rPr>
                <w:b/>
                <w:spacing w:val="-4"/>
                <w:sz w:val="24"/>
              </w:rPr>
              <w:t>2,</w:t>
            </w:r>
            <w:r w:rsidR="00C977FD">
              <w:rPr>
                <w:b/>
                <w:spacing w:val="-4"/>
                <w:sz w:val="24"/>
              </w:rPr>
              <w:t>492</w:t>
            </w:r>
            <w:r>
              <w:rPr>
                <w:b/>
                <w:spacing w:val="-4"/>
                <w:sz w:val="24"/>
              </w:rPr>
              <w:t>(Excluding Refer</w:t>
            </w:r>
            <w:r w:rsidR="006111DE">
              <w:rPr>
                <w:b/>
                <w:spacing w:val="-4"/>
                <w:sz w:val="24"/>
              </w:rPr>
              <w:t>e</w:t>
            </w:r>
            <w:r>
              <w:rPr>
                <w:b/>
                <w:spacing w:val="-4"/>
                <w:sz w:val="24"/>
              </w:rPr>
              <w:t>nces)</w:t>
            </w:r>
          </w:p>
        </w:tc>
      </w:tr>
      <w:tr w:rsidR="008C06EF" w14:paraId="5B0970CB" w14:textId="77777777" w:rsidTr="00CD68F8">
        <w:trPr>
          <w:trHeight w:val="702"/>
        </w:trPr>
        <w:tc>
          <w:tcPr>
            <w:tcW w:w="2096" w:type="dxa"/>
          </w:tcPr>
          <w:p w14:paraId="17C72ACA" w14:textId="77777777" w:rsidR="008C06EF" w:rsidRDefault="008C06EF" w:rsidP="00CD68F8">
            <w:pPr>
              <w:pStyle w:val="TableParagraph"/>
              <w:rPr>
                <w:b/>
                <w:spacing w:val="-2"/>
                <w:sz w:val="24"/>
              </w:rPr>
            </w:pPr>
          </w:p>
          <w:p w14:paraId="4EC13490" w14:textId="77777777" w:rsidR="008C06EF" w:rsidRDefault="008C06EF" w:rsidP="00CD68F8">
            <w:pPr>
              <w:pStyle w:val="TableParagraph"/>
              <w:rPr>
                <w:b/>
                <w:sz w:val="24"/>
              </w:rPr>
            </w:pPr>
            <w:r>
              <w:rPr>
                <w:b/>
                <w:spacing w:val="-2"/>
                <w:sz w:val="24"/>
              </w:rPr>
              <w:t xml:space="preserve"> Submission date:</w:t>
            </w:r>
          </w:p>
        </w:tc>
        <w:tc>
          <w:tcPr>
            <w:tcW w:w="7829" w:type="dxa"/>
            <w:gridSpan w:val="3"/>
          </w:tcPr>
          <w:p w14:paraId="650A6675" w14:textId="02233AA6" w:rsidR="008C06EF" w:rsidRDefault="008C06EF" w:rsidP="00CD68F8">
            <w:pPr>
              <w:pStyle w:val="TableParagraph"/>
              <w:spacing w:before="255"/>
              <w:rPr>
                <w:b/>
                <w:sz w:val="24"/>
              </w:rPr>
            </w:pPr>
            <w:r>
              <w:rPr>
                <w:b/>
                <w:sz w:val="24"/>
              </w:rPr>
              <w:t xml:space="preserve"> 2</w:t>
            </w:r>
            <w:r w:rsidR="006111DE">
              <w:rPr>
                <w:b/>
                <w:sz w:val="24"/>
              </w:rPr>
              <w:t xml:space="preserve">4th </w:t>
            </w:r>
            <w:r>
              <w:rPr>
                <w:b/>
                <w:sz w:val="24"/>
              </w:rPr>
              <w:t>July</w:t>
            </w:r>
            <w:r>
              <w:rPr>
                <w:b/>
                <w:spacing w:val="-8"/>
                <w:sz w:val="24"/>
              </w:rPr>
              <w:t xml:space="preserve"> </w:t>
            </w:r>
            <w:r>
              <w:rPr>
                <w:b/>
                <w:sz w:val="24"/>
              </w:rPr>
              <w:t>2026</w:t>
            </w:r>
            <w:r>
              <w:rPr>
                <w:b/>
                <w:spacing w:val="-8"/>
                <w:sz w:val="24"/>
              </w:rPr>
              <w:t xml:space="preserve"> </w:t>
            </w:r>
          </w:p>
        </w:tc>
      </w:tr>
    </w:tbl>
    <w:p w14:paraId="463AC3CC" w14:textId="3638FBB3" w:rsidR="008C06EF" w:rsidRDefault="008C06EF" w:rsidP="008C06EF"/>
    <w:p w14:paraId="431CDC9E" w14:textId="77777777" w:rsidR="008C06EF" w:rsidRDefault="008C06EF">
      <w:pPr>
        <w:jc w:val="left"/>
      </w:pPr>
      <w:r>
        <w:br w:type="page"/>
      </w:r>
    </w:p>
    <w:sdt>
      <w:sdtPr>
        <w:rPr>
          <w:rFonts w:ascii="Arial" w:eastAsiaTheme="minorHAnsi" w:hAnsi="Arial" w:cstheme="minorBidi"/>
          <w:noProof/>
          <w:color w:val="auto"/>
          <w:kern w:val="2"/>
          <w:sz w:val="22"/>
          <w:szCs w:val="22"/>
          <w:lang w:val="en-IN"/>
          <w14:ligatures w14:val="standardContextual"/>
        </w:rPr>
        <w:id w:val="544422419"/>
        <w:docPartObj>
          <w:docPartGallery w:val="Table of Contents"/>
          <w:docPartUnique/>
        </w:docPartObj>
      </w:sdtPr>
      <w:sdtEndPr>
        <w:rPr>
          <w:b/>
          <w:bCs/>
        </w:rPr>
      </w:sdtEndPr>
      <w:sdtContent>
        <w:p w14:paraId="0F3EDB76" w14:textId="43389FEA" w:rsidR="008C06EF" w:rsidRDefault="008C06EF">
          <w:pPr>
            <w:pStyle w:val="TOCHeading"/>
          </w:pPr>
          <w:r>
            <w:t>Table of Contents</w:t>
          </w:r>
        </w:p>
        <w:p w14:paraId="214AD519" w14:textId="45389D76" w:rsidR="001B0BEE" w:rsidRDefault="008C06EF">
          <w:pPr>
            <w:pStyle w:val="TOC1"/>
            <w:tabs>
              <w:tab w:val="right" w:leader="dot" w:pos="9016"/>
            </w:tabs>
            <w:rPr>
              <w:rFonts w:asciiTheme="minorHAnsi" w:eastAsiaTheme="minorEastAsia" w:hAnsiTheme="minorHAnsi"/>
              <w:sz w:val="24"/>
              <w:szCs w:val="24"/>
              <w:lang w:eastAsia="en-IN"/>
            </w:rPr>
          </w:pPr>
          <w:r>
            <w:fldChar w:fldCharType="begin"/>
          </w:r>
          <w:r>
            <w:instrText xml:space="preserve"> TOC \o "1-3" \h \z \u </w:instrText>
          </w:r>
          <w:r>
            <w:fldChar w:fldCharType="separate"/>
          </w:r>
          <w:hyperlink w:anchor="_Toc235611152" w:history="1">
            <w:r w:rsidR="001B0BEE" w:rsidRPr="00977713">
              <w:rPr>
                <w:rStyle w:val="Hyperlink"/>
              </w:rPr>
              <w:t>Introduction</w:t>
            </w:r>
            <w:r w:rsidR="001B0BEE">
              <w:rPr>
                <w:webHidden/>
              </w:rPr>
              <w:tab/>
            </w:r>
            <w:r w:rsidR="001B0BEE">
              <w:rPr>
                <w:webHidden/>
              </w:rPr>
              <w:fldChar w:fldCharType="begin"/>
            </w:r>
            <w:r w:rsidR="001B0BEE">
              <w:rPr>
                <w:webHidden/>
              </w:rPr>
              <w:instrText xml:space="preserve"> PAGEREF _Toc235611152 \h </w:instrText>
            </w:r>
            <w:r w:rsidR="001B0BEE">
              <w:rPr>
                <w:webHidden/>
              </w:rPr>
            </w:r>
            <w:r w:rsidR="001B0BEE">
              <w:rPr>
                <w:webHidden/>
              </w:rPr>
              <w:fldChar w:fldCharType="separate"/>
            </w:r>
            <w:r w:rsidR="001B0BEE">
              <w:rPr>
                <w:webHidden/>
              </w:rPr>
              <w:t>1</w:t>
            </w:r>
            <w:r w:rsidR="001B0BEE">
              <w:rPr>
                <w:webHidden/>
              </w:rPr>
              <w:fldChar w:fldCharType="end"/>
            </w:r>
          </w:hyperlink>
        </w:p>
        <w:p w14:paraId="4EDDD308" w14:textId="44A66B9E" w:rsidR="001B0BEE" w:rsidRDefault="001B0BEE">
          <w:pPr>
            <w:pStyle w:val="TOC1"/>
            <w:tabs>
              <w:tab w:val="right" w:leader="dot" w:pos="9016"/>
            </w:tabs>
            <w:rPr>
              <w:rFonts w:asciiTheme="minorHAnsi" w:eastAsiaTheme="minorEastAsia" w:hAnsiTheme="minorHAnsi"/>
              <w:sz w:val="24"/>
              <w:szCs w:val="24"/>
              <w:lang w:eastAsia="en-IN"/>
            </w:rPr>
          </w:pPr>
          <w:hyperlink w:anchor="_Toc235611153" w:history="1">
            <w:r w:rsidRPr="00977713">
              <w:rPr>
                <w:rStyle w:val="Hyperlink"/>
              </w:rPr>
              <w:t>Task 1: Marketing Environment Analysis</w:t>
            </w:r>
            <w:r>
              <w:rPr>
                <w:webHidden/>
              </w:rPr>
              <w:tab/>
            </w:r>
            <w:r>
              <w:rPr>
                <w:webHidden/>
              </w:rPr>
              <w:fldChar w:fldCharType="begin"/>
            </w:r>
            <w:r>
              <w:rPr>
                <w:webHidden/>
              </w:rPr>
              <w:instrText xml:space="preserve"> PAGEREF _Toc235611153 \h </w:instrText>
            </w:r>
            <w:r>
              <w:rPr>
                <w:webHidden/>
              </w:rPr>
            </w:r>
            <w:r>
              <w:rPr>
                <w:webHidden/>
              </w:rPr>
              <w:fldChar w:fldCharType="separate"/>
            </w:r>
            <w:r>
              <w:rPr>
                <w:webHidden/>
              </w:rPr>
              <w:t>1</w:t>
            </w:r>
            <w:r>
              <w:rPr>
                <w:webHidden/>
              </w:rPr>
              <w:fldChar w:fldCharType="end"/>
            </w:r>
          </w:hyperlink>
        </w:p>
        <w:p w14:paraId="2EF5C787" w14:textId="7BBD8773" w:rsidR="001B0BEE" w:rsidRDefault="001B0BEE">
          <w:pPr>
            <w:pStyle w:val="TOC2"/>
            <w:tabs>
              <w:tab w:val="right" w:leader="dot" w:pos="9016"/>
            </w:tabs>
            <w:rPr>
              <w:rFonts w:asciiTheme="minorHAnsi" w:eastAsiaTheme="minorEastAsia" w:hAnsiTheme="minorHAnsi"/>
              <w:sz w:val="24"/>
              <w:szCs w:val="24"/>
              <w:lang w:eastAsia="en-IN"/>
            </w:rPr>
          </w:pPr>
          <w:hyperlink w:anchor="_Toc235611154" w:history="1">
            <w:r w:rsidRPr="00977713">
              <w:rPr>
                <w:rStyle w:val="Hyperlink"/>
              </w:rPr>
              <w:t>1.1 Natural Environment: The Primary External Marketing Environment Actor</w:t>
            </w:r>
            <w:r>
              <w:rPr>
                <w:webHidden/>
              </w:rPr>
              <w:tab/>
            </w:r>
            <w:r>
              <w:rPr>
                <w:webHidden/>
              </w:rPr>
              <w:fldChar w:fldCharType="begin"/>
            </w:r>
            <w:r>
              <w:rPr>
                <w:webHidden/>
              </w:rPr>
              <w:instrText xml:space="preserve"> PAGEREF _Toc235611154 \h </w:instrText>
            </w:r>
            <w:r>
              <w:rPr>
                <w:webHidden/>
              </w:rPr>
            </w:r>
            <w:r>
              <w:rPr>
                <w:webHidden/>
              </w:rPr>
              <w:fldChar w:fldCharType="separate"/>
            </w:r>
            <w:r>
              <w:rPr>
                <w:webHidden/>
              </w:rPr>
              <w:t>1</w:t>
            </w:r>
            <w:r>
              <w:rPr>
                <w:webHidden/>
              </w:rPr>
              <w:fldChar w:fldCharType="end"/>
            </w:r>
          </w:hyperlink>
        </w:p>
        <w:p w14:paraId="25F455EB" w14:textId="3F641D30" w:rsidR="001B0BEE" w:rsidRDefault="001B0BEE">
          <w:pPr>
            <w:pStyle w:val="TOC2"/>
            <w:tabs>
              <w:tab w:val="right" w:leader="dot" w:pos="9016"/>
            </w:tabs>
            <w:rPr>
              <w:rFonts w:asciiTheme="minorHAnsi" w:eastAsiaTheme="minorEastAsia" w:hAnsiTheme="minorHAnsi"/>
              <w:sz w:val="24"/>
              <w:szCs w:val="24"/>
              <w:lang w:eastAsia="en-IN"/>
            </w:rPr>
          </w:pPr>
          <w:hyperlink w:anchor="_Toc235611155" w:history="1">
            <w:r w:rsidRPr="00977713">
              <w:rPr>
                <w:rStyle w:val="Hyperlink"/>
              </w:rPr>
              <w:t>1.2 Political and Legal Environment</w:t>
            </w:r>
            <w:r>
              <w:rPr>
                <w:webHidden/>
              </w:rPr>
              <w:tab/>
            </w:r>
            <w:r>
              <w:rPr>
                <w:webHidden/>
              </w:rPr>
              <w:fldChar w:fldCharType="begin"/>
            </w:r>
            <w:r>
              <w:rPr>
                <w:webHidden/>
              </w:rPr>
              <w:instrText xml:space="preserve"> PAGEREF _Toc235611155 \h </w:instrText>
            </w:r>
            <w:r>
              <w:rPr>
                <w:webHidden/>
              </w:rPr>
            </w:r>
            <w:r>
              <w:rPr>
                <w:webHidden/>
              </w:rPr>
              <w:fldChar w:fldCharType="separate"/>
            </w:r>
            <w:r>
              <w:rPr>
                <w:webHidden/>
              </w:rPr>
              <w:t>2</w:t>
            </w:r>
            <w:r>
              <w:rPr>
                <w:webHidden/>
              </w:rPr>
              <w:fldChar w:fldCharType="end"/>
            </w:r>
          </w:hyperlink>
        </w:p>
        <w:p w14:paraId="2990E3FA" w14:textId="3F3B7FFD" w:rsidR="001B0BEE" w:rsidRDefault="001B0BEE">
          <w:pPr>
            <w:pStyle w:val="TOC1"/>
            <w:tabs>
              <w:tab w:val="right" w:leader="dot" w:pos="9016"/>
            </w:tabs>
            <w:rPr>
              <w:rFonts w:asciiTheme="minorHAnsi" w:eastAsiaTheme="minorEastAsia" w:hAnsiTheme="minorHAnsi"/>
              <w:sz w:val="24"/>
              <w:szCs w:val="24"/>
              <w:lang w:eastAsia="en-IN"/>
            </w:rPr>
          </w:pPr>
          <w:hyperlink w:anchor="_Toc235611156" w:history="1">
            <w:r w:rsidRPr="00977713">
              <w:rPr>
                <w:rStyle w:val="Hyperlink"/>
              </w:rPr>
              <w:t>Task 2: Strategic Growth and Competitive Positioning</w:t>
            </w:r>
            <w:r>
              <w:rPr>
                <w:webHidden/>
              </w:rPr>
              <w:tab/>
            </w:r>
            <w:r>
              <w:rPr>
                <w:webHidden/>
              </w:rPr>
              <w:fldChar w:fldCharType="begin"/>
            </w:r>
            <w:r>
              <w:rPr>
                <w:webHidden/>
              </w:rPr>
              <w:instrText xml:space="preserve"> PAGEREF _Toc235611156 \h </w:instrText>
            </w:r>
            <w:r>
              <w:rPr>
                <w:webHidden/>
              </w:rPr>
            </w:r>
            <w:r>
              <w:rPr>
                <w:webHidden/>
              </w:rPr>
              <w:fldChar w:fldCharType="separate"/>
            </w:r>
            <w:r>
              <w:rPr>
                <w:webHidden/>
              </w:rPr>
              <w:t>3</w:t>
            </w:r>
            <w:r>
              <w:rPr>
                <w:webHidden/>
              </w:rPr>
              <w:fldChar w:fldCharType="end"/>
            </w:r>
          </w:hyperlink>
        </w:p>
        <w:p w14:paraId="3686ABDD" w14:textId="580930CD" w:rsidR="001B0BEE" w:rsidRDefault="001B0BEE">
          <w:pPr>
            <w:pStyle w:val="TOC2"/>
            <w:tabs>
              <w:tab w:val="right" w:leader="dot" w:pos="9016"/>
            </w:tabs>
            <w:rPr>
              <w:rFonts w:asciiTheme="minorHAnsi" w:eastAsiaTheme="minorEastAsia" w:hAnsiTheme="minorHAnsi"/>
              <w:sz w:val="24"/>
              <w:szCs w:val="24"/>
              <w:lang w:eastAsia="en-IN"/>
            </w:rPr>
          </w:pPr>
          <w:hyperlink w:anchor="_Toc235611157" w:history="1">
            <w:r w:rsidRPr="00977713">
              <w:rPr>
                <w:rStyle w:val="Hyperlink"/>
              </w:rPr>
              <w:t>2.1 Strategic Growth through the Ansoff Matrix</w:t>
            </w:r>
            <w:r>
              <w:rPr>
                <w:webHidden/>
              </w:rPr>
              <w:tab/>
            </w:r>
            <w:r>
              <w:rPr>
                <w:webHidden/>
              </w:rPr>
              <w:fldChar w:fldCharType="begin"/>
            </w:r>
            <w:r>
              <w:rPr>
                <w:webHidden/>
              </w:rPr>
              <w:instrText xml:space="preserve"> PAGEREF _Toc235611157 \h </w:instrText>
            </w:r>
            <w:r>
              <w:rPr>
                <w:webHidden/>
              </w:rPr>
            </w:r>
            <w:r>
              <w:rPr>
                <w:webHidden/>
              </w:rPr>
              <w:fldChar w:fldCharType="separate"/>
            </w:r>
            <w:r>
              <w:rPr>
                <w:webHidden/>
              </w:rPr>
              <w:t>3</w:t>
            </w:r>
            <w:r>
              <w:rPr>
                <w:webHidden/>
              </w:rPr>
              <w:fldChar w:fldCharType="end"/>
            </w:r>
          </w:hyperlink>
        </w:p>
        <w:p w14:paraId="677C000B" w14:textId="2BC92B82" w:rsidR="001B0BEE" w:rsidRDefault="001B0BEE">
          <w:pPr>
            <w:pStyle w:val="TOC2"/>
            <w:tabs>
              <w:tab w:val="right" w:leader="dot" w:pos="9016"/>
            </w:tabs>
            <w:rPr>
              <w:rFonts w:asciiTheme="minorHAnsi" w:eastAsiaTheme="minorEastAsia" w:hAnsiTheme="minorHAnsi"/>
              <w:sz w:val="24"/>
              <w:szCs w:val="24"/>
              <w:lang w:eastAsia="en-IN"/>
            </w:rPr>
          </w:pPr>
          <w:hyperlink w:anchor="_Toc235611158" w:history="1">
            <w:r w:rsidRPr="00977713">
              <w:rPr>
                <w:rStyle w:val="Hyperlink"/>
              </w:rPr>
              <w:t>2.2 Achieving Competitive Advantage through Differentiation</w:t>
            </w:r>
            <w:r>
              <w:rPr>
                <w:webHidden/>
              </w:rPr>
              <w:tab/>
            </w:r>
            <w:r>
              <w:rPr>
                <w:webHidden/>
              </w:rPr>
              <w:fldChar w:fldCharType="begin"/>
            </w:r>
            <w:r>
              <w:rPr>
                <w:webHidden/>
              </w:rPr>
              <w:instrText xml:space="preserve"> PAGEREF _Toc235611158 \h </w:instrText>
            </w:r>
            <w:r>
              <w:rPr>
                <w:webHidden/>
              </w:rPr>
            </w:r>
            <w:r>
              <w:rPr>
                <w:webHidden/>
              </w:rPr>
              <w:fldChar w:fldCharType="separate"/>
            </w:r>
            <w:r>
              <w:rPr>
                <w:webHidden/>
              </w:rPr>
              <w:t>4</w:t>
            </w:r>
            <w:r>
              <w:rPr>
                <w:webHidden/>
              </w:rPr>
              <w:fldChar w:fldCharType="end"/>
            </w:r>
          </w:hyperlink>
        </w:p>
        <w:p w14:paraId="1B1AA022" w14:textId="3B7494FD" w:rsidR="001B0BEE" w:rsidRDefault="001B0BEE">
          <w:pPr>
            <w:pStyle w:val="TOC2"/>
            <w:tabs>
              <w:tab w:val="right" w:leader="dot" w:pos="9016"/>
            </w:tabs>
            <w:rPr>
              <w:rFonts w:asciiTheme="minorHAnsi" w:eastAsiaTheme="minorEastAsia" w:hAnsiTheme="minorHAnsi"/>
              <w:sz w:val="24"/>
              <w:szCs w:val="24"/>
              <w:lang w:eastAsia="en-IN"/>
            </w:rPr>
          </w:pPr>
          <w:hyperlink w:anchor="_Toc235611159" w:history="1">
            <w:r w:rsidRPr="00977713">
              <w:rPr>
                <w:rStyle w:val="Hyperlink"/>
              </w:rPr>
              <w:t>2.3 Strategic Recommendations</w:t>
            </w:r>
            <w:r>
              <w:rPr>
                <w:webHidden/>
              </w:rPr>
              <w:tab/>
            </w:r>
            <w:r>
              <w:rPr>
                <w:webHidden/>
              </w:rPr>
              <w:fldChar w:fldCharType="begin"/>
            </w:r>
            <w:r>
              <w:rPr>
                <w:webHidden/>
              </w:rPr>
              <w:instrText xml:space="preserve"> PAGEREF _Toc235611159 \h </w:instrText>
            </w:r>
            <w:r>
              <w:rPr>
                <w:webHidden/>
              </w:rPr>
            </w:r>
            <w:r>
              <w:rPr>
                <w:webHidden/>
              </w:rPr>
              <w:fldChar w:fldCharType="separate"/>
            </w:r>
            <w:r>
              <w:rPr>
                <w:webHidden/>
              </w:rPr>
              <w:t>5</w:t>
            </w:r>
            <w:r>
              <w:rPr>
                <w:webHidden/>
              </w:rPr>
              <w:fldChar w:fldCharType="end"/>
            </w:r>
          </w:hyperlink>
        </w:p>
        <w:p w14:paraId="677DEEAC" w14:textId="30B1E9ED" w:rsidR="001B0BEE" w:rsidRDefault="001B0BEE">
          <w:pPr>
            <w:pStyle w:val="TOC2"/>
            <w:tabs>
              <w:tab w:val="right" w:leader="dot" w:pos="9016"/>
            </w:tabs>
            <w:rPr>
              <w:rFonts w:asciiTheme="minorHAnsi" w:eastAsiaTheme="minorEastAsia" w:hAnsiTheme="minorHAnsi"/>
              <w:sz w:val="24"/>
              <w:szCs w:val="24"/>
              <w:lang w:eastAsia="en-IN"/>
            </w:rPr>
          </w:pPr>
          <w:hyperlink w:anchor="_Toc235611160" w:history="1">
            <w:r w:rsidRPr="00977713">
              <w:rPr>
                <w:rStyle w:val="Hyperlink"/>
              </w:rPr>
              <w:t>2.4 Critical Evaluation</w:t>
            </w:r>
            <w:r>
              <w:rPr>
                <w:webHidden/>
              </w:rPr>
              <w:tab/>
            </w:r>
            <w:r>
              <w:rPr>
                <w:webHidden/>
              </w:rPr>
              <w:fldChar w:fldCharType="begin"/>
            </w:r>
            <w:r>
              <w:rPr>
                <w:webHidden/>
              </w:rPr>
              <w:instrText xml:space="preserve"> PAGEREF _Toc235611160 \h </w:instrText>
            </w:r>
            <w:r>
              <w:rPr>
                <w:webHidden/>
              </w:rPr>
            </w:r>
            <w:r>
              <w:rPr>
                <w:webHidden/>
              </w:rPr>
              <w:fldChar w:fldCharType="separate"/>
            </w:r>
            <w:r>
              <w:rPr>
                <w:webHidden/>
              </w:rPr>
              <w:t>6</w:t>
            </w:r>
            <w:r>
              <w:rPr>
                <w:webHidden/>
              </w:rPr>
              <w:fldChar w:fldCharType="end"/>
            </w:r>
          </w:hyperlink>
        </w:p>
        <w:p w14:paraId="653A30C5" w14:textId="10C7CD99" w:rsidR="001B0BEE" w:rsidRDefault="001B0BEE">
          <w:pPr>
            <w:pStyle w:val="TOC1"/>
            <w:tabs>
              <w:tab w:val="right" w:leader="dot" w:pos="9016"/>
            </w:tabs>
            <w:rPr>
              <w:rFonts w:asciiTheme="minorHAnsi" w:eastAsiaTheme="minorEastAsia" w:hAnsiTheme="minorHAnsi"/>
              <w:sz w:val="24"/>
              <w:szCs w:val="24"/>
              <w:lang w:eastAsia="en-IN"/>
            </w:rPr>
          </w:pPr>
          <w:hyperlink w:anchor="_Toc235611161" w:history="1">
            <w:r w:rsidRPr="00977713">
              <w:rPr>
                <w:rStyle w:val="Hyperlink"/>
              </w:rPr>
              <w:t>Conclusion</w:t>
            </w:r>
            <w:r>
              <w:rPr>
                <w:webHidden/>
              </w:rPr>
              <w:tab/>
            </w:r>
            <w:r>
              <w:rPr>
                <w:webHidden/>
              </w:rPr>
              <w:fldChar w:fldCharType="begin"/>
            </w:r>
            <w:r>
              <w:rPr>
                <w:webHidden/>
              </w:rPr>
              <w:instrText xml:space="preserve"> PAGEREF _Toc235611161 \h </w:instrText>
            </w:r>
            <w:r>
              <w:rPr>
                <w:webHidden/>
              </w:rPr>
            </w:r>
            <w:r>
              <w:rPr>
                <w:webHidden/>
              </w:rPr>
              <w:fldChar w:fldCharType="separate"/>
            </w:r>
            <w:r>
              <w:rPr>
                <w:webHidden/>
              </w:rPr>
              <w:t>6</w:t>
            </w:r>
            <w:r>
              <w:rPr>
                <w:webHidden/>
              </w:rPr>
              <w:fldChar w:fldCharType="end"/>
            </w:r>
          </w:hyperlink>
        </w:p>
        <w:p w14:paraId="046DF22D" w14:textId="6184759D" w:rsidR="001B0BEE" w:rsidRDefault="001B0BEE">
          <w:pPr>
            <w:pStyle w:val="TOC1"/>
            <w:tabs>
              <w:tab w:val="right" w:leader="dot" w:pos="9016"/>
            </w:tabs>
            <w:rPr>
              <w:rFonts w:asciiTheme="minorHAnsi" w:eastAsiaTheme="minorEastAsia" w:hAnsiTheme="minorHAnsi"/>
              <w:sz w:val="24"/>
              <w:szCs w:val="24"/>
              <w:lang w:eastAsia="en-IN"/>
            </w:rPr>
          </w:pPr>
          <w:hyperlink w:anchor="_Toc235611162" w:history="1">
            <w:r w:rsidRPr="00977713">
              <w:rPr>
                <w:rStyle w:val="Hyperlink"/>
              </w:rPr>
              <w:t>Task 3: Critical Reflection on AI Usage</w:t>
            </w:r>
            <w:r>
              <w:rPr>
                <w:webHidden/>
              </w:rPr>
              <w:tab/>
            </w:r>
            <w:r>
              <w:rPr>
                <w:webHidden/>
              </w:rPr>
              <w:fldChar w:fldCharType="begin"/>
            </w:r>
            <w:r>
              <w:rPr>
                <w:webHidden/>
              </w:rPr>
              <w:instrText xml:space="preserve"> PAGEREF _Toc235611162 \h </w:instrText>
            </w:r>
            <w:r>
              <w:rPr>
                <w:webHidden/>
              </w:rPr>
            </w:r>
            <w:r>
              <w:rPr>
                <w:webHidden/>
              </w:rPr>
              <w:fldChar w:fldCharType="separate"/>
            </w:r>
            <w:r>
              <w:rPr>
                <w:webHidden/>
              </w:rPr>
              <w:t>6</w:t>
            </w:r>
            <w:r>
              <w:rPr>
                <w:webHidden/>
              </w:rPr>
              <w:fldChar w:fldCharType="end"/>
            </w:r>
          </w:hyperlink>
        </w:p>
        <w:p w14:paraId="08F05E73" w14:textId="0608A8E7" w:rsidR="001B0BEE" w:rsidRDefault="001B0BEE">
          <w:pPr>
            <w:pStyle w:val="TOC1"/>
            <w:tabs>
              <w:tab w:val="right" w:leader="dot" w:pos="9016"/>
            </w:tabs>
            <w:rPr>
              <w:rFonts w:asciiTheme="minorHAnsi" w:eastAsiaTheme="minorEastAsia" w:hAnsiTheme="minorHAnsi"/>
              <w:sz w:val="24"/>
              <w:szCs w:val="24"/>
              <w:lang w:eastAsia="en-IN"/>
            </w:rPr>
          </w:pPr>
          <w:hyperlink w:anchor="_Toc235611163" w:history="1">
            <w:r w:rsidRPr="00977713">
              <w:rPr>
                <w:rStyle w:val="Hyperlink"/>
              </w:rPr>
              <w:t>References</w:t>
            </w:r>
            <w:r>
              <w:rPr>
                <w:webHidden/>
              </w:rPr>
              <w:tab/>
            </w:r>
            <w:r>
              <w:rPr>
                <w:webHidden/>
              </w:rPr>
              <w:fldChar w:fldCharType="begin"/>
            </w:r>
            <w:r>
              <w:rPr>
                <w:webHidden/>
              </w:rPr>
              <w:instrText xml:space="preserve"> PAGEREF _Toc235611163 \h </w:instrText>
            </w:r>
            <w:r>
              <w:rPr>
                <w:webHidden/>
              </w:rPr>
            </w:r>
            <w:r>
              <w:rPr>
                <w:webHidden/>
              </w:rPr>
              <w:fldChar w:fldCharType="separate"/>
            </w:r>
            <w:r>
              <w:rPr>
                <w:webHidden/>
              </w:rPr>
              <w:t>7</w:t>
            </w:r>
            <w:r>
              <w:rPr>
                <w:webHidden/>
              </w:rPr>
              <w:fldChar w:fldCharType="end"/>
            </w:r>
          </w:hyperlink>
        </w:p>
        <w:p w14:paraId="7975F097" w14:textId="08641ACD" w:rsidR="008C06EF" w:rsidRDefault="008C06EF">
          <w:r>
            <w:rPr>
              <w:b/>
              <w:bCs/>
            </w:rPr>
            <w:fldChar w:fldCharType="end"/>
          </w:r>
        </w:p>
      </w:sdtContent>
    </w:sdt>
    <w:p w14:paraId="095252A3" w14:textId="77777777" w:rsidR="008C06EF" w:rsidRDefault="008C06EF" w:rsidP="008C06EF"/>
    <w:p w14:paraId="05323717" w14:textId="77777777" w:rsidR="008C06EF" w:rsidRDefault="008C06EF" w:rsidP="008C06EF"/>
    <w:p w14:paraId="04628AA2" w14:textId="77777777" w:rsidR="008C06EF" w:rsidRDefault="008C06EF" w:rsidP="008C06EF"/>
    <w:p w14:paraId="24741829" w14:textId="77777777" w:rsidR="008C06EF" w:rsidRDefault="008C06EF" w:rsidP="008C06EF">
      <w:pPr>
        <w:pStyle w:val="Heading1"/>
        <w:sectPr w:rsidR="008C06EF">
          <w:footerReference w:type="default" r:id="rId9"/>
          <w:pgSz w:w="11906" w:h="16838"/>
          <w:pgMar w:top="1440" w:right="1440" w:bottom="1440" w:left="1440" w:header="708" w:footer="708" w:gutter="0"/>
          <w:cols w:space="708"/>
          <w:docGrid w:linePitch="360"/>
        </w:sectPr>
      </w:pPr>
    </w:p>
    <w:p w14:paraId="6EB4B728" w14:textId="10A287A7" w:rsidR="008C06EF" w:rsidRPr="008C06EF" w:rsidRDefault="008C06EF" w:rsidP="008C06EF">
      <w:pPr>
        <w:pStyle w:val="Heading1"/>
      </w:pPr>
      <w:bookmarkStart w:id="0" w:name="_Toc235611152"/>
      <w:r w:rsidRPr="008C06EF">
        <w:lastRenderedPageBreak/>
        <w:t>Introductio</w:t>
      </w:r>
      <w:r>
        <w:t>n</w:t>
      </w:r>
      <w:bookmarkEnd w:id="0"/>
    </w:p>
    <w:p w14:paraId="05915371" w14:textId="6148B792" w:rsidR="008C06EF" w:rsidRDefault="008C06EF" w:rsidP="008C06EF">
      <w:r>
        <w:t xml:space="preserve">The global metals and mining industry supports the economy by providing key raw materials for infrastructure, manufacturing, renewables and electric vehicles. It is also a sector that accounts for around one-quarter of the emissions of the global giants and is under increasing pressure from governments, investors and customers who care about environmental issues (Kotler et al., 2024). In today's world of climate change, sustainability has gone from being a regulatory requirement to a strategic marketing tool for building brand reputation and trust with stakeholders and future competitiveness. </w:t>
      </w:r>
    </w:p>
    <w:p w14:paraId="333AC93A" w14:textId="3C637ED4" w:rsidR="008C06EF" w:rsidRDefault="008C06EF" w:rsidP="008C06EF">
      <w:r>
        <w:t>This report critically reviews the external marketing environment that affects BHP's efforts to shift to lower carbon products, focusing on environmental and political-legal aspects. From this analysis, the report suggests a suitable growth strategy based on the Ansoff Matrix and assesses the viability of enhancing BHP's competitive edge and enabling sustainable business transition.</w:t>
      </w:r>
    </w:p>
    <w:p w14:paraId="7146923B" w14:textId="77777777" w:rsidR="008C06EF" w:rsidRDefault="008C06EF" w:rsidP="008C06EF"/>
    <w:p w14:paraId="3B64CB4F" w14:textId="77777777" w:rsidR="008C06EF" w:rsidRDefault="008C06EF" w:rsidP="008C06EF">
      <w:pPr>
        <w:pStyle w:val="Heading1"/>
      </w:pPr>
      <w:bookmarkStart w:id="1" w:name="_Toc235611153"/>
      <w:r>
        <w:t>Task 1: Marketing Environment Analysis</w:t>
      </w:r>
      <w:bookmarkEnd w:id="1"/>
    </w:p>
    <w:p w14:paraId="24D86281" w14:textId="77777777" w:rsidR="008C06EF" w:rsidRDefault="008C06EF" w:rsidP="008C06EF">
      <w:pPr>
        <w:pStyle w:val="Heading2"/>
      </w:pPr>
      <w:bookmarkStart w:id="2" w:name="_Toc235611154"/>
      <w:r>
        <w:t>1.1 Natural Environment: The Primary External Marketing Environment Actor</w:t>
      </w:r>
      <w:bookmarkEnd w:id="2"/>
    </w:p>
    <w:p w14:paraId="1C47A94F" w14:textId="77777777" w:rsidR="008C06EF" w:rsidRDefault="008C06EF" w:rsidP="008C06EF">
      <w:r>
        <w:t>One of the most important external factors affecting marketing strategies in the mining industry today is the natural environment. Environmental sustainability has been shifted from a compliance issue to a competitive advantage and a source from which stakeholders are looking for value in the context of climate change and the transition towards a low-carbon economy (Kotler et al., 2024). BHP is one of the world's largest diversified mining companies with high greenhouse gas (GHG) emissions and as such, environmental performance is becoming more relevant for BHP's customers, investors and governments. BHP's marketing efforts are not just about efficiency but also about positioning itself as a leader in sustainability to enhance its brand and future competitiveness.</w:t>
      </w:r>
    </w:p>
    <w:p w14:paraId="04370941" w14:textId="77777777" w:rsidR="008C06EF" w:rsidRDefault="008C06EF" w:rsidP="008C06EF">
      <w:r>
        <w:t>Climate change has significantly altered demand within BHP's key markets. The growing trends of renewable energy, EVs and low-carbon construction have contributed to rising copper and nickel demand and lower carbon-intensive production processes (International Energy Agency (IEA), 2024). BHP has responded by agreeing to become net zero operational emissions by 2050 and get operational emissions down by at least 30% from their base year of FY2020. These pledges bolster customer and investor relationships with environmental values, and reinforce the company's sustainability positioning.</w:t>
      </w:r>
    </w:p>
    <w:p w14:paraId="4E6AB603" w14:textId="77777777" w:rsidR="008C06EF" w:rsidRDefault="008C06EF" w:rsidP="008C06EF">
      <w:r>
        <w:t>Business-to-business purchases are also being driven by the increasing pressure to lower Scope 3 emissions. Steel producers, auto makers and renewable energy producers are increasingly looking for suppliers that can offer them lower-carbon raw materials. BHP has therefore invested in renewable electricity, operational electrification and partnerships focused on low carbon steelmaking technologies to help the company stand out on sustainability and deliver further customer value (BHP, 2025).</w:t>
      </w:r>
    </w:p>
    <w:p w14:paraId="6ED58227" w14:textId="77777777" w:rsidR="008C06EF" w:rsidRDefault="008C06EF" w:rsidP="008C06EF">
      <w:r>
        <w:t xml:space="preserve">BHP's competitive position is further enhanced by renewable powered mining and circular economy practices. Through renewable energy, operational emissions are lower and energy costs are lower over time; through circular economy, resource efficiency is enhanced, waste is reduced and environmental performance is strengthened (United Nations Environment </w:t>
      </w:r>
      <w:r>
        <w:lastRenderedPageBreak/>
        <w:t>Programme, 2024). They are in line with the increasing Environmental, Social and Governance (ESG) expectations that drive ESG-influenced procurement decisions, investment flows and corporate reputation. Hence, ESG performance has shifted from a reporting obligation to a significant marketing tool that boosts stakeholder trust.</w:t>
      </w:r>
    </w:p>
    <w:p w14:paraId="0FEF160C" w14:textId="77777777" w:rsidR="008C06EF" w:rsidRDefault="008C06EF" w:rsidP="008C06EF">
      <w:r>
        <w:t>Another key environmental dimension that has emerged as a factor in BHP's strategy is carbon pricing. Carbon taxes and emissions trading schemes raise the cost of using carbon intensive processes while providing an incentive for investment in cleaner technologies. BHP is increasingly seeing carbon reduction as a premium product that can help customers' decarbonisation plans, rather than just a burden (World Bank, 2024). This shows that there are opportunities for product differentiation and market value creation in response to environmental pressures.</w:t>
      </w:r>
    </w:p>
    <w:p w14:paraId="349BE6EC" w14:textId="78C1A553" w:rsidR="008C06EF" w:rsidRPr="008C06EF" w:rsidRDefault="008C06EF" w:rsidP="008C06EF">
      <w:r>
        <w:t>With all these prospects, however, there are still challenges to overcome. The shift to lower-carbon mining will take significant investment in renewable energy, electrification, and new technologies, which will limit the near-term profit potential. Furthermore, some technologies like hydrogen powered mining equipment and large scale carbon capture are still not commercially viable. Therefore BHP needs to weigh up its sustainability targets with its business viability and shareholder expectations.</w:t>
      </w:r>
    </w:p>
    <w:p w14:paraId="5BF6ACD8" w14:textId="77777777" w:rsidR="008C06EF" w:rsidRPr="008C06EF" w:rsidRDefault="008C06EF" w:rsidP="008C06EF">
      <w:pPr>
        <w:rPr>
          <w:b/>
          <w:bCs/>
        </w:rPr>
      </w:pPr>
      <w:r w:rsidRPr="008C06EF">
        <w:rPr>
          <w:b/>
          <w:bCs/>
        </w:rPr>
        <w:t>Table 1. External Natural Environment Factors Influencing BHP</w:t>
      </w:r>
    </w:p>
    <w:tbl>
      <w:tblPr>
        <w:tblStyle w:val="TableGrid"/>
        <w:tblW w:w="0" w:type="auto"/>
        <w:tblLook w:val="04A0" w:firstRow="1" w:lastRow="0" w:firstColumn="1" w:lastColumn="0" w:noHBand="0" w:noVBand="1"/>
      </w:tblPr>
      <w:tblGrid>
        <w:gridCol w:w="1945"/>
        <w:gridCol w:w="3398"/>
        <w:gridCol w:w="3673"/>
      </w:tblGrid>
      <w:tr w:rsidR="00612162" w:rsidRPr="00612162" w14:paraId="746180A5" w14:textId="77777777" w:rsidTr="00612162">
        <w:tc>
          <w:tcPr>
            <w:tcW w:w="0" w:type="auto"/>
            <w:hideMark/>
          </w:tcPr>
          <w:p w14:paraId="7091E176" w14:textId="77777777" w:rsidR="00612162" w:rsidRPr="00612162" w:rsidRDefault="00612162" w:rsidP="00612162">
            <w:pPr>
              <w:spacing w:after="160" w:line="259" w:lineRule="auto"/>
              <w:rPr>
                <w:b/>
                <w:bCs/>
              </w:rPr>
            </w:pPr>
            <w:r w:rsidRPr="00612162">
              <w:rPr>
                <w:b/>
                <w:bCs/>
              </w:rPr>
              <w:t>Environmental Factor</w:t>
            </w:r>
          </w:p>
        </w:tc>
        <w:tc>
          <w:tcPr>
            <w:tcW w:w="0" w:type="auto"/>
            <w:hideMark/>
          </w:tcPr>
          <w:p w14:paraId="2783590A" w14:textId="77777777" w:rsidR="00612162" w:rsidRPr="00612162" w:rsidRDefault="00612162" w:rsidP="00612162">
            <w:pPr>
              <w:spacing w:after="160" w:line="259" w:lineRule="auto"/>
              <w:rPr>
                <w:b/>
                <w:bCs/>
              </w:rPr>
            </w:pPr>
            <w:r w:rsidRPr="00612162">
              <w:rPr>
                <w:b/>
                <w:bCs/>
              </w:rPr>
              <w:t>Impact on BHP</w:t>
            </w:r>
          </w:p>
        </w:tc>
        <w:tc>
          <w:tcPr>
            <w:tcW w:w="0" w:type="auto"/>
            <w:hideMark/>
          </w:tcPr>
          <w:p w14:paraId="74FBA122" w14:textId="77777777" w:rsidR="00612162" w:rsidRPr="00612162" w:rsidRDefault="00612162" w:rsidP="00612162">
            <w:pPr>
              <w:spacing w:after="160" w:line="259" w:lineRule="auto"/>
              <w:rPr>
                <w:b/>
                <w:bCs/>
              </w:rPr>
            </w:pPr>
            <w:r w:rsidRPr="00612162">
              <w:rPr>
                <w:b/>
                <w:bCs/>
              </w:rPr>
              <w:t>Marketing Implication</w:t>
            </w:r>
          </w:p>
        </w:tc>
      </w:tr>
      <w:tr w:rsidR="00612162" w:rsidRPr="00612162" w14:paraId="64E73BB7" w14:textId="77777777" w:rsidTr="00612162">
        <w:tc>
          <w:tcPr>
            <w:tcW w:w="0" w:type="auto"/>
            <w:hideMark/>
          </w:tcPr>
          <w:p w14:paraId="5B913E57" w14:textId="77777777" w:rsidR="00612162" w:rsidRPr="00612162" w:rsidRDefault="00612162" w:rsidP="00612162">
            <w:pPr>
              <w:spacing w:after="160" w:line="259" w:lineRule="auto"/>
            </w:pPr>
            <w:r w:rsidRPr="00612162">
              <w:t>Climate Change</w:t>
            </w:r>
          </w:p>
        </w:tc>
        <w:tc>
          <w:tcPr>
            <w:tcW w:w="0" w:type="auto"/>
            <w:hideMark/>
          </w:tcPr>
          <w:p w14:paraId="6E1167F2" w14:textId="77777777" w:rsidR="00612162" w:rsidRPr="00612162" w:rsidRDefault="00612162" w:rsidP="00612162">
            <w:pPr>
              <w:spacing w:after="160" w:line="259" w:lineRule="auto"/>
            </w:pPr>
            <w:r w:rsidRPr="00612162">
              <w:t>Increases demand for lower-carbon minerals such as copper and nickel.</w:t>
            </w:r>
          </w:p>
        </w:tc>
        <w:tc>
          <w:tcPr>
            <w:tcW w:w="0" w:type="auto"/>
            <w:hideMark/>
          </w:tcPr>
          <w:p w14:paraId="2CCD8EAD" w14:textId="77777777" w:rsidR="00612162" w:rsidRPr="00612162" w:rsidRDefault="00612162" w:rsidP="00612162">
            <w:pPr>
              <w:spacing w:after="160" w:line="259" w:lineRule="auto"/>
            </w:pPr>
            <w:r w:rsidRPr="00612162">
              <w:t>BHP can promote sustainable mining products to environmentally conscious customers.</w:t>
            </w:r>
          </w:p>
        </w:tc>
      </w:tr>
      <w:tr w:rsidR="00612162" w:rsidRPr="00612162" w14:paraId="210FA008" w14:textId="77777777" w:rsidTr="00612162">
        <w:tc>
          <w:tcPr>
            <w:tcW w:w="0" w:type="auto"/>
            <w:hideMark/>
          </w:tcPr>
          <w:p w14:paraId="15EAD684" w14:textId="77777777" w:rsidR="00612162" w:rsidRPr="00612162" w:rsidRDefault="00612162" w:rsidP="00612162">
            <w:pPr>
              <w:spacing w:after="160" w:line="259" w:lineRule="auto"/>
            </w:pPr>
            <w:r w:rsidRPr="00612162">
              <w:t>Renewable Energy</w:t>
            </w:r>
          </w:p>
        </w:tc>
        <w:tc>
          <w:tcPr>
            <w:tcW w:w="0" w:type="auto"/>
            <w:hideMark/>
          </w:tcPr>
          <w:p w14:paraId="6D34432B" w14:textId="77777777" w:rsidR="00612162" w:rsidRPr="00612162" w:rsidRDefault="00612162" w:rsidP="00612162">
            <w:pPr>
              <w:spacing w:after="160" w:line="259" w:lineRule="auto"/>
            </w:pPr>
            <w:r w:rsidRPr="00612162">
              <w:t>Encourages investment in cleaner mining operations and renewable electricity.</w:t>
            </w:r>
          </w:p>
        </w:tc>
        <w:tc>
          <w:tcPr>
            <w:tcW w:w="0" w:type="auto"/>
            <w:hideMark/>
          </w:tcPr>
          <w:p w14:paraId="0901B1D3" w14:textId="77777777" w:rsidR="00612162" w:rsidRPr="00612162" w:rsidRDefault="00612162" w:rsidP="00612162">
            <w:pPr>
              <w:spacing w:after="160" w:line="259" w:lineRule="auto"/>
            </w:pPr>
            <w:r w:rsidRPr="00612162">
              <w:t>Improves the company's environmental image and supports sustainability marketing.</w:t>
            </w:r>
          </w:p>
        </w:tc>
      </w:tr>
      <w:tr w:rsidR="00612162" w:rsidRPr="00612162" w14:paraId="434877F0" w14:textId="77777777" w:rsidTr="00612162">
        <w:tc>
          <w:tcPr>
            <w:tcW w:w="0" w:type="auto"/>
            <w:hideMark/>
          </w:tcPr>
          <w:p w14:paraId="6F7B051B" w14:textId="77777777" w:rsidR="00612162" w:rsidRPr="00612162" w:rsidRDefault="00612162" w:rsidP="00612162">
            <w:pPr>
              <w:spacing w:after="160" w:line="259" w:lineRule="auto"/>
            </w:pPr>
            <w:r w:rsidRPr="00612162">
              <w:t>ESG Expectations</w:t>
            </w:r>
          </w:p>
        </w:tc>
        <w:tc>
          <w:tcPr>
            <w:tcW w:w="0" w:type="auto"/>
            <w:hideMark/>
          </w:tcPr>
          <w:p w14:paraId="5D7FD178" w14:textId="77777777" w:rsidR="00612162" w:rsidRPr="00612162" w:rsidRDefault="00612162" w:rsidP="00612162">
            <w:pPr>
              <w:spacing w:after="160" w:line="259" w:lineRule="auto"/>
            </w:pPr>
            <w:r w:rsidRPr="00612162">
              <w:t>Investors and customers increasingly expect responsible environmental practices.</w:t>
            </w:r>
          </w:p>
        </w:tc>
        <w:tc>
          <w:tcPr>
            <w:tcW w:w="0" w:type="auto"/>
            <w:hideMark/>
          </w:tcPr>
          <w:p w14:paraId="0B93E1C2" w14:textId="77777777" w:rsidR="00612162" w:rsidRPr="00612162" w:rsidRDefault="00612162" w:rsidP="00612162">
            <w:pPr>
              <w:spacing w:after="160" w:line="259" w:lineRule="auto"/>
            </w:pPr>
            <w:r w:rsidRPr="00612162">
              <w:t>Strong ESG performance can improve reputation and customer trust.</w:t>
            </w:r>
          </w:p>
        </w:tc>
      </w:tr>
      <w:tr w:rsidR="00612162" w:rsidRPr="00612162" w14:paraId="255BB8A9" w14:textId="77777777" w:rsidTr="00612162">
        <w:tc>
          <w:tcPr>
            <w:tcW w:w="0" w:type="auto"/>
            <w:hideMark/>
          </w:tcPr>
          <w:p w14:paraId="4E2E0F53" w14:textId="77777777" w:rsidR="00612162" w:rsidRPr="00612162" w:rsidRDefault="00612162" w:rsidP="00612162">
            <w:pPr>
              <w:spacing w:after="160" w:line="259" w:lineRule="auto"/>
            </w:pPr>
            <w:r w:rsidRPr="00612162">
              <w:t>Carbon Pricing</w:t>
            </w:r>
          </w:p>
        </w:tc>
        <w:tc>
          <w:tcPr>
            <w:tcW w:w="0" w:type="auto"/>
            <w:hideMark/>
          </w:tcPr>
          <w:p w14:paraId="580EB486" w14:textId="77777777" w:rsidR="00612162" w:rsidRPr="00612162" w:rsidRDefault="00612162" w:rsidP="00612162">
            <w:pPr>
              <w:spacing w:after="160" w:line="259" w:lineRule="auto"/>
            </w:pPr>
            <w:r w:rsidRPr="00612162">
              <w:t>Raises costs for carbon-intensive production methods.</w:t>
            </w:r>
          </w:p>
        </w:tc>
        <w:tc>
          <w:tcPr>
            <w:tcW w:w="0" w:type="auto"/>
            <w:hideMark/>
          </w:tcPr>
          <w:p w14:paraId="47305C8F" w14:textId="77777777" w:rsidR="00612162" w:rsidRPr="00612162" w:rsidRDefault="00612162" w:rsidP="00612162">
            <w:pPr>
              <w:spacing w:after="160" w:line="259" w:lineRule="auto"/>
            </w:pPr>
            <w:r w:rsidRPr="00612162">
              <w:t>Encourages BHP to reduce emissions and promote lower-carbon products.</w:t>
            </w:r>
          </w:p>
        </w:tc>
      </w:tr>
    </w:tbl>
    <w:p w14:paraId="3BF1FA09" w14:textId="37F055BE" w:rsidR="008C06EF" w:rsidRPr="008C06EF" w:rsidRDefault="008C06EF" w:rsidP="008C06EF">
      <w:r w:rsidRPr="008C06EF">
        <w:rPr>
          <w:b/>
          <w:bCs/>
        </w:rPr>
        <w:t>Source:</w:t>
      </w:r>
      <w:r w:rsidRPr="008C06EF">
        <w:t xml:space="preserve"> Developed by the author using Kotler et al. (2024), BHP (2025), IEA (2024) and World Bank (2024).</w:t>
      </w:r>
    </w:p>
    <w:p w14:paraId="4D11FCCB" w14:textId="453CC3D3" w:rsidR="008C06EF" w:rsidRPr="008C06EF" w:rsidRDefault="008C06EF" w:rsidP="008C06EF"/>
    <w:p w14:paraId="461BC333" w14:textId="77777777" w:rsidR="008C06EF" w:rsidRPr="008C06EF" w:rsidRDefault="008C06EF" w:rsidP="008C06EF">
      <w:pPr>
        <w:pStyle w:val="Heading2"/>
      </w:pPr>
      <w:bookmarkStart w:id="3" w:name="_Toc235611155"/>
      <w:r w:rsidRPr="008C06EF">
        <w:t>1.2 Political and Legal Environment</w:t>
      </w:r>
      <w:bookmarkEnd w:id="3"/>
    </w:p>
    <w:p w14:paraId="06BC6341" w14:textId="77777777" w:rsidR="008C06EF" w:rsidRDefault="008C06EF" w:rsidP="008C06EF">
      <w:r>
        <w:t>Political and legal influences impact BHP's marketing environment by affecting production standards, investment priorities and customer expectations. The Paris Agreement has boosted global support for decarbonisation, regulatory pressure on mining companies for GHG reductions and a strong performance on sustainability (UNFCCC, 2015). For many, environmental compliance is thus not just a legal requirement, but also an important part of their competitive positioning.</w:t>
      </w:r>
    </w:p>
    <w:p w14:paraId="0438568F" w14:textId="159D1C63" w:rsidR="008C06EF" w:rsidRDefault="008C06EF" w:rsidP="008C06EF">
      <w:r>
        <w:lastRenderedPageBreak/>
        <w:t xml:space="preserve">Australia's climate policies promote decarbonization of industry with emissions reduction targets and climate investment programs. Meanwhile, </w:t>
      </w:r>
      <w:r w:rsidR="00612162" w:rsidRPr="00612162">
        <w:t>Carbon pricing encourages companies to reduce emissions and invest in cleaner technology</w:t>
      </w:r>
      <w:r>
        <w:t xml:space="preserve"> (Australian Government, 2024). The developments directly affect BHP's marketing strategy in driving responsible mining demand from environmentally conscious customers and investors.</w:t>
      </w:r>
    </w:p>
    <w:p w14:paraId="005D6A4B" w14:textId="77777777" w:rsidR="008C06EF" w:rsidRDefault="008C06EF" w:rsidP="008C06EF">
      <w:r>
        <w:t>Likewise, the European Union's Carbon Border Adjustment Mechanism (CBAM) encourages carbon emission reductions in value chains by international suppliers. CBAM will mainly affect industries located downstream, including steel production, but will also have a downstream effect on mining companies, as customers are becoming more demanding for suppliers that can prove lower carbon production. BHP's sustainable mining investment efforts are therefore both compliant and competitive in the international marketplace.</w:t>
      </w:r>
    </w:p>
    <w:p w14:paraId="237C3D50" w14:textId="1AC37785" w:rsidR="008C06EF" w:rsidRPr="008C06EF" w:rsidRDefault="008C06EF" w:rsidP="008C06EF">
      <w:r>
        <w:t>However, the regulatory climate is still unclear. Inconsistencies in climate policies, carbon pricing systems and reporting requirements create complexity and risk for compliance for multinational organisations. As a result, environmental regulation can stimulate innovation and marketing based on sustainability, but at the same time it poses operation challenges that call for constant strategic adjustments.</w:t>
      </w:r>
    </w:p>
    <w:p w14:paraId="3447986F" w14:textId="481B7135" w:rsidR="008C06EF" w:rsidRDefault="008C06EF" w:rsidP="008C06EF">
      <w:r>
        <w:t xml:space="preserve">Regulatory pressure and evolving market expectations collectively illustrate BHP's journey towards lower-carbon products. </w:t>
      </w:r>
      <w:r w:rsidR="00612162" w:rsidRPr="00612162">
        <w:t>Political and legal factors encourage BHP to improve sustainability.</w:t>
      </w:r>
    </w:p>
    <w:p w14:paraId="6F7BD8DC" w14:textId="77777777" w:rsidR="008C06EF" w:rsidRDefault="008C06EF" w:rsidP="008C06EF">
      <w:pPr>
        <w:keepNext/>
        <w:jc w:val="center"/>
      </w:pPr>
      <w:r>
        <w:drawing>
          <wp:inline distT="0" distB="0" distL="0" distR="0" wp14:anchorId="3C9E1DC0" wp14:editId="65F3CEFD">
            <wp:extent cx="3947160" cy="2261768"/>
            <wp:effectExtent l="0" t="0" r="0" b="5715"/>
            <wp:docPr id="229096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96824" name="Picture 229096824"/>
                    <pic:cNvPicPr/>
                  </pic:nvPicPr>
                  <pic:blipFill rotWithShape="1">
                    <a:blip r:embed="rId10" cstate="print">
                      <a:extLst>
                        <a:ext uri="{28A0092B-C50C-407E-A947-70E740481C1C}">
                          <a14:useLocalDpi xmlns:a14="http://schemas.microsoft.com/office/drawing/2010/main" val="0"/>
                        </a:ext>
                      </a:extLst>
                    </a:blip>
                    <a:srcRect t="8975" b="5069"/>
                    <a:stretch>
                      <a:fillRect/>
                    </a:stretch>
                  </pic:blipFill>
                  <pic:spPr bwMode="auto">
                    <a:xfrm>
                      <a:off x="0" y="0"/>
                      <a:ext cx="3958120" cy="2268048"/>
                    </a:xfrm>
                    <a:prstGeom prst="rect">
                      <a:avLst/>
                    </a:prstGeom>
                    <a:ln>
                      <a:noFill/>
                    </a:ln>
                    <a:extLst>
                      <a:ext uri="{53640926-AAD7-44D8-BBD7-CCE9431645EC}">
                        <a14:shadowObscured xmlns:a14="http://schemas.microsoft.com/office/drawing/2010/main"/>
                      </a:ext>
                    </a:extLst>
                  </pic:spPr>
                </pic:pic>
              </a:graphicData>
            </a:graphic>
          </wp:inline>
        </w:drawing>
      </w:r>
    </w:p>
    <w:p w14:paraId="73A72A1C" w14:textId="1E3F51C3" w:rsidR="008C06EF" w:rsidRDefault="008C06EF" w:rsidP="008C06EF">
      <w:pPr>
        <w:pStyle w:val="Caption"/>
        <w:jc w:val="center"/>
      </w:pPr>
      <w:r>
        <w:t xml:space="preserve">Figure </w:t>
      </w:r>
      <w:r>
        <w:fldChar w:fldCharType="begin"/>
      </w:r>
      <w:r>
        <w:instrText xml:space="preserve"> SEQ Figure \* ARABIC </w:instrText>
      </w:r>
      <w:r>
        <w:fldChar w:fldCharType="separate"/>
      </w:r>
      <w:r>
        <w:t>1</w:t>
      </w:r>
      <w:r>
        <w:fldChar w:fldCharType="end"/>
      </w:r>
      <w:r>
        <w:t xml:space="preserve">: </w:t>
      </w:r>
      <w:r w:rsidRPr="00A34F30">
        <w:t>External Marketing Environment Influencing BHP's Lower-Carbon Transition</w:t>
      </w:r>
    </w:p>
    <w:p w14:paraId="39AFA208" w14:textId="77777777" w:rsidR="008C06EF" w:rsidRDefault="008C06EF" w:rsidP="008C06EF"/>
    <w:p w14:paraId="21E7E03B" w14:textId="77777777" w:rsidR="008C06EF" w:rsidRDefault="008C06EF" w:rsidP="008C06EF">
      <w:pPr>
        <w:pStyle w:val="Heading1"/>
      </w:pPr>
      <w:bookmarkStart w:id="4" w:name="_Toc235611156"/>
      <w:r>
        <w:t>Task 2: Strategic Growth and Competitive Positioning</w:t>
      </w:r>
      <w:bookmarkEnd w:id="4"/>
    </w:p>
    <w:p w14:paraId="5791EA4F" w14:textId="77777777" w:rsidR="008C06EF" w:rsidRDefault="008C06EF" w:rsidP="008C06EF">
      <w:pPr>
        <w:pStyle w:val="Heading2"/>
      </w:pPr>
      <w:bookmarkStart w:id="5" w:name="_Toc235611157"/>
      <w:r>
        <w:t>2.1 Strategic Growth through the Ansoff Matrix</w:t>
      </w:r>
      <w:bookmarkEnd w:id="5"/>
    </w:p>
    <w:p w14:paraId="13D6BF5B" w14:textId="77777777" w:rsidR="008C06EF" w:rsidRDefault="008C06EF" w:rsidP="008C06EF">
      <w:r>
        <w:t>The external marketing environment analysed in Task 1 shows that the world mining industry is being transformed by the effects of climate change, tougher environment laws, and changing customer expectations. BHP must use a Product Development Strategy from the Ansoff Matrix to stay competitive over time and to meet these environmental challenges. Product development is the addition of new or improved products to existing markets to meet evolving customer needs and to build on established market relationships (Ansoff, 1957).</w:t>
      </w:r>
    </w:p>
    <w:p w14:paraId="3077B3B1" w14:textId="77777777" w:rsidR="008C06EF" w:rsidRDefault="008C06EF" w:rsidP="008C06EF">
      <w:r>
        <w:t xml:space="preserve">To BHP, the development of products is not just about scaling up production, it's also about making minerals with lower carbon footprints. Industrial customers, especially steel producers, </w:t>
      </w:r>
      <w:r>
        <w:lastRenderedPageBreak/>
        <w:t>automotive companies and renewable energy generators, are increasingly looking for responsibly sourced raw materials that can help them achieve their decarbonisation goals (International Energy Agency (IEA), 2024). For BHP, this means that investing in lower-carbon iron ore, copper and nickel helps them build customer relationships and stand out in markets where sustainability is gaining weight.</w:t>
      </w:r>
    </w:p>
    <w:p w14:paraId="7B355887" w14:textId="10519384" w:rsidR="008C06EF" w:rsidRDefault="00612162" w:rsidP="008C06EF">
      <w:r w:rsidRPr="00612162">
        <w:t>Product development is appropriate because BHP needs lower-carbon products.</w:t>
      </w:r>
      <w:r w:rsidR="008C06EF">
        <w:t xml:space="preserve"> Market penetration is mainly about selling existing products in existing markets, and there are less opportunities to respond to sustainability expectations. Market development (geographical expansion) can help grow revenue, but has no direct impact on BHP's competitive position in the decarbonisation space. Diversification has the potential to attract future growth, but it demands significant investment in new industries and introduces increased strategic risk and uncertainty (Kotler et al., 2024). Thus product development is closer to the market's needs as well as BHP's current operations.</w:t>
      </w:r>
    </w:p>
    <w:p w14:paraId="48921AF8" w14:textId="77777777" w:rsidR="008C06EF" w:rsidRDefault="008C06EF" w:rsidP="008C06EF">
      <w:r>
        <w:t>In addition, product development contributes to BHP's long-term strategy of becoming a primary provider of transition minerals for renewable energy technologies and electric vehicles. BHP embeds sustainability into product innovation, and not just as a compliance exercise, so as to add value to customers and enhanced competitive differentiation.</w:t>
      </w:r>
    </w:p>
    <w:p w14:paraId="4989DC7A" w14:textId="77777777" w:rsidR="008C06EF" w:rsidRDefault="008C06EF" w:rsidP="008C06EF">
      <w:pPr>
        <w:keepNext/>
        <w:jc w:val="center"/>
      </w:pPr>
      <w:r>
        <w:drawing>
          <wp:inline distT="0" distB="0" distL="0" distR="0" wp14:anchorId="4DDEB78C" wp14:editId="001CA508">
            <wp:extent cx="5682201" cy="3139440"/>
            <wp:effectExtent l="0" t="0" r="0" b="3810"/>
            <wp:docPr id="715674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74331" name="Picture 715674331"/>
                    <pic:cNvPicPr/>
                  </pic:nvPicPr>
                  <pic:blipFill rotWithShape="1">
                    <a:blip r:embed="rId11" cstate="print">
                      <a:extLst>
                        <a:ext uri="{28A0092B-C50C-407E-A947-70E740481C1C}">
                          <a14:useLocalDpi xmlns:a14="http://schemas.microsoft.com/office/drawing/2010/main" val="0"/>
                        </a:ext>
                      </a:extLst>
                    </a:blip>
                    <a:srcRect t="11922" b="5199"/>
                    <a:stretch>
                      <a:fillRect/>
                    </a:stretch>
                  </pic:blipFill>
                  <pic:spPr bwMode="auto">
                    <a:xfrm>
                      <a:off x="0" y="0"/>
                      <a:ext cx="5693797" cy="3145847"/>
                    </a:xfrm>
                    <a:prstGeom prst="rect">
                      <a:avLst/>
                    </a:prstGeom>
                    <a:ln>
                      <a:noFill/>
                    </a:ln>
                    <a:extLst>
                      <a:ext uri="{53640926-AAD7-44D8-BBD7-CCE9431645EC}">
                        <a14:shadowObscured xmlns:a14="http://schemas.microsoft.com/office/drawing/2010/main"/>
                      </a:ext>
                    </a:extLst>
                  </pic:spPr>
                </pic:pic>
              </a:graphicData>
            </a:graphic>
          </wp:inline>
        </w:drawing>
      </w:r>
    </w:p>
    <w:p w14:paraId="65AEB2E5" w14:textId="66AB27C9" w:rsidR="008C06EF" w:rsidRDefault="008C06EF" w:rsidP="008C06EF">
      <w:pPr>
        <w:pStyle w:val="Caption"/>
        <w:jc w:val="center"/>
      </w:pPr>
      <w:r>
        <w:t xml:space="preserve">Figure </w:t>
      </w:r>
      <w:r>
        <w:fldChar w:fldCharType="begin"/>
      </w:r>
      <w:r>
        <w:instrText xml:space="preserve"> SEQ Figure \* ARABIC </w:instrText>
      </w:r>
      <w:r>
        <w:fldChar w:fldCharType="separate"/>
      </w:r>
      <w:r>
        <w:t>2</w:t>
      </w:r>
      <w:r>
        <w:fldChar w:fldCharType="end"/>
      </w:r>
      <w:r>
        <w:t xml:space="preserve">: </w:t>
      </w:r>
      <w:r w:rsidRPr="0048265A">
        <w:t>Ansoff Matrix Applied to BHP</w:t>
      </w:r>
    </w:p>
    <w:p w14:paraId="6C672C4E" w14:textId="77777777" w:rsidR="008C06EF" w:rsidRDefault="008C06EF" w:rsidP="008C06EF"/>
    <w:p w14:paraId="28217389" w14:textId="77777777" w:rsidR="008C06EF" w:rsidRDefault="008C06EF" w:rsidP="008C06EF">
      <w:pPr>
        <w:pStyle w:val="Heading2"/>
      </w:pPr>
      <w:bookmarkStart w:id="6" w:name="_Toc235611158"/>
      <w:r>
        <w:t>2.2 Achieving Competitive Advantage through Differentiation</w:t>
      </w:r>
      <w:bookmarkEnd w:id="6"/>
    </w:p>
    <w:p w14:paraId="265A27A3" w14:textId="77777777" w:rsidR="008C06EF" w:rsidRDefault="008C06EF" w:rsidP="008C06EF">
      <w:r>
        <w:t>Growth is the key to future market opportunities; competitive positioning strategy is needed to maintain competitive advantage. According to Porter's Generic Strategies, cost leadership, differentiation and focus are the main strategies used by organisations to perform well (Porter, 1985). In the global mining industry, differentiation could be the best approach for BHP, given its raised environmental aspirations.</w:t>
      </w:r>
    </w:p>
    <w:p w14:paraId="6BAF5C06" w14:textId="77777777" w:rsidR="008C06EF" w:rsidRDefault="008C06EF" w:rsidP="008C06EF">
      <w:r>
        <w:t xml:space="preserve">In the past, the main competition among mining firms was based on their efficiency and size. Today, however, competition has become more complex with sustainability performance, environmental transparency and responsible use of resources. Beyond price, customers are </w:t>
      </w:r>
      <w:r>
        <w:lastRenderedPageBreak/>
        <w:t>now assessing suppliers based on carbon emissions, ESG performance and supply chain resiliency (Kotler et al., 2024). Consequently, differentiation based on lower-carbon production enables BHP to create value beyond commodity pricing.</w:t>
      </w:r>
    </w:p>
    <w:p w14:paraId="416A3AC8" w14:textId="77777777" w:rsidR="008C06EF" w:rsidRDefault="008C06EF" w:rsidP="008C06EF">
      <w:r>
        <w:t>BHP's investments in renewable powered mining operations and operational electrification and emissions reduction efforts reinforce this differentiation strategy. Moreover, BHP has developed strategic partnerships to support customers' decarbonisation journeys, moving beyond simply being a raw material supplier to a strategic partner for low carbon steels (BHP, 2025). This helps to build long lasting customer relations and lowers competitive rivalry from commodity markets.</w:t>
      </w:r>
    </w:p>
    <w:p w14:paraId="235DD403" w14:textId="77777777" w:rsidR="008C06EF" w:rsidRDefault="008C06EF" w:rsidP="008C06EF">
      <w:r>
        <w:t>Differentiation also boosts investor confidence. The number of institutional investors that include ESG performance in their investment decisions is rising, and firms with credible climate strategies and reporting on sustainability are being rewarded (Eccles and Klimenko, 2019). This, in turn, enhances corporate reputation and access to long-term funding, further underpinning BHP's competitive position.</w:t>
      </w:r>
    </w:p>
    <w:p w14:paraId="619B4A42" w14:textId="77777777" w:rsidR="008C06EF" w:rsidRDefault="008C06EF" w:rsidP="008C06EF">
      <w:r>
        <w:t>However, the differentiation is limited. Sustainability efforts are high-cost, and consumers are still unsure whether they are willing to pay more for reduced carbon minerals in some markets. However, competitors like Rio Tinto and Anglo American are also investing in sustainability, blurring the distinction in the process.But rivals like Rio Tinto and Anglo American are also increasing their investments in sustainability, making it less unique over time. BHP will need to constantly innovate in order to retain competitive advantage, beyond their current sustainability successes.</w:t>
      </w:r>
    </w:p>
    <w:p w14:paraId="0D6D3260" w14:textId="02CBBBBB" w:rsidR="008C06EF" w:rsidRPr="008C06EF" w:rsidRDefault="008C06EF" w:rsidP="008C06EF">
      <w:pPr>
        <w:rPr>
          <w:b/>
          <w:bCs/>
        </w:rPr>
      </w:pPr>
      <w:r>
        <w:rPr>
          <w:b/>
          <w:bCs/>
        </w:rPr>
        <w:t xml:space="preserve">Table 2: </w:t>
      </w:r>
      <w:r w:rsidRPr="008C06EF">
        <w:rPr>
          <w:b/>
          <w:bCs/>
        </w:rPr>
        <w:t>Strategic Recommendations</w:t>
      </w:r>
    </w:p>
    <w:tbl>
      <w:tblPr>
        <w:tblStyle w:val="TableGrid"/>
        <w:tblW w:w="0" w:type="auto"/>
        <w:tblLook w:val="04A0" w:firstRow="1" w:lastRow="0" w:firstColumn="1" w:lastColumn="0" w:noHBand="0" w:noVBand="1"/>
      </w:tblPr>
      <w:tblGrid>
        <w:gridCol w:w="3441"/>
        <w:gridCol w:w="5575"/>
      </w:tblGrid>
      <w:tr w:rsidR="008C06EF" w:rsidRPr="008C06EF" w14:paraId="5716A3D1" w14:textId="77777777" w:rsidTr="008C06EF">
        <w:tc>
          <w:tcPr>
            <w:tcW w:w="0" w:type="auto"/>
            <w:hideMark/>
          </w:tcPr>
          <w:p w14:paraId="3132394F" w14:textId="77777777" w:rsidR="008C06EF" w:rsidRPr="008C06EF" w:rsidRDefault="008C06EF" w:rsidP="008C06EF">
            <w:pPr>
              <w:spacing w:after="160" w:line="259" w:lineRule="auto"/>
              <w:jc w:val="left"/>
              <w:rPr>
                <w:b/>
                <w:bCs/>
              </w:rPr>
            </w:pPr>
            <w:r w:rsidRPr="008C06EF">
              <w:rPr>
                <w:b/>
                <w:bCs/>
              </w:rPr>
              <w:t>Existing Products</w:t>
            </w:r>
          </w:p>
        </w:tc>
        <w:tc>
          <w:tcPr>
            <w:tcW w:w="0" w:type="auto"/>
            <w:hideMark/>
          </w:tcPr>
          <w:p w14:paraId="6ECD5A85" w14:textId="77777777" w:rsidR="008C06EF" w:rsidRPr="008C06EF" w:rsidRDefault="008C06EF" w:rsidP="008C06EF">
            <w:pPr>
              <w:spacing w:after="160" w:line="259" w:lineRule="auto"/>
              <w:jc w:val="left"/>
              <w:rPr>
                <w:b/>
                <w:bCs/>
              </w:rPr>
            </w:pPr>
            <w:r w:rsidRPr="008C06EF">
              <w:rPr>
                <w:b/>
                <w:bCs/>
              </w:rPr>
              <w:t>New Products</w:t>
            </w:r>
          </w:p>
        </w:tc>
      </w:tr>
      <w:tr w:rsidR="008C06EF" w:rsidRPr="008C06EF" w14:paraId="40097903" w14:textId="77777777" w:rsidTr="008C06EF">
        <w:tc>
          <w:tcPr>
            <w:tcW w:w="0" w:type="auto"/>
            <w:hideMark/>
          </w:tcPr>
          <w:p w14:paraId="1A975A60" w14:textId="77777777" w:rsidR="008C06EF" w:rsidRPr="008C06EF" w:rsidRDefault="008C06EF" w:rsidP="008C06EF">
            <w:pPr>
              <w:spacing w:after="160" w:line="259" w:lineRule="auto"/>
            </w:pPr>
            <w:r w:rsidRPr="008C06EF">
              <w:rPr>
                <w:b/>
                <w:bCs/>
              </w:rPr>
              <w:t>Existing Markets</w:t>
            </w:r>
          </w:p>
        </w:tc>
        <w:tc>
          <w:tcPr>
            <w:tcW w:w="0" w:type="auto"/>
            <w:hideMark/>
          </w:tcPr>
          <w:p w14:paraId="3B72D95C" w14:textId="77777777" w:rsidR="008C06EF" w:rsidRPr="008C06EF" w:rsidRDefault="008C06EF" w:rsidP="008C06EF">
            <w:pPr>
              <w:spacing w:after="160" w:line="259" w:lineRule="auto"/>
            </w:pPr>
            <w:r w:rsidRPr="008C06EF">
              <w:rPr>
                <w:b/>
                <w:bCs/>
              </w:rPr>
              <w:t>Product Development (Recommended)</w:t>
            </w:r>
          </w:p>
        </w:tc>
      </w:tr>
      <w:tr w:rsidR="008C06EF" w:rsidRPr="008C06EF" w14:paraId="60850EEF" w14:textId="77777777" w:rsidTr="008C06EF">
        <w:tc>
          <w:tcPr>
            <w:tcW w:w="0" w:type="auto"/>
            <w:hideMark/>
          </w:tcPr>
          <w:p w14:paraId="467432B8" w14:textId="77777777" w:rsidR="008C06EF" w:rsidRPr="008C06EF" w:rsidRDefault="008C06EF" w:rsidP="008C06EF">
            <w:pPr>
              <w:spacing w:after="160" w:line="259" w:lineRule="auto"/>
            </w:pPr>
            <w:r w:rsidRPr="008C06EF">
              <w:t>Traditional iron ore, copper and nickel</w:t>
            </w:r>
          </w:p>
        </w:tc>
        <w:tc>
          <w:tcPr>
            <w:tcW w:w="0" w:type="auto"/>
            <w:hideMark/>
          </w:tcPr>
          <w:p w14:paraId="72CA9362" w14:textId="77777777" w:rsidR="008C06EF" w:rsidRPr="008C06EF" w:rsidRDefault="008C06EF" w:rsidP="008C06EF">
            <w:pPr>
              <w:spacing w:after="160" w:line="259" w:lineRule="auto"/>
            </w:pPr>
            <w:r w:rsidRPr="008C06EF">
              <w:t>Low-carbon iron ore, green steel inputs, responsibly sourced transition minerals</w:t>
            </w:r>
          </w:p>
        </w:tc>
      </w:tr>
      <w:tr w:rsidR="008C06EF" w:rsidRPr="008C06EF" w14:paraId="28A18C44" w14:textId="77777777" w:rsidTr="008C06EF">
        <w:tc>
          <w:tcPr>
            <w:tcW w:w="0" w:type="auto"/>
            <w:hideMark/>
          </w:tcPr>
          <w:p w14:paraId="6B9ADC3C" w14:textId="77777777" w:rsidR="008C06EF" w:rsidRPr="008C06EF" w:rsidRDefault="008C06EF" w:rsidP="008C06EF">
            <w:pPr>
              <w:spacing w:after="160" w:line="259" w:lineRule="auto"/>
            </w:pPr>
            <w:r w:rsidRPr="008C06EF">
              <w:rPr>
                <w:b/>
                <w:bCs/>
              </w:rPr>
              <w:t>New Markets</w:t>
            </w:r>
          </w:p>
        </w:tc>
        <w:tc>
          <w:tcPr>
            <w:tcW w:w="0" w:type="auto"/>
            <w:hideMark/>
          </w:tcPr>
          <w:p w14:paraId="2EFFDBD7" w14:textId="77777777" w:rsidR="008C06EF" w:rsidRPr="008C06EF" w:rsidRDefault="008C06EF" w:rsidP="008C06EF">
            <w:pPr>
              <w:spacing w:after="160" w:line="259" w:lineRule="auto"/>
            </w:pPr>
            <w:r w:rsidRPr="008C06EF">
              <w:t>Diversification</w:t>
            </w:r>
          </w:p>
        </w:tc>
      </w:tr>
      <w:tr w:rsidR="008C06EF" w:rsidRPr="008C06EF" w14:paraId="5841F85D" w14:textId="77777777" w:rsidTr="008C06EF">
        <w:tc>
          <w:tcPr>
            <w:tcW w:w="0" w:type="auto"/>
            <w:hideMark/>
          </w:tcPr>
          <w:p w14:paraId="588ED947" w14:textId="77777777" w:rsidR="008C06EF" w:rsidRPr="008C06EF" w:rsidRDefault="008C06EF" w:rsidP="008C06EF">
            <w:pPr>
              <w:spacing w:after="160" w:line="259" w:lineRule="auto"/>
            </w:pPr>
            <w:r w:rsidRPr="008C06EF">
              <w:t>Market development into emerging economies</w:t>
            </w:r>
          </w:p>
        </w:tc>
        <w:tc>
          <w:tcPr>
            <w:tcW w:w="0" w:type="auto"/>
            <w:hideMark/>
          </w:tcPr>
          <w:p w14:paraId="7B326B0E" w14:textId="77777777" w:rsidR="008C06EF" w:rsidRPr="008C06EF" w:rsidRDefault="008C06EF" w:rsidP="008C06EF">
            <w:pPr>
              <w:spacing w:after="160" w:line="259" w:lineRule="auto"/>
            </w:pPr>
            <w:r w:rsidRPr="008C06EF">
              <w:t>Expansion into unrelated industries</w:t>
            </w:r>
          </w:p>
        </w:tc>
      </w:tr>
    </w:tbl>
    <w:p w14:paraId="756B8ADD" w14:textId="71265BC2" w:rsidR="008C06EF" w:rsidRPr="008C06EF" w:rsidRDefault="008C06EF" w:rsidP="008C06EF"/>
    <w:p w14:paraId="5EAE00F1" w14:textId="77777777" w:rsidR="008C06EF" w:rsidRDefault="008C06EF" w:rsidP="008C06EF">
      <w:pPr>
        <w:pStyle w:val="Heading2"/>
      </w:pPr>
      <w:bookmarkStart w:id="7" w:name="_Toc235611159"/>
      <w:r>
        <w:t>2.3 Strategic Recommendations</w:t>
      </w:r>
      <w:bookmarkEnd w:id="7"/>
    </w:p>
    <w:p w14:paraId="5467088C" w14:textId="77777777" w:rsidR="008C06EF" w:rsidRDefault="008C06EF" w:rsidP="008C06EF">
      <w:r>
        <w:t>BHP should pursue a number of complementary strategic actions to enhance its competitive position and drive sustainable growth.</w:t>
      </w:r>
    </w:p>
    <w:p w14:paraId="0FBFCB63" w14:textId="77777777" w:rsidR="008C06EF" w:rsidRDefault="008C06EF" w:rsidP="008C06EF">
      <w:r>
        <w:t>First, the organisation should step up investment in renewable energy-based mining operations, by increasing the generation of renewable electricity and electrifying heavy mining equipment. This would result in lower operating emissions and better long-term cost-effectiveness and environmental credibility.</w:t>
      </w:r>
    </w:p>
    <w:p w14:paraId="4BEA575A" w14:textId="77777777" w:rsidR="008C06EF" w:rsidRDefault="008C06EF" w:rsidP="008C06EF">
      <w:r>
        <w:t>Second, BHP should increase research and development collaborations with hydrogen-based solutions and green steel technologies. Such co-operation provides a pathway to new technologies and decreases the technological uncertainty of large-scale decarbonisation.</w:t>
      </w:r>
    </w:p>
    <w:p w14:paraId="7825EEFC" w14:textId="77777777" w:rsidR="008C06EF" w:rsidRDefault="008C06EF" w:rsidP="008C06EF">
      <w:r>
        <w:t xml:space="preserve">Third, digital technologies must be at the heart of BHP's sustainability plans. AI, predictive analysis and digital monitoring systems can help to optimise energy use, enhance operational </w:t>
      </w:r>
      <w:r>
        <w:lastRenderedPageBreak/>
        <w:t>efficiency, and offer customers clear visibility of the environmental performance of their entire supply chain. Greater data transparency also fosters trust amongst customers and helps in doing ESG reporting (World Economic Forum, 2024).</w:t>
      </w:r>
    </w:p>
    <w:p w14:paraId="65679C47" w14:textId="624E2AD6" w:rsidR="008C06EF" w:rsidRPr="008C06EF" w:rsidRDefault="008C06EF" w:rsidP="008C06EF">
      <w:r>
        <w:t>Lastly, BHP should improve marketing communications that focus on sustainability by highlighting tangible environmental benefits instead of general statements. Carbon reduction, responsible sourcing and transparency of the supply chain are increasingly areas of interest for industrial customers that demand proof of credibility. Proven environmental performance can thus reinforce the customer base and help market positioning as premium products.</w:t>
      </w:r>
    </w:p>
    <w:p w14:paraId="09648A9D" w14:textId="77777777" w:rsidR="008C06EF" w:rsidRPr="008C06EF" w:rsidRDefault="008C06EF" w:rsidP="008C06EF"/>
    <w:p w14:paraId="32B2A4C2" w14:textId="22E369F4" w:rsidR="008C06EF" w:rsidRPr="008C06EF" w:rsidRDefault="008C06EF" w:rsidP="008C06EF">
      <w:pPr>
        <w:pStyle w:val="Heading2"/>
      </w:pPr>
      <w:bookmarkStart w:id="8" w:name="_Toc235611160"/>
      <w:r w:rsidRPr="008C06EF">
        <w:t>2.4 Critical Evaluation</w:t>
      </w:r>
      <w:bookmarkEnd w:id="8"/>
    </w:p>
    <w:p w14:paraId="61D1E2E5" w14:textId="77777777" w:rsidR="008C06EF" w:rsidRDefault="008C06EF" w:rsidP="008C06EF">
      <w:r>
        <w:t>While product development and product differentiation offer a strategic blueprint for BHP, the success of these initiatives requires factors outside of organisational control. Lower carbon mining projects could be commercially viable depending on the regulatory environment, commodity price fluctuations and technological maturity. In addition, sustainable leadership does not ensure competitive advantage when other companies quickly catch up on their comparable environmental innovation.</w:t>
      </w:r>
    </w:p>
    <w:p w14:paraId="4BFA59B6" w14:textId="77777777" w:rsidR="008C06EF" w:rsidRDefault="008C06EF" w:rsidP="008C06EF">
      <w:r>
        <w:t>However, the complexity of the environmental challenges, political policy and evolving customer preferences makes sustaining the traditional cost-based competitive strategy improbable. Rather, embedding sustainability in the development, operations and strategic marketing of products and services can bring BHP more value to customers and a more resilient economy in a more carbon conscious world. Thus, product development, with a differentiation strategy, is the most suitable strategy for sustainable growth and long-term competitive advantage.</w:t>
      </w:r>
    </w:p>
    <w:p w14:paraId="5E5071E2" w14:textId="77777777" w:rsidR="008C06EF" w:rsidRDefault="008C06EF" w:rsidP="008C06EF"/>
    <w:p w14:paraId="4F2DD1FA" w14:textId="784647EC" w:rsidR="008C06EF" w:rsidRDefault="008C06EF" w:rsidP="008C06EF">
      <w:pPr>
        <w:pStyle w:val="Heading1"/>
      </w:pPr>
      <w:bookmarkStart w:id="9" w:name="_Toc235611161"/>
      <w:r>
        <w:t>Conclusion</w:t>
      </w:r>
      <w:bookmarkEnd w:id="9"/>
    </w:p>
    <w:p w14:paraId="2BDD4CB9" w14:textId="77777777" w:rsidR="008C06EF" w:rsidRDefault="008C06EF" w:rsidP="008C06EF">
      <w:r>
        <w:t>Environment and regulatory pressures increasingly impact BHP's marketing environment, compelling mining companies to consider sustainability as part of their decision-making process. Climate change, carbon pricing, ESG demands and increasingly stringent environmental regulations have further driven a need for reduced carbon footprint in the use of these minerals and presented opportunities and operational challenges. The most suitable growth option is product development as this allows BHP to offer new, lower carbon products to current markets. With Porter's differentiation strategy, BHP can reinforce their competitive advantage in the areas of sustainability, innovation, product quality and brand reputation. Continued investment in decarbonisation technologies, renewable energy and strategic partnerships will position BHP for long-term sustainable growth while supporting the global transition towards a low-carbon economy.</w:t>
      </w:r>
    </w:p>
    <w:p w14:paraId="63D51412" w14:textId="77777777" w:rsidR="008C06EF" w:rsidRDefault="008C06EF" w:rsidP="008C06EF"/>
    <w:p w14:paraId="006FDF98" w14:textId="55EC4162" w:rsidR="008C06EF" w:rsidRDefault="008C06EF" w:rsidP="008C06EF">
      <w:pPr>
        <w:pStyle w:val="Heading1"/>
      </w:pPr>
      <w:bookmarkStart w:id="10" w:name="_Toc235611162"/>
      <w:r>
        <w:t>Task 3: Critical Reflection on AI Usage</w:t>
      </w:r>
      <w:bookmarkEnd w:id="10"/>
    </w:p>
    <w:p w14:paraId="5EE170A8" w14:textId="77777777" w:rsidR="008C06EF" w:rsidRDefault="008C06EF" w:rsidP="008C06EF">
      <w:r>
        <w:t xml:space="preserve">It is allowed to use generative AI to support research and proofreading but not to write the report or structure it. In the spirit of the above, AI was not used to write the final product but to aid in the research process. Specifically, AI helped to identify relevant academic research, to add search terms to databases like Google Scholar, summarise long sustainability reports, </w:t>
      </w:r>
      <w:r>
        <w:lastRenderedPageBreak/>
        <w:t xml:space="preserve">and check grammar and language clarity. All critical evaluation, report organisation and final written content, however, have been independently produced by author in accordance with assessment requirements. </w:t>
      </w:r>
    </w:p>
    <w:p w14:paraId="09ABBDD8" w14:textId="77777777" w:rsidR="008C06EF" w:rsidRDefault="008C06EF" w:rsidP="008C06EF">
      <w:r>
        <w:t>All information provided by AI was systematically cross-referenced with authoritative sources, such as BHP's Annual Report 2025 and Climate Transition Action Plan, peer-reviewed journal articles, and publications from organisations like the International Energy Agency and the European Commission, to ensure accuracy. Unsupported claims or inconsistencies were deleted or corrected during the cross-checking process. This verification process minimized inaccuracies or "hallucinations" and provided evidence-based conclusions.</w:t>
      </w:r>
    </w:p>
    <w:p w14:paraId="5F0106A4" w14:textId="1C9EBA1F" w:rsidR="006B01C2" w:rsidRDefault="008C06EF" w:rsidP="008C06EF">
      <w:r>
        <w:t>AI has enhanced research efficiency and language refinement, but the choice of marketing frameworks and interpretation of evidence and development of arguments remained the author's. It is crucial to be transparent about the use of AI to ensure academic integrity and uphold professional ethics. Good use of artificial intelligence will need critical thinking, independent verification, and proper attribution to ensure that technology complements, not supplants, scholarly analysis and decision-making.</w:t>
      </w:r>
    </w:p>
    <w:p w14:paraId="3A1B96E9" w14:textId="77777777" w:rsidR="008C06EF" w:rsidRDefault="008C06EF" w:rsidP="008C06EF"/>
    <w:p w14:paraId="0425DBF2" w14:textId="7C740B6A" w:rsidR="008C06EF" w:rsidRDefault="008C06EF" w:rsidP="008C06EF">
      <w:pPr>
        <w:pStyle w:val="Heading1"/>
      </w:pPr>
      <w:bookmarkStart w:id="11" w:name="_Toc235611163"/>
      <w:r>
        <w:t>Refer</w:t>
      </w:r>
      <w:r w:rsidR="00937B0D">
        <w:t>e</w:t>
      </w:r>
      <w:r>
        <w:t>nces</w:t>
      </w:r>
      <w:bookmarkEnd w:id="11"/>
    </w:p>
    <w:p w14:paraId="23875B84" w14:textId="77777777" w:rsidR="000E0EED" w:rsidRPr="000E0EED" w:rsidRDefault="000E0EED" w:rsidP="000E0EED">
      <w:r w:rsidRPr="000E0EED">
        <w:t xml:space="preserve">Ansoff, H.I. (1957) ‘Strategies for diversification’, </w:t>
      </w:r>
      <w:r w:rsidRPr="000E0EED">
        <w:rPr>
          <w:i/>
          <w:iCs/>
        </w:rPr>
        <w:t>Harvard Business Review</w:t>
      </w:r>
      <w:r w:rsidRPr="000E0EED">
        <w:t>, 35(5), pp. 113–124.</w:t>
      </w:r>
    </w:p>
    <w:p w14:paraId="1ACE8C4F" w14:textId="77777777" w:rsidR="000E0EED" w:rsidRPr="000E0EED" w:rsidRDefault="000E0EED" w:rsidP="000E0EED">
      <w:r w:rsidRPr="000E0EED">
        <w:t xml:space="preserve">Australian Government (2024) </w:t>
      </w:r>
      <w:r w:rsidRPr="000E0EED">
        <w:rPr>
          <w:i/>
          <w:iCs/>
        </w:rPr>
        <w:t>Net Zero Plan</w:t>
      </w:r>
      <w:r w:rsidRPr="000E0EED">
        <w:t xml:space="preserve">. Canberra: Department of Climate Change, Energy, the Environment and Water. Available at: </w:t>
      </w:r>
      <w:hyperlink r:id="rId12" w:tgtFrame="_new" w:history="1">
        <w:r w:rsidRPr="000E0EED">
          <w:rPr>
            <w:rStyle w:val="Hyperlink"/>
          </w:rPr>
          <w:t>https://www.dcceew.gov.au/climate-change/net-zero</w:t>
        </w:r>
      </w:hyperlink>
      <w:r w:rsidRPr="000E0EED">
        <w:t xml:space="preserve"> (Accessed: 8 July 2026).</w:t>
      </w:r>
    </w:p>
    <w:p w14:paraId="00E96368" w14:textId="77777777" w:rsidR="000E0EED" w:rsidRPr="000E0EED" w:rsidRDefault="000E0EED" w:rsidP="000E0EED">
      <w:r w:rsidRPr="000E0EED">
        <w:t xml:space="preserve">BHP (2025a) </w:t>
      </w:r>
      <w:r w:rsidRPr="000E0EED">
        <w:rPr>
          <w:i/>
          <w:iCs/>
        </w:rPr>
        <w:t>Annual Report 2025</w:t>
      </w:r>
      <w:r w:rsidRPr="000E0EED">
        <w:t xml:space="preserve">. Melbourne: BHP Group. Available at: </w:t>
      </w:r>
      <w:hyperlink r:id="rId13" w:tgtFrame="_new" w:history="1">
        <w:r w:rsidRPr="000E0EED">
          <w:rPr>
            <w:rStyle w:val="Hyperlink"/>
          </w:rPr>
          <w:t>https://www.bhp.com/investors/annual-reporting</w:t>
        </w:r>
      </w:hyperlink>
      <w:r w:rsidRPr="000E0EED">
        <w:t xml:space="preserve"> (Accessed: 8 July 2026).</w:t>
      </w:r>
    </w:p>
    <w:p w14:paraId="149742CF" w14:textId="77777777" w:rsidR="000E0EED" w:rsidRPr="000E0EED" w:rsidRDefault="000E0EED" w:rsidP="000E0EED">
      <w:r w:rsidRPr="000E0EED">
        <w:t xml:space="preserve">BHP (2025b) </w:t>
      </w:r>
      <w:r w:rsidRPr="000E0EED">
        <w:rPr>
          <w:i/>
          <w:iCs/>
        </w:rPr>
        <w:t>Climate Transition Action Plan 2025</w:t>
      </w:r>
      <w:r w:rsidRPr="000E0EED">
        <w:t xml:space="preserve">. Melbourne: BHP Group. Available at: </w:t>
      </w:r>
      <w:hyperlink r:id="rId14" w:tgtFrame="_new" w:history="1">
        <w:r w:rsidRPr="000E0EED">
          <w:rPr>
            <w:rStyle w:val="Hyperlink"/>
          </w:rPr>
          <w:t>https://www.bhp.com/sustainability/climate-change</w:t>
        </w:r>
      </w:hyperlink>
      <w:r w:rsidRPr="000E0EED">
        <w:t xml:space="preserve"> (Accessed: 8 July 2026).</w:t>
      </w:r>
    </w:p>
    <w:p w14:paraId="09EAB142" w14:textId="77777777" w:rsidR="000E0EED" w:rsidRPr="000E0EED" w:rsidRDefault="000E0EED" w:rsidP="000E0EED">
      <w:r w:rsidRPr="000E0EED">
        <w:t xml:space="preserve">Eccles, R.G. and Klimenko, S. (2019) ‘The investor revolution’, </w:t>
      </w:r>
      <w:r w:rsidRPr="000E0EED">
        <w:rPr>
          <w:i/>
          <w:iCs/>
        </w:rPr>
        <w:t>Harvard Business Review</w:t>
      </w:r>
      <w:r w:rsidRPr="000E0EED">
        <w:t>, 97(3), pp. 106–116.</w:t>
      </w:r>
    </w:p>
    <w:p w14:paraId="0B9ED67B" w14:textId="77777777" w:rsidR="000E0EED" w:rsidRPr="000E0EED" w:rsidRDefault="000E0EED" w:rsidP="000E0EED">
      <w:r w:rsidRPr="000E0EED">
        <w:t xml:space="preserve">European Commission (2024) </w:t>
      </w:r>
      <w:r w:rsidRPr="000E0EED">
        <w:rPr>
          <w:i/>
          <w:iCs/>
        </w:rPr>
        <w:t>Carbon Border Adjustment Mechanism (CBAM)</w:t>
      </w:r>
      <w:r w:rsidRPr="000E0EED">
        <w:t xml:space="preserve">. Available at: </w:t>
      </w:r>
      <w:hyperlink r:id="rId15" w:tgtFrame="_new" w:history="1">
        <w:r w:rsidRPr="000E0EED">
          <w:rPr>
            <w:rStyle w:val="Hyperlink"/>
          </w:rPr>
          <w:t>https://taxation-customs.ec.europa.eu/carbon-border-adjustment-mechanism_en</w:t>
        </w:r>
      </w:hyperlink>
      <w:r w:rsidRPr="000E0EED">
        <w:t xml:space="preserve"> (Accessed: 8 July 2026).</w:t>
      </w:r>
    </w:p>
    <w:p w14:paraId="6796EFEE" w14:textId="77777777" w:rsidR="000E0EED" w:rsidRPr="000E0EED" w:rsidRDefault="000E0EED" w:rsidP="000E0EED">
      <w:r w:rsidRPr="000E0EED">
        <w:t xml:space="preserve">International Energy Agency (IEA) (2024) </w:t>
      </w:r>
      <w:r w:rsidRPr="000E0EED">
        <w:rPr>
          <w:i/>
          <w:iCs/>
        </w:rPr>
        <w:t>The Role of Critical Minerals in Clean Energy Transitions</w:t>
      </w:r>
      <w:r w:rsidRPr="000E0EED">
        <w:t xml:space="preserve">. Paris: International Energy Agency. Available at: </w:t>
      </w:r>
      <w:hyperlink r:id="rId16" w:tgtFrame="_new" w:history="1">
        <w:r w:rsidRPr="000E0EED">
          <w:rPr>
            <w:rStyle w:val="Hyperlink"/>
          </w:rPr>
          <w:t>https://www.iea.org/reports/the-role-of-critical-minerals-in-clean-energy-transitions</w:t>
        </w:r>
      </w:hyperlink>
      <w:r w:rsidRPr="000E0EED">
        <w:t xml:space="preserve"> (Accessed: 8 July 2026).</w:t>
      </w:r>
    </w:p>
    <w:p w14:paraId="247F6B58" w14:textId="77777777" w:rsidR="000E0EED" w:rsidRPr="000E0EED" w:rsidRDefault="000E0EED" w:rsidP="000E0EED">
      <w:r w:rsidRPr="000E0EED">
        <w:t xml:space="preserve">Kotler, P., Armstrong, G., Harris, L.C. and He, H. (2024) </w:t>
      </w:r>
      <w:r w:rsidRPr="000E0EED">
        <w:rPr>
          <w:i/>
          <w:iCs/>
        </w:rPr>
        <w:t>Principles of Marketing</w:t>
      </w:r>
      <w:r w:rsidRPr="000E0EED">
        <w:t>. 19th edn. Harlow: Pearson.</w:t>
      </w:r>
    </w:p>
    <w:p w14:paraId="4745E416" w14:textId="77777777" w:rsidR="000E0EED" w:rsidRPr="000E0EED" w:rsidRDefault="000E0EED" w:rsidP="000E0EED">
      <w:r w:rsidRPr="000E0EED">
        <w:t xml:space="preserve">Porter, M.E. (1985) </w:t>
      </w:r>
      <w:r w:rsidRPr="000E0EED">
        <w:rPr>
          <w:i/>
          <w:iCs/>
        </w:rPr>
        <w:t>Competitive Advantage: Creating and Sustaining Superior Performance</w:t>
      </w:r>
      <w:r w:rsidRPr="000E0EED">
        <w:t>. New York: Free Press.</w:t>
      </w:r>
    </w:p>
    <w:p w14:paraId="5F4C0704" w14:textId="4F8456FE" w:rsidR="000E0EED" w:rsidRPr="000E0EED" w:rsidRDefault="000E0EED" w:rsidP="000E0EED">
      <w:r w:rsidRPr="000E0EED">
        <w:t xml:space="preserve">United Nations Framework Convention on Climate Change (UNFCCC) (2015) </w:t>
      </w:r>
      <w:r w:rsidRPr="000E0EED">
        <w:rPr>
          <w:i/>
          <w:iCs/>
        </w:rPr>
        <w:t>The Paris Agreement</w:t>
      </w:r>
      <w:r w:rsidRPr="000E0EED">
        <w:t xml:space="preserve">. Bonn: UNFCCC. Available at: </w:t>
      </w:r>
      <w:hyperlink r:id="rId17" w:tgtFrame="_new" w:history="1">
        <w:r w:rsidRPr="000E0EED">
          <w:rPr>
            <w:rStyle w:val="Hyperlink"/>
          </w:rPr>
          <w:t>https://unfccc.int/process-and-meetings/the-paris-agreement</w:t>
        </w:r>
      </w:hyperlink>
    </w:p>
    <w:p w14:paraId="02B61B4B" w14:textId="237A93DA" w:rsidR="000E0EED" w:rsidRPr="000E0EED" w:rsidRDefault="000E0EED" w:rsidP="000E0EED">
      <w:r w:rsidRPr="000E0EED">
        <w:lastRenderedPageBreak/>
        <w:t xml:space="preserve">World Bank (2024) </w:t>
      </w:r>
      <w:r w:rsidRPr="000E0EED">
        <w:rPr>
          <w:i/>
          <w:iCs/>
        </w:rPr>
        <w:t>State and Trends of Carbon Pricing 2024</w:t>
      </w:r>
      <w:r w:rsidRPr="000E0EED">
        <w:t xml:space="preserve">. Washington, DC: World Bank. Available at: </w:t>
      </w:r>
      <w:hyperlink r:id="rId18" w:tgtFrame="_new" w:history="1">
        <w:r w:rsidRPr="000E0EED">
          <w:rPr>
            <w:rStyle w:val="Hyperlink"/>
          </w:rPr>
          <w:t>https://www.worldbank.org/en/publication/state-and-trends-of-carbon-pricing</w:t>
        </w:r>
      </w:hyperlink>
      <w:r w:rsidRPr="000E0EED">
        <w:t xml:space="preserve"> </w:t>
      </w:r>
    </w:p>
    <w:p w14:paraId="7EF674F3" w14:textId="75962464" w:rsidR="008C06EF" w:rsidRPr="008C06EF" w:rsidRDefault="000E0EED" w:rsidP="000E0EED">
      <w:r w:rsidRPr="000E0EED">
        <w:t xml:space="preserve">BHP (2025c) </w:t>
      </w:r>
      <w:r w:rsidRPr="000E0EED">
        <w:rPr>
          <w:i/>
          <w:iCs/>
        </w:rPr>
        <w:t>Sustainability Report 2025</w:t>
      </w:r>
      <w:r w:rsidRPr="000E0EED">
        <w:t xml:space="preserve">. Melbourne: BHP Group. Available at: </w:t>
      </w:r>
      <w:hyperlink r:id="rId19" w:tgtFrame="_new" w:history="1">
        <w:r w:rsidRPr="000E0EED">
          <w:rPr>
            <w:rStyle w:val="Hyperlink"/>
          </w:rPr>
          <w:t>https://www.bhp.com/sustainability</w:t>
        </w:r>
      </w:hyperlink>
      <w:r w:rsidRPr="000E0EED">
        <w:t xml:space="preserve"> </w:t>
      </w:r>
    </w:p>
    <w:sectPr w:rsidR="008C06EF" w:rsidRPr="008C06EF" w:rsidSect="008C06EF">
      <w:footerReference w:type="default" r:id="rId20"/>
      <w:footerReference w:type="firs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46F19" w14:textId="77777777" w:rsidR="00B038F8" w:rsidRDefault="00B038F8" w:rsidP="008C06EF">
      <w:pPr>
        <w:spacing w:after="0" w:line="240" w:lineRule="auto"/>
      </w:pPr>
      <w:r>
        <w:separator/>
      </w:r>
    </w:p>
  </w:endnote>
  <w:endnote w:type="continuationSeparator" w:id="0">
    <w:p w14:paraId="61018A44" w14:textId="77777777" w:rsidR="00B038F8" w:rsidRDefault="00B038F8" w:rsidP="008C0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C95B9" w14:textId="0D0674F8" w:rsidR="008C06EF" w:rsidRDefault="008C06EF" w:rsidP="008C06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679887066"/>
      <w:docPartObj>
        <w:docPartGallery w:val="Page Numbers (Bottom of Page)"/>
        <w:docPartUnique/>
      </w:docPartObj>
    </w:sdtPr>
    <w:sdtEndPr>
      <w:rPr>
        <w:noProof/>
      </w:rPr>
    </w:sdtEndPr>
    <w:sdtContent>
      <w:p w14:paraId="0B7ACC47" w14:textId="77777777" w:rsidR="008C06EF" w:rsidRDefault="008C06EF">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00FB7838" w14:textId="77777777" w:rsidR="008C06EF" w:rsidRDefault="008C06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030785908"/>
      <w:docPartObj>
        <w:docPartGallery w:val="Page Numbers (Bottom of Page)"/>
        <w:docPartUnique/>
      </w:docPartObj>
    </w:sdtPr>
    <w:sdtEndPr>
      <w:rPr>
        <w:noProof/>
      </w:rPr>
    </w:sdtEndPr>
    <w:sdtContent>
      <w:p w14:paraId="424D4610" w14:textId="285E449B" w:rsidR="008C06EF" w:rsidRDefault="008C06EF">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8982817" w14:textId="77777777" w:rsidR="008C06EF" w:rsidRDefault="008C0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2D3F9" w14:textId="77777777" w:rsidR="00B038F8" w:rsidRDefault="00B038F8" w:rsidP="008C06EF">
      <w:pPr>
        <w:spacing w:after="0" w:line="240" w:lineRule="auto"/>
      </w:pPr>
      <w:r>
        <w:separator/>
      </w:r>
    </w:p>
  </w:footnote>
  <w:footnote w:type="continuationSeparator" w:id="0">
    <w:p w14:paraId="6320CE4F" w14:textId="77777777" w:rsidR="00B038F8" w:rsidRDefault="00B038F8" w:rsidP="008C06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44FDB"/>
    <w:multiLevelType w:val="multilevel"/>
    <w:tmpl w:val="88D6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5734F8"/>
    <w:multiLevelType w:val="multilevel"/>
    <w:tmpl w:val="986A7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ED3683"/>
    <w:multiLevelType w:val="multilevel"/>
    <w:tmpl w:val="E7AAE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DC5EC8"/>
    <w:multiLevelType w:val="multilevel"/>
    <w:tmpl w:val="BD9CB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0D5696"/>
    <w:multiLevelType w:val="multilevel"/>
    <w:tmpl w:val="1C16C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1A4B5D"/>
    <w:multiLevelType w:val="multilevel"/>
    <w:tmpl w:val="0074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9356710">
    <w:abstractNumId w:val="3"/>
  </w:num>
  <w:num w:numId="2" w16cid:durableId="1420516983">
    <w:abstractNumId w:val="2"/>
  </w:num>
  <w:num w:numId="3" w16cid:durableId="878587031">
    <w:abstractNumId w:val="5"/>
  </w:num>
  <w:num w:numId="4" w16cid:durableId="651101344">
    <w:abstractNumId w:val="4"/>
  </w:num>
  <w:num w:numId="5" w16cid:durableId="331495040">
    <w:abstractNumId w:val="1"/>
  </w:num>
  <w:num w:numId="6" w16cid:durableId="1196776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56"/>
    <w:rsid w:val="00013EDC"/>
    <w:rsid w:val="000A454B"/>
    <w:rsid w:val="000B7B08"/>
    <w:rsid w:val="000E0EED"/>
    <w:rsid w:val="001B0BEE"/>
    <w:rsid w:val="001F320F"/>
    <w:rsid w:val="002275A3"/>
    <w:rsid w:val="002275C3"/>
    <w:rsid w:val="002F209A"/>
    <w:rsid w:val="00387053"/>
    <w:rsid w:val="004A6E35"/>
    <w:rsid w:val="004E1A24"/>
    <w:rsid w:val="004F4717"/>
    <w:rsid w:val="00512961"/>
    <w:rsid w:val="005B14F9"/>
    <w:rsid w:val="005D7CD7"/>
    <w:rsid w:val="006111DE"/>
    <w:rsid w:val="00612162"/>
    <w:rsid w:val="006A7261"/>
    <w:rsid w:val="006B01C2"/>
    <w:rsid w:val="006E7942"/>
    <w:rsid w:val="00721044"/>
    <w:rsid w:val="0074186B"/>
    <w:rsid w:val="007653C4"/>
    <w:rsid w:val="007F109F"/>
    <w:rsid w:val="008C06EF"/>
    <w:rsid w:val="00937B0D"/>
    <w:rsid w:val="009823C4"/>
    <w:rsid w:val="009C7B12"/>
    <w:rsid w:val="009D7752"/>
    <w:rsid w:val="00A955EC"/>
    <w:rsid w:val="00B038F8"/>
    <w:rsid w:val="00C90DC0"/>
    <w:rsid w:val="00C977FD"/>
    <w:rsid w:val="00D4268C"/>
    <w:rsid w:val="00D6282A"/>
    <w:rsid w:val="00D91C68"/>
    <w:rsid w:val="00DC00F5"/>
    <w:rsid w:val="00E16342"/>
    <w:rsid w:val="00E27655"/>
    <w:rsid w:val="00E346C3"/>
    <w:rsid w:val="00E3708B"/>
    <w:rsid w:val="00EB5D86"/>
    <w:rsid w:val="00F21E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48E26"/>
  <w15:chartTrackingRefBased/>
  <w15:docId w15:val="{E37989C1-860B-4870-AC47-820C3A821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6EF"/>
    <w:pPr>
      <w:jc w:val="both"/>
    </w:pPr>
    <w:rPr>
      <w:rFonts w:ascii="Arial" w:hAnsi="Arial"/>
      <w:noProof/>
    </w:rPr>
  </w:style>
  <w:style w:type="paragraph" w:styleId="Heading1">
    <w:name w:val="heading 1"/>
    <w:basedOn w:val="Normal"/>
    <w:next w:val="Normal"/>
    <w:link w:val="Heading1Char"/>
    <w:uiPriority w:val="9"/>
    <w:qFormat/>
    <w:rsid w:val="008C06EF"/>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C06EF"/>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F21E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1E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1E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1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6EF"/>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8C06EF"/>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F21E56"/>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F21E56"/>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F21E56"/>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F21E56"/>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F21E56"/>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F21E56"/>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F21E56"/>
    <w:rPr>
      <w:rFonts w:eastAsiaTheme="majorEastAsia" w:cstheme="majorBidi"/>
      <w:noProof/>
      <w:color w:val="272727" w:themeColor="text1" w:themeTint="D8"/>
    </w:rPr>
  </w:style>
  <w:style w:type="paragraph" w:styleId="Title">
    <w:name w:val="Title"/>
    <w:basedOn w:val="Normal"/>
    <w:next w:val="Normal"/>
    <w:link w:val="TitleChar"/>
    <w:uiPriority w:val="10"/>
    <w:qFormat/>
    <w:rsid w:val="00F21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56"/>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F21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56"/>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F21E56"/>
    <w:pPr>
      <w:spacing w:before="160"/>
      <w:jc w:val="center"/>
    </w:pPr>
    <w:rPr>
      <w:i/>
      <w:iCs/>
      <w:color w:val="404040" w:themeColor="text1" w:themeTint="BF"/>
    </w:rPr>
  </w:style>
  <w:style w:type="character" w:customStyle="1" w:styleId="QuoteChar">
    <w:name w:val="Quote Char"/>
    <w:basedOn w:val="DefaultParagraphFont"/>
    <w:link w:val="Quote"/>
    <w:uiPriority w:val="29"/>
    <w:rsid w:val="00F21E56"/>
    <w:rPr>
      <w:i/>
      <w:iCs/>
      <w:noProof/>
      <w:color w:val="404040" w:themeColor="text1" w:themeTint="BF"/>
    </w:rPr>
  </w:style>
  <w:style w:type="paragraph" w:styleId="ListParagraph">
    <w:name w:val="List Paragraph"/>
    <w:basedOn w:val="Normal"/>
    <w:uiPriority w:val="34"/>
    <w:qFormat/>
    <w:rsid w:val="00F21E56"/>
    <w:pPr>
      <w:ind w:left="720"/>
      <w:contextualSpacing/>
    </w:pPr>
  </w:style>
  <w:style w:type="character" w:styleId="IntenseEmphasis">
    <w:name w:val="Intense Emphasis"/>
    <w:basedOn w:val="DefaultParagraphFont"/>
    <w:uiPriority w:val="21"/>
    <w:qFormat/>
    <w:rsid w:val="00F21E56"/>
    <w:rPr>
      <w:i/>
      <w:iCs/>
      <w:color w:val="2F5496" w:themeColor="accent1" w:themeShade="BF"/>
    </w:rPr>
  </w:style>
  <w:style w:type="paragraph" w:styleId="IntenseQuote">
    <w:name w:val="Intense Quote"/>
    <w:basedOn w:val="Normal"/>
    <w:next w:val="Normal"/>
    <w:link w:val="IntenseQuoteChar"/>
    <w:uiPriority w:val="30"/>
    <w:qFormat/>
    <w:rsid w:val="00F21E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56"/>
    <w:rPr>
      <w:i/>
      <w:iCs/>
      <w:noProof/>
      <w:color w:val="2F5496" w:themeColor="accent1" w:themeShade="BF"/>
    </w:rPr>
  </w:style>
  <w:style w:type="character" w:styleId="IntenseReference">
    <w:name w:val="Intense Reference"/>
    <w:basedOn w:val="DefaultParagraphFont"/>
    <w:uiPriority w:val="32"/>
    <w:qFormat/>
    <w:rsid w:val="00F21E56"/>
    <w:rPr>
      <w:b/>
      <w:bCs/>
      <w:smallCaps/>
      <w:color w:val="2F5496" w:themeColor="accent1" w:themeShade="BF"/>
      <w:spacing w:val="5"/>
    </w:rPr>
  </w:style>
  <w:style w:type="table" w:styleId="TableGrid">
    <w:name w:val="Table Grid"/>
    <w:basedOn w:val="TableNormal"/>
    <w:uiPriority w:val="39"/>
    <w:rsid w:val="008C06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C06EF"/>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8C06EF"/>
    <w:pPr>
      <w:widowControl w:val="0"/>
      <w:autoSpaceDE w:val="0"/>
      <w:autoSpaceDN w:val="0"/>
      <w:spacing w:after="0" w:line="360" w:lineRule="auto"/>
      <w:jc w:val="left"/>
    </w:pPr>
    <w:rPr>
      <w:rFonts w:eastAsia="Arial MT" w:cs="Arial MT"/>
      <w:noProof w:val="0"/>
      <w:kern w:val="0"/>
      <w:lang w:val="en-US"/>
      <w14:ligatures w14:val="none"/>
    </w:rPr>
  </w:style>
  <w:style w:type="paragraph" w:styleId="TOCHeading">
    <w:name w:val="TOC Heading"/>
    <w:basedOn w:val="Heading1"/>
    <w:next w:val="Normal"/>
    <w:uiPriority w:val="39"/>
    <w:unhideWhenUsed/>
    <w:qFormat/>
    <w:rsid w:val="008C06EF"/>
    <w:pPr>
      <w:spacing w:before="240" w:after="0"/>
      <w:jc w:val="left"/>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8C06EF"/>
    <w:pPr>
      <w:spacing w:after="100"/>
    </w:pPr>
  </w:style>
  <w:style w:type="paragraph" w:styleId="TOC2">
    <w:name w:val="toc 2"/>
    <w:basedOn w:val="Normal"/>
    <w:next w:val="Normal"/>
    <w:autoRedefine/>
    <w:uiPriority w:val="39"/>
    <w:unhideWhenUsed/>
    <w:rsid w:val="008C06EF"/>
    <w:pPr>
      <w:spacing w:after="100"/>
      <w:ind w:left="220"/>
    </w:pPr>
  </w:style>
  <w:style w:type="character" w:styleId="Hyperlink">
    <w:name w:val="Hyperlink"/>
    <w:basedOn w:val="DefaultParagraphFont"/>
    <w:uiPriority w:val="99"/>
    <w:unhideWhenUsed/>
    <w:rsid w:val="008C06EF"/>
    <w:rPr>
      <w:color w:val="0563C1" w:themeColor="hyperlink"/>
      <w:u w:val="single"/>
    </w:rPr>
  </w:style>
  <w:style w:type="paragraph" w:styleId="Header">
    <w:name w:val="header"/>
    <w:basedOn w:val="Normal"/>
    <w:link w:val="HeaderChar"/>
    <w:uiPriority w:val="99"/>
    <w:unhideWhenUsed/>
    <w:rsid w:val="008C0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6EF"/>
    <w:rPr>
      <w:rFonts w:ascii="Arial" w:hAnsi="Arial"/>
      <w:noProof/>
    </w:rPr>
  </w:style>
  <w:style w:type="paragraph" w:styleId="Footer">
    <w:name w:val="footer"/>
    <w:basedOn w:val="Normal"/>
    <w:link w:val="FooterChar"/>
    <w:uiPriority w:val="99"/>
    <w:unhideWhenUsed/>
    <w:rsid w:val="008C0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6EF"/>
    <w:rPr>
      <w:rFonts w:ascii="Arial" w:hAnsi="Arial"/>
      <w:noProof/>
    </w:rPr>
  </w:style>
  <w:style w:type="character" w:styleId="UnresolvedMention">
    <w:name w:val="Unresolved Mention"/>
    <w:basedOn w:val="DefaultParagraphFont"/>
    <w:uiPriority w:val="99"/>
    <w:semiHidden/>
    <w:unhideWhenUsed/>
    <w:rsid w:val="008C06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hp.com/investors/annual-reporting" TargetMode="External"/><Relationship Id="rId18" Type="http://schemas.openxmlformats.org/officeDocument/2006/relationships/hyperlink" Target="https://www.worldbank.org/en/publication/state-and-trends-of-carbon-pricing"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dcceew.gov.au/climate-change/net-zero" TargetMode="External"/><Relationship Id="rId17" Type="http://schemas.openxmlformats.org/officeDocument/2006/relationships/hyperlink" Target="https://unfccc.int/process-and-meetings/the-paris-agreement" TargetMode="External"/><Relationship Id="rId2" Type="http://schemas.openxmlformats.org/officeDocument/2006/relationships/numbering" Target="numbering.xml"/><Relationship Id="rId16" Type="http://schemas.openxmlformats.org/officeDocument/2006/relationships/hyperlink" Target="https://www.iea.org/reports/the-role-of-critical-minerals-in-clean-energy-transition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taxation-customs.ec.europa.eu/carbon-border-adjustment-mechanism_e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bhp.com/sustainabilit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hp.com/sustainability/climate-chan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0E9089-C1EB-4FD9-97E9-29ED83791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3327</Words>
  <Characters>18969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Meetkumar Vasani</dc:creator>
  <cp:keywords/>
  <dc:description/>
  <cp:lastModifiedBy>Meetkumar Vasani</cp:lastModifiedBy>
  <cp:revision>2</cp:revision>
  <cp:lastPrinted>2026-07-22T05:43:00Z</cp:lastPrinted>
  <dcterms:created xsi:type="dcterms:W3CDTF">2026-07-24T07:34:00Z</dcterms:created>
  <dcterms:modified xsi:type="dcterms:W3CDTF">2026-07-24T07:34:00Z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a18dfe4c-7756-44e6-b854-e6a7764abfab</vt:lpwstr>
  </property>
</Properties>
</file>