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line="480" w:lineRule="auto"/>
        <w:jc w:val="center"/>
        <w:rPr>
          <w:rFonts w:ascii="Times New Roman" w:cs="Times New Roman" w:hAnsi="Times New Roman" w:eastAsia="Times New Roman"/>
          <w:sz w:val="24"/>
          <w:szCs w:val="24"/>
        </w:rPr>
      </w:pPr>
    </w:p>
    <w:p>
      <w:pPr>
        <w:pStyle w:val="Body"/>
        <w:spacing w:line="480" w:lineRule="auto"/>
        <w:jc w:val="center"/>
        <w:rPr>
          <w:rFonts w:ascii="Times New Roman" w:cs="Times New Roman" w:hAnsi="Times New Roman" w:eastAsia="Times New Roman"/>
          <w:sz w:val="24"/>
          <w:szCs w:val="24"/>
        </w:rPr>
      </w:pPr>
    </w:p>
    <w:tbl>
      <w:tblPr>
        <w:tblW w:w="5949"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2122"/>
        <w:gridCol w:w="3827"/>
      </w:tblGrid>
      <w:tr>
        <w:tblPrEx>
          <w:shd w:val="clear" w:color="auto" w:fill="cdd4e9"/>
        </w:tblPrEx>
        <w:trPr>
          <w:trHeight w:val="2015" w:hRule="atLeast"/>
        </w:trPr>
        <w:tc>
          <w:tcPr>
            <w:tcW w:type="dxa" w:w="21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spacing w:after="160" w:line="259" w:lineRule="auto"/>
              <w:ind w:left="0" w:right="0" w:firstLine="0"/>
              <w:jc w:val="left"/>
              <w:rPr>
                <w:rtl w:val="0"/>
              </w:rPr>
            </w:pPr>
            <w:r>
              <w:rPr>
                <w:rFonts w:ascii="Calibri" w:cs="Calibri" w:hAnsi="Calibri" w:eastAsia="Calibri"/>
                <w:sz w:val="22"/>
                <w:szCs w:val="22"/>
                <w:u w:color="000000"/>
                <w:rtl w:val="0"/>
                <w:lang w:val="en-US"/>
                <w14:textOutline w14:w="12700" w14:cap="flat">
                  <w14:noFill/>
                  <w14:miter w14:lim="400000"/>
                </w14:textOutline>
              </w:rPr>
              <w:drawing>
                <wp:inline distT="0" distB="0" distL="0" distR="0">
                  <wp:extent cx="904875" cy="1219200"/>
                  <wp:effectExtent l="0" t="0" r="0" b="0"/>
                  <wp:docPr id="1073741825" name="officeArt object" descr="image1.png"/>
                  <wp:cNvGraphicFramePr/>
                  <a:graphic xmlns:a="http://schemas.openxmlformats.org/drawingml/2006/main">
                    <a:graphicData uri="http://schemas.openxmlformats.org/drawingml/2006/picture">
                      <pic:pic xmlns:pic="http://schemas.openxmlformats.org/drawingml/2006/picture">
                        <pic:nvPicPr>
                          <pic:cNvPr id="1073741825" name="image1.png" descr="image1.png"/>
                          <pic:cNvPicPr>
                            <a:picLocks noChangeAspect="1"/>
                          </pic:cNvPicPr>
                        </pic:nvPicPr>
                        <pic:blipFill>
                          <a:blip r:embed="rId4">
                            <a:extLst/>
                          </a:blip>
                          <a:stretch>
                            <a:fillRect/>
                          </a:stretch>
                        </pic:blipFill>
                        <pic:spPr>
                          <a:xfrm>
                            <a:off x="0" y="0"/>
                            <a:ext cx="904875" cy="1219200"/>
                          </a:xfrm>
                          <a:prstGeom prst="rect">
                            <a:avLst/>
                          </a:prstGeom>
                          <a:ln w="12700" cap="flat">
                            <a:noFill/>
                            <a:miter lim="400000"/>
                          </a:ln>
                          <a:effectLst/>
                        </pic:spPr>
                      </pic:pic>
                    </a:graphicData>
                  </a:graphic>
                </wp:inline>
              </w:drawing>
            </w:r>
          </w:p>
        </w:tc>
        <w:tc>
          <w:tcPr>
            <w:tcW w:type="dxa" w:w="38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ind w:left="0" w:right="0" w:firstLine="0"/>
              <w:jc w:val="center"/>
              <w:rPr>
                <w:rFonts w:ascii="Times New Roman" w:cs="Times New Roman" w:hAnsi="Times New Roman" w:eastAsia="Times New Roman"/>
                <w:b w:val="1"/>
                <w:bCs w:val="1"/>
                <w:sz w:val="40"/>
                <w:szCs w:val="40"/>
                <w:u w:color="000000"/>
                <w:rtl w:val="0"/>
                <w:lang w:val="en-US"/>
                <w14:textOutline w14:w="12700" w14:cap="flat">
                  <w14:noFill/>
                  <w14:miter w14:lim="400000"/>
                </w14:textOutline>
              </w:rPr>
            </w:pPr>
          </w:p>
          <w:p>
            <w:pPr>
              <w:pStyle w:val="Default"/>
              <w:jc w:val="center"/>
              <w:rPr>
                <w:rFonts w:ascii="Times New Roman" w:cs="Times New Roman" w:hAnsi="Times New Roman" w:eastAsia="Times New Roman"/>
                <w:b w:val="1"/>
                <w:bCs w:val="1"/>
                <w:sz w:val="40"/>
                <w:szCs w:val="40"/>
                <w:u w:color="000000"/>
                <w14:textOutline w14:w="12700" w14:cap="flat">
                  <w14:noFill/>
                  <w14:miter w14:lim="400000"/>
                </w14:textOutline>
              </w:rPr>
            </w:pPr>
            <w:r>
              <w:rPr>
                <w:rFonts w:ascii="Times New Roman" w:hAnsi="Times New Roman"/>
                <w:b w:val="1"/>
                <w:bCs w:val="1"/>
                <w:sz w:val="40"/>
                <w:szCs w:val="40"/>
                <w:u w:color="000000"/>
                <w:rtl w:val="0"/>
                <w:lang w:val="en-US"/>
                <w14:textOutline w14:w="12700" w14:cap="flat">
                  <w14:noFill/>
                  <w14:miter w14:lim="400000"/>
                </w14:textOutline>
              </w:rPr>
              <w:t>University of Wales</w:t>
            </w:r>
          </w:p>
          <w:p>
            <w:pPr>
              <w:pStyle w:val="Default"/>
              <w:jc w:val="center"/>
            </w:pPr>
            <w:r>
              <w:rPr>
                <w:rFonts w:ascii="Times New Roman" w:hAnsi="Times New Roman"/>
                <w:b w:val="1"/>
                <w:bCs w:val="1"/>
                <w:sz w:val="40"/>
                <w:szCs w:val="40"/>
                <w:u w:color="000000"/>
                <w:rtl w:val="0"/>
                <w:lang w:val="en-US"/>
                <w14:textOutline w14:w="12700" w14:cap="flat">
                  <w14:noFill/>
                  <w14:miter w14:lim="400000"/>
                </w14:textOutline>
              </w:rPr>
              <w:t>Trinity Saint David</w:t>
            </w:r>
          </w:p>
        </w:tc>
      </w:tr>
    </w:tbl>
    <w:p>
      <w:pPr>
        <w:pStyle w:val="Body"/>
        <w:spacing w:line="480" w:lineRule="auto"/>
        <w:jc w:val="center"/>
        <w:rPr>
          <w:rFonts w:ascii="Times New Roman" w:cs="Times New Roman" w:hAnsi="Times New Roman" w:eastAsia="Times New Roman"/>
          <w:sz w:val="24"/>
          <w:szCs w:val="24"/>
        </w:rPr>
      </w:pPr>
    </w:p>
    <w:p>
      <w:pPr>
        <w:pStyle w:val="Body"/>
        <w:spacing w:line="240" w:lineRule="auto"/>
        <w:jc w:val="center"/>
        <w:rPr>
          <w:rFonts w:ascii="Times New Roman" w:cs="Times New Roman" w:hAnsi="Times New Roman" w:eastAsia="Times New Roman"/>
          <w:b w:val="1"/>
          <w:bCs w:val="1"/>
          <w:sz w:val="30"/>
          <w:szCs w:val="30"/>
        </w:rPr>
      </w:pPr>
    </w:p>
    <w:p>
      <w:pPr>
        <w:pStyle w:val="Body"/>
        <w:spacing w:line="240" w:lineRule="auto"/>
        <w:jc w:val="center"/>
        <w:rPr>
          <w:rFonts w:ascii="Times New Roman" w:cs="Times New Roman" w:hAnsi="Times New Roman" w:eastAsia="Times New Roman"/>
          <w:b w:val="1"/>
          <w:bCs w:val="1"/>
          <w:sz w:val="30"/>
          <w:szCs w:val="30"/>
        </w:rPr>
      </w:pPr>
    </w:p>
    <w:p>
      <w:pPr>
        <w:pStyle w:val="Body"/>
        <w:spacing w:line="240" w:lineRule="auto"/>
        <w:jc w:val="center"/>
        <w:rPr>
          <w:rFonts w:ascii="Times New Roman" w:cs="Times New Roman" w:hAnsi="Times New Roman" w:eastAsia="Times New Roman"/>
          <w:b w:val="1"/>
          <w:bCs w:val="1"/>
          <w:sz w:val="30"/>
          <w:szCs w:val="30"/>
        </w:rPr>
      </w:pPr>
      <w:r>
        <w:rPr>
          <w:rFonts w:ascii="Times New Roman" w:hAnsi="Times New Roman"/>
          <w:b w:val="1"/>
          <w:bCs w:val="1"/>
          <w:sz w:val="30"/>
          <w:szCs w:val="30"/>
          <w:rtl w:val="0"/>
          <w:lang w:val="en-US"/>
        </w:rPr>
        <w:t>BA Business Management</w:t>
      </w:r>
    </w:p>
    <w:p>
      <w:pPr>
        <w:pStyle w:val="Body"/>
        <w:spacing w:line="240" w:lineRule="auto"/>
        <w:jc w:val="center"/>
        <w:rPr>
          <w:rFonts w:ascii="Times New Roman" w:cs="Times New Roman" w:hAnsi="Times New Roman" w:eastAsia="Times New Roman"/>
          <w:sz w:val="24"/>
          <w:szCs w:val="24"/>
        </w:rPr>
      </w:pPr>
      <w:r>
        <w:rPr>
          <w:rFonts w:ascii="Times New Roman" w:hAnsi="Times New Roman"/>
          <w:b w:val="1"/>
          <w:bCs w:val="1"/>
          <w:sz w:val="30"/>
          <w:szCs w:val="30"/>
          <w:rtl w:val="0"/>
          <w:lang w:val="fr-FR"/>
        </w:rPr>
        <w:t>International Financial Management</w:t>
      </w:r>
      <w:r>
        <w:rPr>
          <w:rFonts w:ascii="Times New Roman" w:hAnsi="Times New Roman"/>
          <w:sz w:val="24"/>
          <w:szCs w:val="24"/>
          <w:rtl w:val="0"/>
        </w:rPr>
        <w:t xml:space="preserve"> </w:t>
      </w:r>
    </w:p>
    <w:p>
      <w:pPr>
        <w:pStyle w:val="Body"/>
        <w:spacing w:line="240" w:lineRule="auto"/>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Lecturer: Hossein Shokri </w:t>
      </w:r>
    </w:p>
    <w:p>
      <w:pPr>
        <w:pStyle w:val="Body"/>
        <w:spacing w:line="240" w:lineRule="auto"/>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MC:LCBB6002</w:t>
      </w:r>
    </w:p>
    <w:p>
      <w:pPr>
        <w:pStyle w:val="Body"/>
        <w:spacing w:line="480" w:lineRule="auto"/>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Assignment 1</w:t>
      </w:r>
    </w:p>
    <w:p>
      <w:pPr>
        <w:pStyle w:val="Body"/>
        <w:spacing w:line="480" w:lineRule="auto"/>
        <w:jc w:val="center"/>
        <w:rPr>
          <w:rFonts w:ascii="Times New Roman" w:cs="Times New Roman" w:hAnsi="Times New Roman" w:eastAsia="Times New Roman"/>
          <w:b w:val="1"/>
          <w:bCs w:val="1"/>
          <w:sz w:val="24"/>
          <w:szCs w:val="24"/>
        </w:rPr>
      </w:pPr>
      <w:r>
        <w:rPr>
          <w:rFonts w:ascii="Times New Roman" w:hAnsi="Times New Roman"/>
          <w:b w:val="1"/>
          <w:bCs w:val="1"/>
          <w:sz w:val="30"/>
          <w:szCs w:val="30"/>
          <w:rtl w:val="0"/>
          <w:lang w:val="en-US"/>
        </w:rPr>
        <w:t>Amazon Internal Financial Management</w:t>
      </w:r>
    </w:p>
    <w:p>
      <w:pPr>
        <w:pStyle w:val="Body"/>
        <w:spacing w:line="240" w:lineRule="auto"/>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A work of Petya Niklenova</w:t>
      </w:r>
    </w:p>
    <w:p>
      <w:pPr>
        <w:pStyle w:val="Body"/>
        <w:spacing w:line="480" w:lineRule="auto"/>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ID:1916916</w:t>
      </w:r>
    </w:p>
    <w:p>
      <w:pPr>
        <w:pStyle w:val="Body"/>
        <w:spacing w:line="240" w:lineRule="auto"/>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Date: 09/01/2023</w:t>
      </w:r>
    </w:p>
    <w:p>
      <w:pPr>
        <w:pStyle w:val="Body"/>
        <w:spacing w:line="480" w:lineRule="auto"/>
        <w:jc w:val="center"/>
        <w:rPr>
          <w:rFonts w:ascii="Times New Roman" w:cs="Times New Roman" w:hAnsi="Times New Roman" w:eastAsia="Times New Roman"/>
          <w:sz w:val="24"/>
          <w:szCs w:val="24"/>
        </w:rPr>
      </w:pPr>
    </w:p>
    <w:p>
      <w:pPr>
        <w:pStyle w:val="Body"/>
        <w:spacing w:line="480" w:lineRule="auto"/>
        <w:jc w:val="center"/>
        <w:rPr>
          <w:rFonts w:ascii="Times New Roman" w:cs="Times New Roman" w:hAnsi="Times New Roman" w:eastAsia="Times New Roman"/>
          <w:sz w:val="24"/>
          <w:szCs w:val="24"/>
        </w:rPr>
      </w:pPr>
    </w:p>
    <w:p>
      <w:pPr>
        <w:pStyle w:val="Body"/>
        <w:spacing w:line="480" w:lineRule="auto"/>
        <w:jc w:val="center"/>
        <w:rPr>
          <w:rFonts w:ascii="Times New Roman" w:cs="Times New Roman" w:hAnsi="Times New Roman" w:eastAsia="Times New Roman"/>
          <w:sz w:val="24"/>
          <w:szCs w:val="24"/>
        </w:rPr>
      </w:pPr>
    </w:p>
    <w:p>
      <w:pPr>
        <w:pStyle w:val="Body"/>
        <w:spacing w:line="480" w:lineRule="auto"/>
        <w:jc w:val="center"/>
        <w:rPr>
          <w:rFonts w:ascii="Times New Roman" w:cs="Times New Roman" w:hAnsi="Times New Roman" w:eastAsia="Times New Roman"/>
          <w:sz w:val="24"/>
          <w:szCs w:val="24"/>
        </w:rPr>
      </w:pPr>
    </w:p>
    <w:p>
      <w:pPr>
        <w:pStyle w:val="Body"/>
        <w:spacing w:line="480" w:lineRule="auto"/>
        <w:jc w:val="center"/>
        <w:rPr>
          <w:rFonts w:ascii="Times New Roman" w:cs="Times New Roman" w:hAnsi="Times New Roman" w:eastAsia="Times New Roman"/>
          <w:sz w:val="24"/>
          <w:szCs w:val="24"/>
        </w:rPr>
      </w:pPr>
    </w:p>
    <w:p>
      <w:pPr>
        <w:pStyle w:val="Body"/>
        <w:spacing w:line="480" w:lineRule="auto"/>
        <w:jc w:val="center"/>
        <w:rPr>
          <w:rFonts w:ascii="Times New Roman" w:cs="Times New Roman" w:hAnsi="Times New Roman" w:eastAsia="Times New Roman"/>
          <w:sz w:val="24"/>
          <w:szCs w:val="24"/>
        </w:rPr>
      </w:pPr>
    </w:p>
    <w:p>
      <w:pPr>
        <w:pStyle w:val="Body"/>
        <w:spacing w:line="480" w:lineRule="auto"/>
        <w:jc w:val="center"/>
        <w:rPr>
          <w:rFonts w:ascii="Times New Roman" w:cs="Times New Roman" w:hAnsi="Times New Roman" w:eastAsia="Times New Roman"/>
          <w:sz w:val="24"/>
          <w:szCs w:val="24"/>
        </w:rPr>
      </w:pPr>
    </w:p>
    <w:p>
      <w:pPr>
        <w:pStyle w:val="Body"/>
        <w:spacing w:line="480" w:lineRule="auto"/>
        <w:jc w:val="center"/>
        <w:rPr>
          <w:rFonts w:ascii="Times New Roman" w:cs="Times New Roman" w:hAnsi="Times New Roman" w:eastAsia="Times New Roman"/>
          <w:sz w:val="24"/>
          <w:szCs w:val="24"/>
        </w:rPr>
      </w:pPr>
    </w:p>
    <w:p>
      <w:pPr>
        <w:pStyle w:val="Body"/>
        <w:spacing w:line="480" w:lineRule="auto"/>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Evaluating the Importance of International Financial Management to Amazon</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International Financial Management (IFM) is becoming increasingly important for companies operating in a globalised economy. Amazon is no exception, as the company is now operating in a variety of different countries and regions across the world. In this analysis, we will be exploring the importance of IFM to Amazon, as well as discussing the challenges they may face in different international financial markets. By understanding the importance of IFM and the challenges Amazon faces, we can gain insight into how companies successfully operate on a global scale.</w:t>
      </w:r>
    </w:p>
    <w:p>
      <w:pPr>
        <w:pStyle w:val="Body"/>
        <w:spacing w:line="480" w:lineRule="auto"/>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The Importance of IFM to Amazon</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International financial management (IFM) plays a crucial role in the success of an </w:t>
      </w:r>
      <w:r>
        <w:rPr>
          <w:rFonts w:ascii="Times New Roman" w:hAnsi="Times New Roman"/>
          <w:sz w:val="24"/>
          <w:szCs w:val="24"/>
          <w:rtl w:val="0"/>
          <w:lang w:val="en-US"/>
        </w:rPr>
        <w:t>organisation</w:t>
      </w:r>
      <w:r>
        <w:rPr>
          <w:rFonts w:ascii="Times New Roman" w:hAnsi="Times New Roman"/>
          <w:sz w:val="24"/>
          <w:szCs w:val="24"/>
          <w:rtl w:val="0"/>
          <w:lang w:val="en-US"/>
        </w:rPr>
        <w:t>. It involves making decisions related to financing, investments, currency exchange, and cash flow management on a global scale (Umar, 2022). This is especially true for Amazon, which operates in over 200 countries and regions around the world.</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Given the nature of Amazon</w:t>
      </w:r>
      <w:r>
        <w:rPr>
          <w:rFonts w:ascii="Times New Roman" w:hAnsi="Times New Roman" w:hint="default"/>
          <w:sz w:val="24"/>
          <w:szCs w:val="24"/>
          <w:rtl w:val="0"/>
          <w:lang w:val="en-US"/>
        </w:rPr>
        <w:t>’</w:t>
      </w:r>
      <w:r>
        <w:rPr>
          <w:rFonts w:ascii="Times New Roman" w:hAnsi="Times New Roman"/>
          <w:sz w:val="24"/>
          <w:szCs w:val="24"/>
          <w:rtl w:val="0"/>
          <w:lang w:val="en-US"/>
        </w:rPr>
        <w:t xml:space="preserve">s international business operations, its IFM strategies are of paramount importance for its growth and survival. Without a comprehensive IFM strategy, it would be difficult for Amazon to navigate through the complexities of different international financial markets and to remain competitive. For example, Amazon needs to ensure that its currency exchange strategies are tailored to different markets in order to </w:t>
      </w:r>
      <w:r>
        <w:rPr>
          <w:rFonts w:ascii="Times New Roman" w:hAnsi="Times New Roman"/>
          <w:sz w:val="24"/>
          <w:szCs w:val="24"/>
          <w:rtl w:val="0"/>
          <w:lang w:val="en-US"/>
        </w:rPr>
        <w:t>maximise</w:t>
      </w:r>
      <w:r>
        <w:rPr>
          <w:rFonts w:ascii="Times New Roman" w:hAnsi="Times New Roman"/>
          <w:sz w:val="24"/>
          <w:szCs w:val="24"/>
          <w:rtl w:val="0"/>
          <w:lang w:val="en-US"/>
        </w:rPr>
        <w:t xml:space="preserve"> profits and </w:t>
      </w:r>
      <w:r>
        <w:rPr>
          <w:rFonts w:ascii="Times New Roman" w:hAnsi="Times New Roman"/>
          <w:sz w:val="24"/>
          <w:szCs w:val="24"/>
          <w:rtl w:val="0"/>
          <w:lang w:val="en-US"/>
        </w:rPr>
        <w:t>minimise</w:t>
      </w:r>
      <w:r>
        <w:rPr>
          <w:rFonts w:ascii="Times New Roman" w:hAnsi="Times New Roman"/>
          <w:sz w:val="24"/>
          <w:szCs w:val="24"/>
          <w:rtl w:val="0"/>
          <w:lang w:val="en-US"/>
        </w:rPr>
        <w:t xml:space="preserve"> losses due to currency fluctuations. Additionally, Amazon needs to be aware of the tax and legal regulations across different markets to avoid unnecessary penalties and losses (Ritala, Golnam and Wegmann, 2014). </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Apart from this, an effective IFM strategy helps Amazon manage its capital efficiently and </w:t>
      </w:r>
      <w:r>
        <w:rPr>
          <w:rFonts w:ascii="Times New Roman" w:hAnsi="Times New Roman"/>
          <w:sz w:val="24"/>
          <w:szCs w:val="24"/>
          <w:rtl w:val="0"/>
          <w:lang w:val="en-US"/>
        </w:rPr>
        <w:t>optimise</w:t>
      </w:r>
      <w:r>
        <w:rPr>
          <w:rFonts w:ascii="Times New Roman" w:hAnsi="Times New Roman"/>
          <w:sz w:val="24"/>
          <w:szCs w:val="24"/>
          <w:rtl w:val="0"/>
          <w:lang w:val="en-US"/>
        </w:rPr>
        <w:t xml:space="preserve"> its profits. It enables the company to identify the best sources of funds, whether they be equity or debt. By having an optimal mix of both, Amazon can minimise its cost of capital and maximise returns. Additionally, an IFM strategy allows Amazon to properly assess the risk associated with different investments and to select the most appropriate ones for its operations (Ritala, Golnam and Wegmann, 2014). </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An effective IFM strategy also helps Amazon manage its liquidity more efficiently. This means that it can access funds more quickly in times of need and avoid unnecessary losses due to cash flow problems. In short, effective IFM is essential for Amazon to remain competitive and successful in international financial markets.</w:t>
      </w:r>
    </w:p>
    <w:p>
      <w:pPr>
        <w:pStyle w:val="Body"/>
        <w:spacing w:line="480" w:lineRule="auto"/>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Use relevant international finance management theories and give empirical evidence to discuss the Challenges Faced by Amazon in Different IFM Markets</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International financial management (IFM) is an integral part of Amazon</w:t>
      </w:r>
      <w:r>
        <w:rPr>
          <w:rFonts w:ascii="Times New Roman" w:hAnsi="Times New Roman" w:hint="default"/>
          <w:sz w:val="24"/>
          <w:szCs w:val="24"/>
          <w:rtl w:val="0"/>
          <w:lang w:val="en-US"/>
        </w:rPr>
        <w:t>’</w:t>
      </w:r>
      <w:r>
        <w:rPr>
          <w:rFonts w:ascii="Times New Roman" w:hAnsi="Times New Roman"/>
          <w:sz w:val="24"/>
          <w:szCs w:val="24"/>
          <w:rtl w:val="0"/>
          <w:lang w:val="en-US"/>
        </w:rPr>
        <w:t>s operations. The company operates in a globalised environment and has to contend with an array of different economic conditions and regulations in different markets. This presents numerous challenges for Amazon, especially when it comes to IFM (Pinkwart et al., 2015). For instance, one of the biggest challenges facing Amazon is the volatile nature of exchange rates. Exchange rate fluctuations can have a significant impact on Amazon</w:t>
      </w:r>
      <w:r>
        <w:rPr>
          <w:rFonts w:ascii="Times New Roman" w:hAnsi="Times New Roman" w:hint="default"/>
          <w:sz w:val="24"/>
          <w:szCs w:val="24"/>
          <w:rtl w:val="0"/>
          <w:lang w:val="en-US"/>
        </w:rPr>
        <w:t>’</w:t>
      </w:r>
      <w:r>
        <w:rPr>
          <w:rFonts w:ascii="Times New Roman" w:hAnsi="Times New Roman"/>
          <w:sz w:val="24"/>
          <w:szCs w:val="24"/>
          <w:rtl w:val="0"/>
          <w:lang w:val="en-US"/>
        </w:rPr>
        <w:t>s profits as well as its ability to access funds from different countries. Exchange rate risk can also be significant, as fluctuations in the value of a currency can cause significant losses for a company if they are not appropriately managed. As such, Amazon must employ sophisticated hedging strategies to minimise its exposure to exchange rate risk (Pinarello et al., 2022).</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In addition, Amazon must also contend with foreign taxation laws and regulations. Different countries have different tax regimes, which can pose a challenge for Amazon when it comes to managing its finances. Furthermore, Amazon must also consider the implications of corporate taxation when operating in certain countries, as this can affect the company</w:t>
      </w:r>
      <w:r>
        <w:rPr>
          <w:rFonts w:ascii="Times New Roman" w:hAnsi="Times New Roman" w:hint="default"/>
          <w:sz w:val="24"/>
          <w:szCs w:val="24"/>
          <w:rtl w:val="0"/>
          <w:lang w:val="en-US"/>
        </w:rPr>
        <w:t>’</w:t>
      </w:r>
      <w:r>
        <w:rPr>
          <w:rFonts w:ascii="Times New Roman" w:hAnsi="Times New Roman"/>
          <w:sz w:val="24"/>
          <w:szCs w:val="24"/>
          <w:rtl w:val="0"/>
          <w:lang w:val="en-US"/>
        </w:rPr>
        <w:t>s profits and overall performance. The company also faces the challenge of navigating complex international banking regulations (Pinarello et al., 2022). For instance, many countries have strict capital controls that regulate how much capital can be moved between countries and what types of transactions are allowed. In order to ensure that Amazon is able to transfer funds effectively across different markets, the company must remain compliant with these regulations (Qureshi and Siddiqui, 2020).</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IFM is an important consideration for Amazon, and the company must remain </w:t>
      </w:r>
      <w:r>
        <w:rPr>
          <w:rFonts w:ascii="Times New Roman" w:hAnsi="Times New Roman"/>
          <w:sz w:val="24"/>
          <w:szCs w:val="24"/>
          <w:rtl w:val="0"/>
          <w:lang w:val="en-US"/>
        </w:rPr>
        <w:t>cognisant</w:t>
      </w:r>
      <w:r>
        <w:rPr>
          <w:rFonts w:ascii="Times New Roman" w:hAnsi="Times New Roman"/>
          <w:sz w:val="24"/>
          <w:szCs w:val="24"/>
          <w:rtl w:val="0"/>
          <w:lang w:val="en-US"/>
        </w:rPr>
        <w:t xml:space="preserve"> of the various challenges that it may face in different international financial markets. By understanding the complexities of IFM, Amazon can more effectively manage its finances and navigate its way through a highly competitive global marketplace.</w:t>
      </w:r>
    </w:p>
    <w:p>
      <w:pPr>
        <w:pStyle w:val="Body"/>
        <w:spacing w:line="480" w:lineRule="auto"/>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Critically analyse and evaluate Amazon</w:t>
      </w:r>
      <w:r>
        <w:rPr>
          <w:rFonts w:ascii="Times New Roman" w:hAnsi="Times New Roman" w:hint="default"/>
          <w:b w:val="1"/>
          <w:bCs w:val="1"/>
          <w:sz w:val="24"/>
          <w:szCs w:val="24"/>
          <w:rtl w:val="0"/>
          <w:lang w:val="en-US"/>
        </w:rPr>
        <w:t>’</w:t>
      </w:r>
      <w:r>
        <w:rPr>
          <w:rFonts w:ascii="Times New Roman" w:hAnsi="Times New Roman"/>
          <w:b w:val="1"/>
          <w:bCs w:val="1"/>
          <w:sz w:val="24"/>
          <w:szCs w:val="24"/>
          <w:rtl w:val="0"/>
          <w:lang w:val="en-US"/>
        </w:rPr>
        <w:t>s dividend distribution policy</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When it comes to international financial management, dividend distribution is an important part of a company</w:t>
      </w:r>
      <w:r>
        <w:rPr>
          <w:rFonts w:ascii="Times New Roman" w:hAnsi="Times New Roman" w:hint="default"/>
          <w:sz w:val="24"/>
          <w:szCs w:val="24"/>
          <w:rtl w:val="0"/>
          <w:lang w:val="en-US"/>
        </w:rPr>
        <w:t>’</w:t>
      </w:r>
      <w:r>
        <w:rPr>
          <w:rFonts w:ascii="Times New Roman" w:hAnsi="Times New Roman"/>
          <w:sz w:val="24"/>
          <w:szCs w:val="24"/>
          <w:rtl w:val="0"/>
          <w:lang w:val="en-US"/>
        </w:rPr>
        <w:t>s overall financial strategy. Companies such as Amazon must be able to effectively assess the risks associated with dividend distribution and make sure that their payout policies are in line with shareholder expectations. For Amazon, dividend distribution has been part of their financial strategy since 1997. In recent years, Amazon has increased its dividend payments considerably, reaching a high of $3.5 billion in 2019 (Gao, n.d.). Amazon</w:t>
      </w:r>
      <w:r>
        <w:rPr>
          <w:rFonts w:ascii="Times New Roman" w:hAnsi="Times New Roman" w:hint="default"/>
          <w:sz w:val="24"/>
          <w:szCs w:val="24"/>
          <w:rtl w:val="0"/>
          <w:lang w:val="en-US"/>
        </w:rPr>
        <w:t>’</w:t>
      </w:r>
      <w:r>
        <w:rPr>
          <w:rFonts w:ascii="Times New Roman" w:hAnsi="Times New Roman"/>
          <w:sz w:val="24"/>
          <w:szCs w:val="24"/>
          <w:rtl w:val="0"/>
          <w:lang w:val="en-US"/>
        </w:rPr>
        <w:t>s dividend payout policy is based on the company</w:t>
      </w:r>
      <w:r>
        <w:rPr>
          <w:rFonts w:ascii="Times New Roman" w:hAnsi="Times New Roman" w:hint="default"/>
          <w:sz w:val="24"/>
          <w:szCs w:val="24"/>
          <w:rtl w:val="0"/>
          <w:lang w:val="en-US"/>
        </w:rPr>
        <w:t>’</w:t>
      </w:r>
      <w:r>
        <w:rPr>
          <w:rFonts w:ascii="Times New Roman" w:hAnsi="Times New Roman"/>
          <w:sz w:val="24"/>
          <w:szCs w:val="24"/>
          <w:rtl w:val="0"/>
          <w:lang w:val="en-US"/>
        </w:rPr>
        <w:t>s free cash flow and is designed to reward shareholders while still allowing Amazon to reinvest profits in its operations.</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When analysing Amazon</w:t>
      </w:r>
      <w:r>
        <w:rPr>
          <w:rFonts w:ascii="Times New Roman" w:hAnsi="Times New Roman" w:hint="default"/>
          <w:sz w:val="24"/>
          <w:szCs w:val="24"/>
          <w:rtl w:val="0"/>
          <w:lang w:val="en-US"/>
        </w:rPr>
        <w:t>’</w:t>
      </w:r>
      <w:r>
        <w:rPr>
          <w:rFonts w:ascii="Times New Roman" w:hAnsi="Times New Roman"/>
          <w:sz w:val="24"/>
          <w:szCs w:val="24"/>
          <w:rtl w:val="0"/>
          <w:lang w:val="en-US"/>
        </w:rPr>
        <w:t>s dividend policy, it is important to consider both the positive and negative aspects. On one hand, by rewarding shareholders with dividend payments, Amazon has been able to attract and retain investor confidence. This has been beneficial for the company in terms of capitalising on global opportunities. On the other hand, by relying heavily on dividends for shareholder returns, Amazon is vulnerable to fluctuations in its cash flow or global markets. Additionally, this could limit Amazon</w:t>
      </w:r>
      <w:r>
        <w:rPr>
          <w:rFonts w:ascii="Times New Roman" w:hAnsi="Times New Roman" w:hint="default"/>
          <w:sz w:val="24"/>
          <w:szCs w:val="24"/>
          <w:rtl w:val="0"/>
          <w:lang w:val="en-US"/>
        </w:rPr>
        <w:t>’</w:t>
      </w:r>
      <w:r>
        <w:rPr>
          <w:rFonts w:ascii="Times New Roman" w:hAnsi="Times New Roman"/>
          <w:sz w:val="24"/>
          <w:szCs w:val="24"/>
          <w:rtl w:val="0"/>
          <w:lang w:val="en-US"/>
        </w:rPr>
        <w:t>s ability to invest in research and development or other capital projects if cash flow becomes too low (Qin, Hassan and Adhikariparajuli, 2022).</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it-IT"/>
        </w:rPr>
        <w:t>In conclusion, Amazon</w:t>
      </w:r>
      <w:r>
        <w:rPr>
          <w:rFonts w:ascii="Times New Roman" w:hAnsi="Times New Roman" w:hint="default"/>
          <w:sz w:val="24"/>
          <w:szCs w:val="24"/>
          <w:rtl w:val="0"/>
          <w:lang w:val="en-US"/>
        </w:rPr>
        <w:t>’</w:t>
      </w:r>
      <w:r>
        <w:rPr>
          <w:rFonts w:ascii="Times New Roman" w:hAnsi="Times New Roman"/>
          <w:sz w:val="24"/>
          <w:szCs w:val="24"/>
          <w:rtl w:val="0"/>
          <w:lang w:val="en-US"/>
        </w:rPr>
        <w:t>s dividend policy appears to have been a successful tool for attracting investors and retaining their confidence. However, the company must remain aware of the risks associated with relying heavily on dividend distributions and ensure that they are not sacrificing long-term opportunities in exchange for short-term gains.</w:t>
      </w:r>
    </w:p>
    <w:p>
      <w:pPr>
        <w:pStyle w:val="Body"/>
        <w:spacing w:line="480" w:lineRule="auto"/>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Critically analyse the efficient market hypothesis theory in the context of Amazon</w:t>
      </w:r>
      <w:r>
        <w:rPr>
          <w:rFonts w:ascii="Times New Roman" w:hAnsi="Times New Roman" w:hint="default"/>
          <w:b w:val="1"/>
          <w:bCs w:val="1"/>
          <w:sz w:val="24"/>
          <w:szCs w:val="24"/>
          <w:rtl w:val="0"/>
          <w:lang w:val="en-US"/>
        </w:rPr>
        <w:t>’</w:t>
      </w:r>
      <w:r>
        <w:rPr>
          <w:rFonts w:ascii="Times New Roman" w:hAnsi="Times New Roman"/>
          <w:b w:val="1"/>
          <w:bCs w:val="1"/>
          <w:sz w:val="24"/>
          <w:szCs w:val="24"/>
          <w:rtl w:val="0"/>
          <w:lang w:val="en-US"/>
        </w:rPr>
        <w:t>s operations</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The Efficient Market Hypothesis (EMH) is an important theory within the field of international financial management. It states that security prices fully reflect all available information and are not affected by any external factors. In other words, it suggests that the price of a security reflects its true value and it is impossible to "beat the market" (Berg, Davidson and Potts, 2019). As such, it can be used to evaluate the operations of Amazon from an international financial management perspective. </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Amazon, like many other large companies, is subject to global economic conditions which affect their operations. The company relies on efficient capital markets for funds to finance expansion into new markets, including foreign countries. The ability to access capital efficiently is essential for Amazon</w:t>
      </w:r>
      <w:r>
        <w:rPr>
          <w:rFonts w:ascii="Times New Roman" w:hAnsi="Times New Roman" w:hint="default"/>
          <w:sz w:val="24"/>
          <w:szCs w:val="24"/>
          <w:rtl w:val="0"/>
          <w:lang w:val="en-US"/>
        </w:rPr>
        <w:t>’</w:t>
      </w:r>
      <w:r>
        <w:rPr>
          <w:rFonts w:ascii="Times New Roman" w:hAnsi="Times New Roman"/>
          <w:sz w:val="24"/>
          <w:szCs w:val="24"/>
          <w:rtl w:val="0"/>
          <w:lang w:val="en-US"/>
        </w:rPr>
        <w:t>s success in the global market (Berg, Davidson and Potts, 2019). Thus, a critical analysis of Amazon</w:t>
      </w:r>
      <w:r>
        <w:rPr>
          <w:rFonts w:ascii="Times New Roman" w:hAnsi="Times New Roman" w:hint="default"/>
          <w:sz w:val="24"/>
          <w:szCs w:val="24"/>
          <w:rtl w:val="0"/>
          <w:lang w:val="en-US"/>
        </w:rPr>
        <w:t>’</w:t>
      </w:r>
      <w:r>
        <w:rPr>
          <w:rFonts w:ascii="Times New Roman" w:hAnsi="Times New Roman"/>
          <w:sz w:val="24"/>
          <w:szCs w:val="24"/>
          <w:rtl w:val="0"/>
          <w:lang w:val="en-US"/>
        </w:rPr>
        <w:t>s operations through the lens of EMH can provide valuable insights into the company</w:t>
      </w:r>
      <w:r>
        <w:rPr>
          <w:rFonts w:ascii="Times New Roman" w:hAnsi="Times New Roman" w:hint="default"/>
          <w:sz w:val="24"/>
          <w:szCs w:val="24"/>
          <w:rtl w:val="0"/>
          <w:lang w:val="en-US"/>
        </w:rPr>
        <w:t>’</w:t>
      </w:r>
      <w:r>
        <w:rPr>
          <w:rFonts w:ascii="Times New Roman" w:hAnsi="Times New Roman"/>
          <w:sz w:val="24"/>
          <w:szCs w:val="24"/>
          <w:rtl w:val="0"/>
          <w:lang w:val="en-US"/>
        </w:rPr>
        <w:t xml:space="preserve">s strategy and performance. </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rPr>
        <w:t>Amazon</w:t>
      </w:r>
      <w:r>
        <w:rPr>
          <w:rFonts w:ascii="Times New Roman" w:hAnsi="Times New Roman" w:hint="default"/>
          <w:sz w:val="24"/>
          <w:szCs w:val="24"/>
          <w:rtl w:val="0"/>
          <w:lang w:val="en-US"/>
        </w:rPr>
        <w:t>’</w:t>
      </w:r>
      <w:r>
        <w:rPr>
          <w:rFonts w:ascii="Times New Roman" w:hAnsi="Times New Roman"/>
          <w:sz w:val="24"/>
          <w:szCs w:val="24"/>
          <w:rtl w:val="0"/>
          <w:lang w:val="en-US"/>
        </w:rPr>
        <w:t>s stock price is often seen as an indicator of the company</w:t>
      </w:r>
      <w:r>
        <w:rPr>
          <w:rFonts w:ascii="Times New Roman" w:hAnsi="Times New Roman" w:hint="default"/>
          <w:sz w:val="24"/>
          <w:szCs w:val="24"/>
          <w:rtl w:val="0"/>
          <w:lang w:val="en-US"/>
        </w:rPr>
        <w:t>’</w:t>
      </w:r>
      <w:r>
        <w:rPr>
          <w:rFonts w:ascii="Times New Roman" w:hAnsi="Times New Roman"/>
          <w:sz w:val="24"/>
          <w:szCs w:val="24"/>
          <w:rtl w:val="0"/>
          <w:lang w:val="en-US"/>
        </w:rPr>
        <w:t>s performance and market sentiment. The share price reflects the perception of potential investors, who base their decisions on the available information about the company. As such, the EMH could be used to evaluate how accurately the stock price reflects Amazon</w:t>
      </w:r>
      <w:r>
        <w:rPr>
          <w:rFonts w:ascii="Times New Roman" w:hAnsi="Times New Roman" w:hint="default"/>
          <w:sz w:val="24"/>
          <w:szCs w:val="24"/>
          <w:rtl w:val="0"/>
          <w:lang w:val="en-US"/>
        </w:rPr>
        <w:t>’</w:t>
      </w:r>
      <w:r>
        <w:rPr>
          <w:rFonts w:ascii="Times New Roman" w:hAnsi="Times New Roman"/>
          <w:sz w:val="24"/>
          <w:szCs w:val="24"/>
          <w:rtl w:val="0"/>
          <w:lang w:val="en-US"/>
        </w:rPr>
        <w:t xml:space="preserve">s current and future performance. If the stock price is higher than expected or lower than expected, this may indicate an inefficient market or a misallocation of resources (Patil et al., 2020). </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In addition, Amazon</w:t>
      </w:r>
      <w:r>
        <w:rPr>
          <w:rFonts w:ascii="Times New Roman" w:hAnsi="Times New Roman" w:hint="default"/>
          <w:sz w:val="24"/>
          <w:szCs w:val="24"/>
          <w:rtl w:val="0"/>
          <w:lang w:val="en-US"/>
        </w:rPr>
        <w:t>’</w:t>
      </w:r>
      <w:r>
        <w:rPr>
          <w:rFonts w:ascii="Times New Roman" w:hAnsi="Times New Roman"/>
          <w:sz w:val="24"/>
          <w:szCs w:val="24"/>
          <w:rtl w:val="0"/>
          <w:lang w:val="en-US"/>
        </w:rPr>
        <w:t>s operations involve a great deal of international risk management, including currency hedging, foreign exchange rate fluctuations, and economic shocks. The EMH theory can be used to evaluate Amazon</w:t>
      </w:r>
      <w:r>
        <w:rPr>
          <w:rFonts w:ascii="Times New Roman" w:hAnsi="Times New Roman" w:hint="default"/>
          <w:sz w:val="24"/>
          <w:szCs w:val="24"/>
          <w:rtl w:val="0"/>
          <w:lang w:val="en-US"/>
        </w:rPr>
        <w:t>’</w:t>
      </w:r>
      <w:r>
        <w:rPr>
          <w:rFonts w:ascii="Times New Roman" w:hAnsi="Times New Roman"/>
          <w:sz w:val="24"/>
          <w:szCs w:val="24"/>
          <w:rtl w:val="0"/>
          <w:lang w:val="en-US"/>
        </w:rPr>
        <w:t xml:space="preserve">s ability to effectively manage these risks and optimize its investments for maximum returns (Patil et al., 2020). This can be done by </w:t>
      </w:r>
      <w:r>
        <w:rPr>
          <w:rFonts w:ascii="Times New Roman" w:hAnsi="Times New Roman"/>
          <w:sz w:val="24"/>
          <w:szCs w:val="24"/>
          <w:rtl w:val="0"/>
          <w:lang w:val="en-US"/>
        </w:rPr>
        <w:t>analysing</w:t>
      </w:r>
      <w:r>
        <w:rPr>
          <w:rFonts w:ascii="Times New Roman" w:hAnsi="Times New Roman"/>
          <w:sz w:val="24"/>
          <w:szCs w:val="24"/>
          <w:rtl w:val="0"/>
          <w:lang w:val="en-US"/>
        </w:rPr>
        <w:t xml:space="preserve"> the relationship between changes in the stock price and fluctuations in macroeconomic indicators such as inflation and interest rates. </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Overall, a critical evaluation of the EMH theory in the context of Amazon</w:t>
      </w:r>
      <w:r>
        <w:rPr>
          <w:rFonts w:ascii="Times New Roman" w:hAnsi="Times New Roman" w:hint="default"/>
          <w:sz w:val="24"/>
          <w:szCs w:val="24"/>
          <w:rtl w:val="0"/>
          <w:lang w:val="en-US"/>
        </w:rPr>
        <w:t>’</w:t>
      </w:r>
      <w:r>
        <w:rPr>
          <w:rFonts w:ascii="Times New Roman" w:hAnsi="Times New Roman"/>
          <w:sz w:val="24"/>
          <w:szCs w:val="24"/>
          <w:rtl w:val="0"/>
          <w:lang w:val="en-US"/>
        </w:rPr>
        <w:t>s operations provides valuable insights into the company</w:t>
      </w:r>
      <w:r>
        <w:rPr>
          <w:rFonts w:ascii="Times New Roman" w:hAnsi="Times New Roman" w:hint="default"/>
          <w:sz w:val="24"/>
          <w:szCs w:val="24"/>
          <w:rtl w:val="0"/>
          <w:lang w:val="en-US"/>
        </w:rPr>
        <w:t>’</w:t>
      </w:r>
      <w:r>
        <w:rPr>
          <w:rFonts w:ascii="Times New Roman" w:hAnsi="Times New Roman"/>
          <w:sz w:val="24"/>
          <w:szCs w:val="24"/>
          <w:rtl w:val="0"/>
          <w:lang w:val="en-US"/>
        </w:rPr>
        <w:t>s performance and strategy. By understanding the dynamics of efficient markets and how they affect Amazon</w:t>
      </w:r>
      <w:r>
        <w:rPr>
          <w:rFonts w:ascii="Times New Roman" w:hAnsi="Times New Roman" w:hint="default"/>
          <w:sz w:val="24"/>
          <w:szCs w:val="24"/>
          <w:rtl w:val="0"/>
          <w:lang w:val="en-US"/>
        </w:rPr>
        <w:t>’</w:t>
      </w:r>
      <w:r>
        <w:rPr>
          <w:rFonts w:ascii="Times New Roman" w:hAnsi="Times New Roman"/>
          <w:sz w:val="24"/>
          <w:szCs w:val="24"/>
          <w:rtl w:val="0"/>
          <w:lang w:val="en-US"/>
        </w:rPr>
        <w:t>s decisions and investments, investors and stakeholders can make more informed decisions about their involvement with the company.</w:t>
      </w:r>
    </w:p>
    <w:p>
      <w:pPr>
        <w:pStyle w:val="Body"/>
        <w:spacing w:line="480" w:lineRule="auto"/>
        <w:ind w:firstLine="720"/>
        <w:rPr>
          <w:rFonts w:ascii="Times New Roman" w:cs="Times New Roman" w:hAnsi="Times New Roman" w:eastAsia="Times New Roman"/>
          <w:sz w:val="24"/>
          <w:szCs w:val="24"/>
        </w:rPr>
      </w:pPr>
    </w:p>
    <w:p>
      <w:pPr>
        <w:pStyle w:val="Body"/>
        <w:spacing w:line="480" w:lineRule="auto"/>
        <w:ind w:firstLine="720"/>
        <w:rPr>
          <w:rFonts w:ascii="Times New Roman" w:cs="Times New Roman" w:hAnsi="Times New Roman" w:eastAsia="Times New Roman"/>
          <w:sz w:val="24"/>
          <w:szCs w:val="24"/>
        </w:rPr>
      </w:pPr>
    </w:p>
    <w:p>
      <w:pPr>
        <w:pStyle w:val="Body"/>
        <w:spacing w:line="480" w:lineRule="auto"/>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Critically analyse and evaluate Amazon</w:t>
      </w:r>
      <w:r>
        <w:rPr>
          <w:rFonts w:ascii="Times New Roman" w:hAnsi="Times New Roman" w:hint="default"/>
          <w:b w:val="1"/>
          <w:bCs w:val="1"/>
          <w:sz w:val="24"/>
          <w:szCs w:val="24"/>
          <w:rtl w:val="0"/>
          <w:lang w:val="en-US"/>
        </w:rPr>
        <w:t>’</w:t>
      </w:r>
      <w:r>
        <w:rPr>
          <w:rFonts w:ascii="Times New Roman" w:hAnsi="Times New Roman"/>
          <w:b w:val="1"/>
          <w:bCs w:val="1"/>
          <w:sz w:val="24"/>
          <w:szCs w:val="24"/>
          <w:rtl w:val="0"/>
          <w:lang w:val="en-US"/>
        </w:rPr>
        <w:t>s methods of appraising projects</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Appraising projects is a critical part of Amazon</w:t>
      </w:r>
      <w:r>
        <w:rPr>
          <w:rFonts w:ascii="Times New Roman" w:hAnsi="Times New Roman" w:hint="default"/>
          <w:sz w:val="24"/>
          <w:szCs w:val="24"/>
          <w:rtl w:val="0"/>
          <w:lang w:val="en-US"/>
        </w:rPr>
        <w:t>’</w:t>
      </w:r>
      <w:r>
        <w:rPr>
          <w:rFonts w:ascii="Times New Roman" w:hAnsi="Times New Roman"/>
          <w:sz w:val="24"/>
          <w:szCs w:val="24"/>
          <w:rtl w:val="0"/>
          <w:lang w:val="en-US"/>
        </w:rPr>
        <w:t>s international financial management (IFM) strategy. In order to ensure the success of any international financial venture, Amazon must be able to accurately assess the risks and returns associated with the project. Amazon uses both internal and external sources to evaluate the potential of its international investments (Umar, 2022).</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Amazon primarily uses internal evaluation techniques such as cost-benefit analysis, sensitivity analysis, and break-even analysis. Cost-benefit analysis compares the costs of a project against its expected benefits, while sensitivity analysis is used to determine how changes in external factors will affect the project</w:t>
      </w:r>
      <w:r>
        <w:rPr>
          <w:rFonts w:ascii="Times New Roman" w:hAnsi="Times New Roman" w:hint="default"/>
          <w:sz w:val="24"/>
          <w:szCs w:val="24"/>
          <w:rtl w:val="0"/>
          <w:lang w:val="en-US"/>
        </w:rPr>
        <w:t>’</w:t>
      </w:r>
      <w:r>
        <w:rPr>
          <w:rFonts w:ascii="Times New Roman" w:hAnsi="Times New Roman"/>
          <w:sz w:val="24"/>
          <w:szCs w:val="24"/>
          <w:rtl w:val="0"/>
          <w:lang w:val="en-US"/>
        </w:rPr>
        <w:t>s expected outcomes. Break-even analysis is used to determine when a project will become profitable (Nguyen Jr, 2019). Amazon also uses external sources such as market research and competitor analysis to evaluate potential projects. Market research involves gathering information about a potential project</w:t>
      </w:r>
      <w:r>
        <w:rPr>
          <w:rFonts w:ascii="Times New Roman" w:hAnsi="Times New Roman" w:hint="default"/>
          <w:sz w:val="24"/>
          <w:szCs w:val="24"/>
          <w:rtl w:val="0"/>
          <w:lang w:val="en-US"/>
        </w:rPr>
        <w:t>’</w:t>
      </w:r>
      <w:r>
        <w:rPr>
          <w:rFonts w:ascii="Times New Roman" w:hAnsi="Times New Roman"/>
          <w:sz w:val="24"/>
          <w:szCs w:val="24"/>
          <w:rtl w:val="0"/>
          <w:lang w:val="en-US"/>
        </w:rPr>
        <w:t>s target markets, while competitor analysis helps Amazon understand the strengths and weaknesses of its competitors in a particular market (Nguyen Jr, 2019).</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These methods help Amazon assess the potential profitability of its international investments. By critically evaluating the risks and returns associated with different projects, Amazon can make informed decisions about which investments will yield the highest returns for the company. Furthermore, by gathering external data about markets and competitors, Amazon can gain valuable insights into how to best position itself in each of its international markets (Umar, 2022).</w:t>
      </w:r>
    </w:p>
    <w:p>
      <w:pPr>
        <w:pStyle w:val="Body"/>
        <w:spacing w:line="480" w:lineRule="auto"/>
        <w:ind w:firstLine="720"/>
        <w:rPr>
          <w:rFonts w:ascii="Times New Roman" w:cs="Times New Roman" w:hAnsi="Times New Roman" w:eastAsia="Times New Roman"/>
          <w:sz w:val="24"/>
          <w:szCs w:val="24"/>
        </w:rPr>
      </w:pPr>
    </w:p>
    <w:p>
      <w:pPr>
        <w:pStyle w:val="Body"/>
        <w:spacing w:line="480" w:lineRule="auto"/>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it-IT"/>
        </w:rPr>
        <w:t>Conclusion</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International Financial Management (IFM) is a crucial element for Amazon</w:t>
      </w:r>
      <w:r>
        <w:rPr>
          <w:rFonts w:ascii="Times New Roman" w:hAnsi="Times New Roman" w:hint="default"/>
          <w:sz w:val="24"/>
          <w:szCs w:val="24"/>
          <w:rtl w:val="0"/>
          <w:lang w:val="en-US"/>
        </w:rPr>
        <w:t>’</w:t>
      </w:r>
      <w:r>
        <w:rPr>
          <w:rFonts w:ascii="Times New Roman" w:hAnsi="Times New Roman"/>
          <w:sz w:val="24"/>
          <w:szCs w:val="24"/>
          <w:rtl w:val="0"/>
          <w:lang w:val="en-US"/>
        </w:rPr>
        <w:t>s operations as it helps the company to identify, assess, and manage financial risks across its global markets. This requires that Amazon evaluates and applies different theories of finance management, such as efficient market hypothesis theory, to ensure profitability and growth. Additionally, Amazon must consider other factors such as dividend distributions when making decisions. Through this analysis, it is evident that international financial management is essential to Amazon</w:t>
      </w:r>
      <w:r>
        <w:rPr>
          <w:rFonts w:ascii="Times New Roman" w:hAnsi="Times New Roman" w:hint="default"/>
          <w:sz w:val="24"/>
          <w:szCs w:val="24"/>
          <w:rtl w:val="0"/>
          <w:lang w:val="en-US"/>
        </w:rPr>
        <w:t>’</w:t>
      </w:r>
      <w:r>
        <w:rPr>
          <w:rFonts w:ascii="Times New Roman" w:hAnsi="Times New Roman"/>
          <w:sz w:val="24"/>
          <w:szCs w:val="24"/>
          <w:rtl w:val="0"/>
          <w:lang w:val="en-US"/>
        </w:rPr>
        <w:t>s operations and it has helped the company maintain its competitive advantage in a highly competitive market. Although there are certain challenges that Amazon may face in different international financial markets, the company has been able to successfully navigate them and continue to remain a leader in its industry.</w:t>
      </w:r>
    </w:p>
    <w:p>
      <w:pPr>
        <w:pStyle w:val="Body"/>
        <w:spacing w:line="480" w:lineRule="auto"/>
      </w:pPr>
      <w:r>
        <w:rPr>
          <w:rFonts w:ascii="Arial Unicode MS" w:cs="Arial Unicode MS" w:hAnsi="Arial Unicode MS" w:eastAsia="Arial Unicode MS"/>
          <w:b w:val="0"/>
          <w:bCs w:val="0"/>
          <w:i w:val="0"/>
          <w:iCs w:val="0"/>
          <w:sz w:val="24"/>
          <w:szCs w:val="24"/>
        </w:rPr>
        <w:br w:type="page"/>
      </w:r>
    </w:p>
    <w:p>
      <w:pPr>
        <w:pStyle w:val="Body"/>
        <w:spacing w:line="480" w:lineRule="auto"/>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fr-FR"/>
        </w:rPr>
        <w:t>References</w:t>
      </w:r>
    </w:p>
    <w:p>
      <w:pPr>
        <w:pStyle w:val="Body"/>
        <w:spacing w:after="0"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 xml:space="preserve">Berg, C., Davidson, S. and Potts, J., 2019. Blockchain technology as economic infrastructure: Revisiting the electronic markets hypothesis. </w:t>
      </w:r>
      <w:r>
        <w:rPr>
          <w:rFonts w:ascii="Times New Roman" w:hAnsi="Times New Roman"/>
          <w:i w:val="1"/>
          <w:iCs w:val="1"/>
          <w:sz w:val="24"/>
          <w:szCs w:val="24"/>
          <w:rtl w:val="0"/>
          <w:lang w:val="fr-FR"/>
        </w:rPr>
        <w:t>Frontiers in Blockchain</w:t>
      </w:r>
      <w:r>
        <w:rPr>
          <w:rFonts w:ascii="Times New Roman" w:hAnsi="Times New Roman"/>
          <w:sz w:val="24"/>
          <w:szCs w:val="24"/>
          <w:rtl w:val="0"/>
        </w:rPr>
        <w:t xml:space="preserve">, </w:t>
      </w:r>
      <w:r>
        <w:rPr>
          <w:rFonts w:ascii="Times New Roman" w:hAnsi="Times New Roman"/>
          <w:i w:val="1"/>
          <w:iCs w:val="1"/>
          <w:sz w:val="24"/>
          <w:szCs w:val="24"/>
          <w:rtl w:val="0"/>
        </w:rPr>
        <w:t>2</w:t>
      </w:r>
      <w:r>
        <w:rPr>
          <w:rFonts w:ascii="Times New Roman" w:hAnsi="Times New Roman"/>
          <w:sz w:val="24"/>
          <w:szCs w:val="24"/>
          <w:rtl w:val="0"/>
        </w:rPr>
        <w:t>, p.22.</w:t>
      </w:r>
    </w:p>
    <w:p>
      <w:pPr>
        <w:pStyle w:val="Body"/>
        <w:spacing w:after="0"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Gao, Y., The Investment Analysis of Microsoft, Apple and Amazon Based on Multi-indexes Evaluation.</w:t>
      </w:r>
    </w:p>
    <w:p>
      <w:pPr>
        <w:pStyle w:val="Body"/>
        <w:spacing w:after="0"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Nguyen Jr, O., 2019. Setting Up an Online Store on Amazon UK. Case Company: Finarte Oy.</w:t>
      </w:r>
    </w:p>
    <w:p>
      <w:pPr>
        <w:pStyle w:val="Body"/>
        <w:spacing w:after="0"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 xml:space="preserve">Patil, P., Wu, C.S.M., Potika, K. and Orang, M., 2020, January. Stock market prediction using ensemble of graph theory, machine learning and deep learning models. In </w:t>
      </w:r>
      <w:r>
        <w:rPr>
          <w:rFonts w:ascii="Times New Roman" w:hAnsi="Times New Roman"/>
          <w:i w:val="1"/>
          <w:iCs w:val="1"/>
          <w:sz w:val="24"/>
          <w:szCs w:val="24"/>
          <w:rtl w:val="0"/>
          <w:lang w:val="en-US"/>
        </w:rPr>
        <w:t>Proceedings of the 3rd International Conference on Software Engineering and Information Management</w:t>
      </w:r>
      <w:r>
        <w:rPr>
          <w:rFonts w:ascii="Times New Roman" w:hAnsi="Times New Roman"/>
          <w:sz w:val="24"/>
          <w:szCs w:val="24"/>
          <w:rtl w:val="0"/>
        </w:rPr>
        <w:t xml:space="preserve"> (pp. 85-92).</w:t>
      </w:r>
    </w:p>
    <w:p>
      <w:pPr>
        <w:pStyle w:val="Body"/>
        <w:spacing w:after="0"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 xml:space="preserve">Pinarello, G., Trabucchi, D., Frattini, F. and Manfredi Latilla, V., 2022. How firms use inbound Open Innovation practices over time: evidence from an exploratory multiple case study analysis. </w:t>
      </w:r>
      <w:r>
        <w:rPr>
          <w:rFonts w:ascii="Times New Roman" w:hAnsi="Times New Roman"/>
          <w:i w:val="1"/>
          <w:iCs w:val="1"/>
          <w:sz w:val="24"/>
          <w:szCs w:val="24"/>
          <w:rtl w:val="0"/>
          <w:lang w:val="fr-FR"/>
        </w:rPr>
        <w:t>R&amp;D Management</w:t>
      </w:r>
      <w:r>
        <w:rPr>
          <w:rFonts w:ascii="Times New Roman" w:hAnsi="Times New Roman"/>
          <w:sz w:val="24"/>
          <w:szCs w:val="24"/>
          <w:rtl w:val="0"/>
        </w:rPr>
        <w:t xml:space="preserve">, </w:t>
      </w:r>
      <w:r>
        <w:rPr>
          <w:rFonts w:ascii="Times New Roman" w:hAnsi="Times New Roman"/>
          <w:i w:val="1"/>
          <w:iCs w:val="1"/>
          <w:sz w:val="24"/>
          <w:szCs w:val="24"/>
          <w:rtl w:val="0"/>
        </w:rPr>
        <w:t>52</w:t>
      </w:r>
      <w:r>
        <w:rPr>
          <w:rFonts w:ascii="Times New Roman" w:hAnsi="Times New Roman"/>
          <w:sz w:val="24"/>
          <w:szCs w:val="24"/>
          <w:rtl w:val="0"/>
        </w:rPr>
        <w:t>(3), pp.548-563.</w:t>
      </w:r>
    </w:p>
    <w:p>
      <w:pPr>
        <w:pStyle w:val="Body"/>
        <w:spacing w:after="0"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 xml:space="preserve">Pinkwart, A., Proksch, D., Schefczyk, M., Fiegler, T. and Ernst, C., 2015. Reasons for the failure of new technology-based firms: A longitudinal empirical study for Germany. </w:t>
      </w:r>
      <w:r>
        <w:rPr>
          <w:rFonts w:ascii="Times New Roman" w:hAnsi="Times New Roman"/>
          <w:i w:val="1"/>
          <w:iCs w:val="1"/>
          <w:sz w:val="24"/>
          <w:szCs w:val="24"/>
          <w:rtl w:val="0"/>
          <w:lang w:val="en-US"/>
        </w:rPr>
        <w:t>Credit and Capital Markets</w:t>
      </w:r>
      <w:r>
        <w:rPr>
          <w:rFonts w:ascii="Times New Roman" w:hAnsi="Times New Roman"/>
          <w:sz w:val="24"/>
          <w:szCs w:val="24"/>
          <w:rtl w:val="0"/>
        </w:rPr>
        <w:t xml:space="preserve">, </w:t>
      </w:r>
      <w:r>
        <w:rPr>
          <w:rFonts w:ascii="Times New Roman" w:hAnsi="Times New Roman"/>
          <w:i w:val="1"/>
          <w:iCs w:val="1"/>
          <w:sz w:val="24"/>
          <w:szCs w:val="24"/>
          <w:rtl w:val="0"/>
        </w:rPr>
        <w:t>48</w:t>
      </w:r>
      <w:r>
        <w:rPr>
          <w:rFonts w:ascii="Times New Roman" w:hAnsi="Times New Roman"/>
          <w:sz w:val="24"/>
          <w:szCs w:val="24"/>
          <w:rtl w:val="0"/>
        </w:rPr>
        <w:t>(4), pp.597-627.</w:t>
      </w:r>
    </w:p>
    <w:p>
      <w:pPr>
        <w:pStyle w:val="Body"/>
        <w:spacing w:after="0"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Qin, Z., Hassan, A. and Adhikariparajuli, M., 2022. Direct and indirect implications of the COVID-19 pandemic on Amazon</w:t>
      </w:r>
      <w:r>
        <w:rPr>
          <w:rFonts w:ascii="Times New Roman" w:hAnsi="Times New Roman" w:hint="default"/>
          <w:sz w:val="24"/>
          <w:szCs w:val="24"/>
          <w:rtl w:val="0"/>
          <w:lang w:val="en-US"/>
        </w:rPr>
        <w:t>’</w:t>
      </w:r>
      <w:r>
        <w:rPr>
          <w:rFonts w:ascii="Times New Roman" w:hAnsi="Times New Roman"/>
          <w:sz w:val="24"/>
          <w:szCs w:val="24"/>
          <w:rtl w:val="0"/>
          <w:lang w:val="en-US"/>
        </w:rPr>
        <w:t xml:space="preserve">s financial situation. </w:t>
      </w:r>
      <w:r>
        <w:rPr>
          <w:rFonts w:ascii="Times New Roman" w:hAnsi="Times New Roman"/>
          <w:i w:val="1"/>
          <w:iCs w:val="1"/>
          <w:sz w:val="24"/>
          <w:szCs w:val="24"/>
          <w:rtl w:val="0"/>
          <w:lang w:val="en-US"/>
        </w:rPr>
        <w:t>Journal of Risk and Financial Management</w:t>
      </w:r>
      <w:r>
        <w:rPr>
          <w:rFonts w:ascii="Times New Roman" w:hAnsi="Times New Roman"/>
          <w:sz w:val="24"/>
          <w:szCs w:val="24"/>
          <w:rtl w:val="0"/>
        </w:rPr>
        <w:t xml:space="preserve">, </w:t>
      </w:r>
      <w:r>
        <w:rPr>
          <w:rFonts w:ascii="Times New Roman" w:hAnsi="Times New Roman"/>
          <w:i w:val="1"/>
          <w:iCs w:val="1"/>
          <w:sz w:val="24"/>
          <w:szCs w:val="24"/>
          <w:rtl w:val="0"/>
        </w:rPr>
        <w:t>15</w:t>
      </w:r>
      <w:r>
        <w:rPr>
          <w:rFonts w:ascii="Times New Roman" w:hAnsi="Times New Roman"/>
          <w:sz w:val="24"/>
          <w:szCs w:val="24"/>
          <w:rtl w:val="0"/>
        </w:rPr>
        <w:t>(9), p.414.</w:t>
      </w:r>
    </w:p>
    <w:p>
      <w:pPr>
        <w:pStyle w:val="Body"/>
        <w:spacing w:after="0"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 xml:space="preserve">Qureshi, J. and Siddiqui, D.A., 2020. Impact of intangible assets on profitability, efficiency, capital structure and dividend policy, and market value of technology firms: a global comparative analysis. </w:t>
      </w:r>
      <w:r>
        <w:rPr>
          <w:rFonts w:ascii="Times New Roman" w:hAnsi="Times New Roman"/>
          <w:i w:val="1"/>
          <w:iCs w:val="1"/>
          <w:sz w:val="24"/>
          <w:szCs w:val="24"/>
          <w:rtl w:val="0"/>
          <w:lang w:val="en-US"/>
        </w:rPr>
        <w:t>Efficiency, Capital Structure and Dividend Policy, and Market Value of Technology Firms: A Global Comparative Analysis (August 26, 2020)</w:t>
      </w:r>
      <w:r>
        <w:rPr>
          <w:rFonts w:ascii="Times New Roman" w:hAnsi="Times New Roman"/>
          <w:sz w:val="24"/>
          <w:szCs w:val="24"/>
          <w:rtl w:val="0"/>
        </w:rPr>
        <w:t>.</w:t>
      </w:r>
    </w:p>
    <w:p>
      <w:pPr>
        <w:pStyle w:val="Body"/>
        <w:spacing w:after="0"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 xml:space="preserve">Ritala, P., Golnam, A. and Wegmann, A., 2014. Coopetition-based business models: The case of Amazon. com. </w:t>
      </w:r>
      <w:r>
        <w:rPr>
          <w:rFonts w:ascii="Times New Roman" w:hAnsi="Times New Roman"/>
          <w:i w:val="1"/>
          <w:iCs w:val="1"/>
          <w:sz w:val="24"/>
          <w:szCs w:val="24"/>
          <w:rtl w:val="0"/>
          <w:lang w:val="en-US"/>
        </w:rPr>
        <w:t>Industrial marketing management</w:t>
      </w:r>
      <w:r>
        <w:rPr>
          <w:rFonts w:ascii="Times New Roman" w:hAnsi="Times New Roman"/>
          <w:sz w:val="24"/>
          <w:szCs w:val="24"/>
          <w:rtl w:val="0"/>
        </w:rPr>
        <w:t xml:space="preserve">, </w:t>
      </w:r>
      <w:r>
        <w:rPr>
          <w:rFonts w:ascii="Times New Roman" w:hAnsi="Times New Roman"/>
          <w:i w:val="1"/>
          <w:iCs w:val="1"/>
          <w:sz w:val="24"/>
          <w:szCs w:val="24"/>
          <w:rtl w:val="0"/>
        </w:rPr>
        <w:t>43</w:t>
      </w:r>
      <w:r>
        <w:rPr>
          <w:rFonts w:ascii="Times New Roman" w:hAnsi="Times New Roman"/>
          <w:sz w:val="24"/>
          <w:szCs w:val="24"/>
          <w:rtl w:val="0"/>
        </w:rPr>
        <w:t>(2), pp.236-249.</w:t>
      </w:r>
    </w:p>
    <w:p>
      <w:pPr>
        <w:pStyle w:val="Body"/>
        <w:spacing w:after="0" w:line="480" w:lineRule="auto"/>
        <w:ind w:left="720" w:hanging="720"/>
      </w:pPr>
      <w:r>
        <w:rPr>
          <w:rFonts w:ascii="Times New Roman" w:hAnsi="Times New Roman"/>
          <w:sz w:val="24"/>
          <w:szCs w:val="24"/>
          <w:rtl w:val="0"/>
          <w:lang w:val="pt-PT"/>
        </w:rPr>
        <w:t xml:space="preserve">Umar, A., 2022. </w:t>
      </w:r>
      <w:r>
        <w:rPr>
          <w:rFonts w:ascii="Times New Roman" w:hAnsi="Times New Roman"/>
          <w:i w:val="1"/>
          <w:iCs w:val="1"/>
          <w:sz w:val="24"/>
          <w:szCs w:val="24"/>
          <w:rtl w:val="0"/>
          <w:lang w:val="en-US"/>
        </w:rPr>
        <w:t>Evaluation of management effectiveness in the organization (On the basis of Amazon Inc.)</w:t>
      </w:r>
      <w:r>
        <w:rPr>
          <w:rFonts w:ascii="Times New Roman" w:hAnsi="Times New Roman"/>
          <w:sz w:val="24"/>
          <w:szCs w:val="24"/>
          <w:rtl w:val="0"/>
          <w:lang w:val="en-US"/>
        </w:rPr>
        <w:t xml:space="preserve"> (Doctoral dissertation, Private Higher Educational Establishment-Institute </w:t>
      </w:r>
      <w:r>
        <w:rPr>
          <w:rFonts w:ascii="Times New Roman" w:hAnsi="Times New Roman" w:hint="default"/>
          <w:sz w:val="24"/>
          <w:szCs w:val="24"/>
          <w:rtl w:val="0"/>
          <w:lang w:val="en-US"/>
        </w:rPr>
        <w:t>“</w:t>
      </w:r>
      <w:r>
        <w:rPr>
          <w:rFonts w:ascii="Times New Roman" w:hAnsi="Times New Roman"/>
          <w:sz w:val="24"/>
          <w:szCs w:val="24"/>
          <w:rtl w:val="0"/>
          <w:lang w:val="en-US"/>
        </w:rPr>
        <w:t>Ukrainian-American Concordia University</w:t>
      </w:r>
      <w:r>
        <w:rPr>
          <w:rFonts w:ascii="Times New Roman" w:hAnsi="Times New Roman" w:hint="default"/>
          <w:sz w:val="24"/>
          <w:szCs w:val="24"/>
          <w:rtl w:val="0"/>
          <w:lang w:val="en-US"/>
        </w:rPr>
        <w:t>”</w:t>
      </w:r>
      <w:r>
        <w:rPr>
          <w:rFonts w:ascii="Times New Roman" w:hAnsi="Times New Roman"/>
          <w:sz w:val="24"/>
          <w:szCs w:val="24"/>
          <w:rtl w:val="0"/>
        </w:rPr>
        <w:t>).</w:t>
      </w:r>
    </w:p>
    <w:sectPr>
      <w:headerReference w:type="default" r:id="rId5"/>
      <w:footerReference w:type="default" r:id="rId6"/>
      <w:pgSz w:w="12240" w:h="15840" w:orient="portrait"/>
      <w:pgMar w:top="1440" w:right="1440" w:bottom="1440" w:left="144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Calibri">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tabs>
        <w:tab w:val="right" w:pos="9340"/>
        <w:tab w:val="clear" w:pos="9360"/>
      </w:tabs>
      <w:jc w:val="right"/>
    </w:pPr>
    <w:r>
      <w:rPr>
        <w:rFonts w:ascii="Times New Roman" w:hAnsi="Times New Roman"/>
        <w:sz w:val="24"/>
        <w:szCs w:val="24"/>
        <w:rtl w:val="0"/>
        <w:lang w:val="en-US"/>
      </w:rPr>
      <w:t>INTERNATIONAL FINANCIAL MANAGEMENT (A1)</w:t>
      <w:tab/>
    </w:r>
    <w:r>
      <w:rPr>
        <w:rFonts w:ascii="Times New Roman" w:cs="Times New Roman" w:hAnsi="Times New Roman" w:eastAsia="Times New Roman"/>
        <w:sz w:val="24"/>
        <w:szCs w:val="24"/>
        <w:rtl w:val="0"/>
      </w:rPr>
      <w:fldChar w:fldCharType="begin" w:fldLock="0"/>
    </w:r>
    <w:r>
      <w:rPr>
        <w:rFonts w:ascii="Times New Roman" w:cs="Times New Roman" w:hAnsi="Times New Roman" w:eastAsia="Times New Roman"/>
        <w:sz w:val="24"/>
        <w:szCs w:val="24"/>
        <w:rtl w:val="0"/>
      </w:rPr>
      <w:instrText xml:space="preserve"> PAGE </w:instrText>
    </w:r>
    <w:r>
      <w:rPr>
        <w:rFonts w:ascii="Times New Roman" w:cs="Times New Roman" w:hAnsi="Times New Roman" w:eastAsia="Times New Roman"/>
        <w:sz w:val="24"/>
        <w:szCs w:val="24"/>
        <w:rtl w:val="0"/>
      </w:rPr>
      <w:fldChar w:fldCharType="separate" w:fldLock="0"/>
    </w:r>
    <w:r>
      <w:rPr>
        <w:rFonts w:ascii="Times New Roman" w:cs="Times New Roman" w:hAnsi="Times New Roman" w:eastAsia="Times New Roman"/>
        <w:sz w:val="24"/>
        <w:szCs w:val="24"/>
        <w:rtl w:val="0"/>
      </w:rPr>
      <w:t>1</w:t>
    </w:r>
    <w:r>
      <w:rPr>
        <w:rFonts w:ascii="Times New Roman" w:cs="Times New Roman" w:hAnsi="Times New Roman" w:eastAsia="Times New Roman"/>
        <w:sz w:val="24"/>
        <w:szCs w:val="24"/>
        <w:rtl w:val="0"/>
      </w:rPr>
      <w:fldChar w:fldCharType="end" w:fldLock="0"/>
    </w:r>
    <w:r>
      <w:rPr>
        <w:rFonts w:ascii="Times New Roman" w:cs="Times New Roman" w:hAnsi="Times New Roman" w:eastAsia="Times New Roman"/>
        <w:sz w:val="24"/>
        <w:szCs w:val="24"/>
      </w:r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w:name w:val="header"/>
    <w:next w:val="header"/>
    <w:pPr>
      <w:keepNext w:val="0"/>
      <w:keepLines w:val="0"/>
      <w:pageBreakBefore w:val="0"/>
      <w:widowControl w:val="1"/>
      <w:shd w:val="clear" w:color="auto" w:fill="auto"/>
      <w:tabs>
        <w:tab w:val="center" w:pos="4680"/>
        <w:tab w:val="right" w:pos="9360"/>
      </w:tabs>
      <w:suppressAutoHyphens w:val="0"/>
      <w:bidi w:val="0"/>
      <w:spacing w:before="0" w:after="0" w:line="240"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14:textFill>
        <w14:solidFill>
          <w14:srgbClr w14:val="000000"/>
        </w14:solidFill>
      </w14:textFill>
    </w:r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vertAlign w:val="baseline"/>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