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274146120"/>
        <w:docPartObj>
          <w:docPartGallery w:val="Cover Pages"/>
          <w:docPartUnique/>
        </w:docPartObj>
      </w:sdtPr>
      <w:sdtEndPr>
        <w:rPr>
          <w:rFonts w:ascii="Arial Black" w:hAnsi="Arial Black" w:cs="Arial"/>
          <w:color w:val="4C94D8" w:themeColor="text2" w:themeTint="80"/>
        </w:rPr>
      </w:sdtEndPr>
      <w:sdtContent>
        <w:p w14:paraId="6DA385BE" w14:textId="4E7A289B" w:rsidR="0079754C" w:rsidRDefault="00BF5FB4" w:rsidP="0079754C">
          <w:pPr>
            <w:pStyle w:val="NoSpacing"/>
            <w:spacing w:before="1540" w:after="240"/>
            <w:rPr>
              <w:color w:val="156082" w:themeColor="accent1"/>
            </w:rPr>
          </w:pPr>
          <w:r>
            <w:rPr>
              <w:rFonts w:ascii="Arial" w:hAnsi="Arial" w:cs="Arial"/>
              <w:noProof/>
            </w:rPr>
            <w:drawing>
              <wp:anchor distT="0" distB="0" distL="114300" distR="114300" simplePos="0" relativeHeight="251658240" behindDoc="1" locked="0" layoutInCell="1" allowOverlap="1" wp14:anchorId="6F49BB19" wp14:editId="708537CC">
                <wp:simplePos x="0" y="0"/>
                <wp:positionH relativeFrom="column">
                  <wp:posOffset>4502150</wp:posOffset>
                </wp:positionH>
                <wp:positionV relativeFrom="page">
                  <wp:posOffset>114300</wp:posOffset>
                </wp:positionV>
                <wp:extent cx="2025650" cy="878840"/>
                <wp:effectExtent l="0" t="0" r="0" b="0"/>
                <wp:wrapTight wrapText="bothSides">
                  <wp:wrapPolygon edited="0">
                    <wp:start x="0" y="0"/>
                    <wp:lineTo x="0" y="21069"/>
                    <wp:lineTo x="21329" y="21069"/>
                    <wp:lineTo x="21329" y="0"/>
                    <wp:lineTo x="0" y="0"/>
                  </wp:wrapPolygon>
                </wp:wrapTight>
                <wp:docPr id="1457637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5650" cy="878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E1EFFA" w14:textId="597DD99C" w:rsidR="0079754C" w:rsidRDefault="00FE0977" w:rsidP="00FE0977">
          <w:pPr>
            <w:pStyle w:val="Heading1"/>
            <w:jc w:val="center"/>
            <w:rPr>
              <w:rFonts w:ascii="Arial" w:hAnsi="Arial" w:cs="Arial"/>
              <w:sz w:val="72"/>
              <w:szCs w:val="72"/>
            </w:rPr>
          </w:pPr>
          <w:r w:rsidRPr="00FE0977">
            <w:rPr>
              <w:rFonts w:ascii="Arial" w:hAnsi="Arial" w:cs="Arial"/>
              <w:sz w:val="72"/>
              <w:szCs w:val="72"/>
            </w:rPr>
            <w:t>Budgeting Principles and Approaches</w:t>
          </w:r>
        </w:p>
        <w:p w14:paraId="4CBD242F" w14:textId="3F33BB10" w:rsidR="00FE0977" w:rsidRDefault="00FE0977" w:rsidP="00FE0977">
          <w:pPr>
            <w:jc w:val="center"/>
          </w:pPr>
          <w:r>
            <w:t xml:space="preserve">Principles and Concepts </w:t>
          </w:r>
          <w:proofErr w:type="gramStart"/>
          <w:r>
            <w:t>Of</w:t>
          </w:r>
          <w:proofErr w:type="gramEnd"/>
          <w:r>
            <w:t xml:space="preserve"> Finance</w:t>
          </w:r>
        </w:p>
        <w:p w14:paraId="26486FD1" w14:textId="77777777" w:rsidR="00FE0977" w:rsidRDefault="00FE0977" w:rsidP="00FE0977">
          <w:pPr>
            <w:jc w:val="center"/>
          </w:pPr>
        </w:p>
        <w:p w14:paraId="532669DC" w14:textId="43F67D6B" w:rsidR="00FE0977" w:rsidRDefault="00FE0977" w:rsidP="00FE0977">
          <w:pPr>
            <w:jc w:val="center"/>
          </w:pPr>
          <w:r>
            <w:t>BMBM5017</w:t>
          </w:r>
        </w:p>
        <w:p w14:paraId="427154CC" w14:textId="32D5D9CC" w:rsidR="00FE0977" w:rsidRDefault="00FE0977" w:rsidP="00FE0977">
          <w:pPr>
            <w:jc w:val="center"/>
          </w:pPr>
          <w:r>
            <w:t>Student ID: 2024878</w:t>
          </w:r>
        </w:p>
        <w:p w14:paraId="1D828120" w14:textId="612E6A3D" w:rsidR="00FE0977" w:rsidRPr="00FE0977" w:rsidRDefault="00FE0977" w:rsidP="00FE0977">
          <w:pPr>
            <w:jc w:val="center"/>
          </w:pPr>
          <w:r>
            <w:t>Student Name: Ioana-Stefana Lupu</w:t>
          </w:r>
        </w:p>
        <w:p w14:paraId="3D6613C2" w14:textId="18721183" w:rsidR="0079754C" w:rsidRDefault="0079754C">
          <w:pPr>
            <w:rPr>
              <w:rFonts w:ascii="Arial Black" w:hAnsi="Arial Black" w:cs="Arial"/>
              <w:color w:val="4C94D8" w:themeColor="text2" w:themeTint="80"/>
            </w:rPr>
          </w:pPr>
          <w:r>
            <w:rPr>
              <w:rFonts w:ascii="Arial Black" w:hAnsi="Arial Black" w:cs="Arial"/>
              <w:color w:val="4C94D8" w:themeColor="text2" w:themeTint="80"/>
            </w:rPr>
            <w:br w:type="page"/>
          </w:r>
        </w:p>
      </w:sdtContent>
    </w:sdt>
    <w:p w14:paraId="6E270F9C" w14:textId="6552CFDC" w:rsidR="00D93493" w:rsidRPr="0079754C" w:rsidRDefault="004A6194" w:rsidP="00D93493">
      <w:pPr>
        <w:spacing w:line="480" w:lineRule="auto"/>
        <w:jc w:val="both"/>
        <w:rPr>
          <w:rFonts w:ascii="Arial Black" w:hAnsi="Arial Black" w:cs="Arial"/>
          <w:color w:val="4C94D8" w:themeColor="text2" w:themeTint="80"/>
        </w:rPr>
      </w:pPr>
      <w:r w:rsidRPr="0079754C">
        <w:rPr>
          <w:rFonts w:ascii="Arial Black" w:hAnsi="Arial Black" w:cs="Arial"/>
          <w:color w:val="4C94D8" w:themeColor="text2" w:themeTint="80"/>
        </w:rPr>
        <w:lastRenderedPageBreak/>
        <w:t xml:space="preserve">Table of Contents </w:t>
      </w:r>
    </w:p>
    <w:p w14:paraId="67AEC1A1" w14:textId="17F37CC5"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Introduction</w:t>
      </w:r>
      <w:r w:rsidR="00190E25" w:rsidRPr="0079754C">
        <w:rPr>
          <w:rFonts w:ascii="Arial" w:hAnsi="Arial" w:cs="Arial"/>
          <w:color w:val="4C94D8" w:themeColor="text2" w:themeTint="80"/>
        </w:rPr>
        <w:t>_________________________________________________________2</w:t>
      </w:r>
    </w:p>
    <w:p w14:paraId="5C97CFDF" w14:textId="6AE07104"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Budget Preparation</w:t>
      </w:r>
      <w:r w:rsidR="00746D35" w:rsidRPr="0079754C">
        <w:rPr>
          <w:rFonts w:ascii="Arial" w:hAnsi="Arial" w:cs="Arial"/>
          <w:color w:val="4C94D8" w:themeColor="text2" w:themeTint="80"/>
        </w:rPr>
        <w:t>___________________________________________________4</w:t>
      </w:r>
    </w:p>
    <w:p w14:paraId="7D146E91" w14:textId="74542EE4"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Stock Budget</w:t>
      </w:r>
    </w:p>
    <w:p w14:paraId="585AB607" w14:textId="345C214A"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Cash Budget</w:t>
      </w:r>
    </w:p>
    <w:p w14:paraId="7A637C96" w14:textId="4B500849"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Profit &amp; Loss Account</w:t>
      </w:r>
    </w:p>
    <w:p w14:paraId="485C5D2B" w14:textId="53FC07CE"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Assessment of Budgeted Issues and Suggested Management Responses</w:t>
      </w:r>
      <w:r w:rsidR="00746D35" w:rsidRPr="0079754C">
        <w:rPr>
          <w:rFonts w:ascii="Arial" w:hAnsi="Arial" w:cs="Arial"/>
          <w:color w:val="4C94D8" w:themeColor="text2" w:themeTint="80"/>
        </w:rPr>
        <w:t>________7</w:t>
      </w:r>
    </w:p>
    <w:p w14:paraId="1A6F1C7B" w14:textId="33521A76"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Cash-Flow Variability and Covenant Risk</w:t>
      </w:r>
    </w:p>
    <w:p w14:paraId="33A456B4" w14:textId="44172987"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Excess Working Capital in Inventory</w:t>
      </w:r>
    </w:p>
    <w:p w14:paraId="3C326123" w14:textId="6891B31B" w:rsidR="00190E25"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Concentrated CAPEX and Tax Outflows</w:t>
      </w:r>
    </w:p>
    <w:p w14:paraId="60E14B3F" w14:textId="7AF9AD91" w:rsidR="00190E25"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High Transaction and Financing Costs</w:t>
      </w:r>
    </w:p>
    <w:p w14:paraId="05398185" w14:textId="2EF2F863" w:rsidR="00F77E2A" w:rsidRPr="0079754C" w:rsidRDefault="00F77E2A" w:rsidP="00190E25">
      <w:pPr>
        <w:spacing w:line="480" w:lineRule="auto"/>
        <w:ind w:left="720"/>
        <w:jc w:val="both"/>
        <w:rPr>
          <w:rFonts w:ascii="Arial" w:hAnsi="Arial" w:cs="Arial"/>
          <w:color w:val="4C94D8" w:themeColor="text2" w:themeTint="80"/>
        </w:rPr>
      </w:pPr>
      <w:r w:rsidRPr="0079754C">
        <w:rPr>
          <w:rFonts w:ascii="Arial" w:hAnsi="Arial" w:cs="Arial"/>
          <w:color w:val="4C94D8" w:themeColor="text2" w:themeTint="80"/>
        </w:rPr>
        <w:t>Fixed Payment Lags</w:t>
      </w:r>
    </w:p>
    <w:p w14:paraId="1C46384C" w14:textId="10FA03E4"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Key Organisational and Behavioural Factors for Effective Budgeting</w:t>
      </w:r>
      <w:r w:rsidR="0079754C" w:rsidRPr="0079754C">
        <w:rPr>
          <w:rFonts w:ascii="Arial" w:hAnsi="Arial" w:cs="Arial"/>
          <w:color w:val="4C94D8" w:themeColor="text2" w:themeTint="80"/>
        </w:rPr>
        <w:t>____________12</w:t>
      </w:r>
    </w:p>
    <w:p w14:paraId="5D043F00" w14:textId="3EA8565B"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Critical Evaluation of Traditional Budgeting</w:t>
      </w:r>
      <w:r w:rsidR="0079754C" w:rsidRPr="0079754C">
        <w:rPr>
          <w:rFonts w:ascii="Arial" w:hAnsi="Arial" w:cs="Arial"/>
          <w:color w:val="4C94D8" w:themeColor="text2" w:themeTint="80"/>
        </w:rPr>
        <w:t>________________________________13</w:t>
      </w:r>
    </w:p>
    <w:p w14:paraId="0724E4E5" w14:textId="1FE1351E"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Conclusion</w:t>
      </w:r>
      <w:r w:rsidR="0079754C" w:rsidRPr="0079754C">
        <w:rPr>
          <w:rFonts w:ascii="Arial" w:hAnsi="Arial" w:cs="Arial"/>
          <w:color w:val="4C94D8" w:themeColor="text2" w:themeTint="80"/>
        </w:rPr>
        <w:t>________________________________________________________15</w:t>
      </w:r>
    </w:p>
    <w:p w14:paraId="2DC1F32C" w14:textId="57C37C0F" w:rsidR="00F77E2A" w:rsidRPr="0079754C" w:rsidRDefault="00F77E2A"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References</w:t>
      </w:r>
      <w:r w:rsidR="0079754C" w:rsidRPr="0079754C">
        <w:rPr>
          <w:rFonts w:ascii="Arial" w:hAnsi="Arial" w:cs="Arial"/>
          <w:color w:val="4C94D8" w:themeColor="text2" w:themeTint="80"/>
        </w:rPr>
        <w:t>________________________________________________________17</w:t>
      </w:r>
    </w:p>
    <w:p w14:paraId="1D4C618D" w14:textId="1537679E" w:rsidR="00190E25" w:rsidRPr="0079754C" w:rsidRDefault="00190E25" w:rsidP="00F77E2A">
      <w:pPr>
        <w:spacing w:line="480" w:lineRule="auto"/>
        <w:jc w:val="both"/>
        <w:rPr>
          <w:rFonts w:ascii="Arial" w:hAnsi="Arial" w:cs="Arial"/>
          <w:color w:val="4C94D8" w:themeColor="text2" w:themeTint="80"/>
        </w:rPr>
      </w:pPr>
      <w:r w:rsidRPr="0079754C">
        <w:rPr>
          <w:rFonts w:ascii="Arial" w:hAnsi="Arial" w:cs="Arial"/>
          <w:color w:val="4C94D8" w:themeColor="text2" w:themeTint="80"/>
        </w:rPr>
        <w:t>Appendix</w:t>
      </w:r>
      <w:r w:rsidR="0079754C" w:rsidRPr="0079754C">
        <w:rPr>
          <w:rFonts w:ascii="Arial" w:hAnsi="Arial" w:cs="Arial"/>
          <w:color w:val="4C94D8" w:themeColor="text2" w:themeTint="80"/>
        </w:rPr>
        <w:t>__________________________________________________________22</w:t>
      </w:r>
    </w:p>
    <w:p w14:paraId="5CEAFF10" w14:textId="77777777" w:rsidR="004A6194" w:rsidRDefault="004A6194" w:rsidP="00D93493">
      <w:pPr>
        <w:spacing w:line="480" w:lineRule="auto"/>
        <w:jc w:val="both"/>
        <w:rPr>
          <w:rFonts w:ascii="Arial Black" w:hAnsi="Arial Black" w:cs="Arial"/>
        </w:rPr>
      </w:pPr>
    </w:p>
    <w:p w14:paraId="5CCB5F17" w14:textId="18DEBC66" w:rsidR="00D93493" w:rsidRDefault="00D93493">
      <w:pPr>
        <w:rPr>
          <w:rFonts w:ascii="Arial Black" w:hAnsi="Arial Black" w:cs="Arial"/>
        </w:rPr>
      </w:pPr>
      <w:r>
        <w:rPr>
          <w:rFonts w:ascii="Arial Black" w:hAnsi="Arial Black" w:cs="Arial"/>
        </w:rPr>
        <w:br w:type="page"/>
      </w:r>
    </w:p>
    <w:p w14:paraId="4D678B34" w14:textId="1B1A1F9F" w:rsidR="000B20B0" w:rsidRPr="004A6194" w:rsidRDefault="000B20B0" w:rsidP="004A6194">
      <w:pPr>
        <w:pStyle w:val="ListParagraph"/>
        <w:numPr>
          <w:ilvl w:val="0"/>
          <w:numId w:val="4"/>
        </w:numPr>
        <w:spacing w:line="480" w:lineRule="auto"/>
        <w:jc w:val="both"/>
        <w:rPr>
          <w:rFonts w:ascii="Arial Black" w:hAnsi="Arial Black" w:cs="Arial"/>
        </w:rPr>
      </w:pPr>
      <w:r w:rsidRPr="004A6194">
        <w:rPr>
          <w:rFonts w:ascii="Arial Black" w:hAnsi="Arial Black" w:cs="Arial"/>
        </w:rPr>
        <w:lastRenderedPageBreak/>
        <w:t>Introduction</w:t>
      </w:r>
    </w:p>
    <w:p w14:paraId="620165A1" w14:textId="6BF152D6" w:rsidR="000B20B0" w:rsidRDefault="000B20B0" w:rsidP="000B20B0">
      <w:pPr>
        <w:spacing w:line="480" w:lineRule="auto"/>
        <w:jc w:val="both"/>
        <w:rPr>
          <w:rFonts w:ascii="Arial" w:hAnsi="Arial" w:cs="Arial"/>
        </w:rPr>
      </w:pPr>
      <w:r w:rsidRPr="000B20B0">
        <w:rPr>
          <w:rFonts w:ascii="Arial" w:hAnsi="Arial" w:cs="Arial"/>
        </w:rPr>
        <w:t xml:space="preserve">Budgeting is a key element in managerial planning and control and is an orderly way of turning strategic objectives into operational targets for performance review. Reports, generally as an annual exercise, create the annual budget through increases on prior year data which is easy and promotes continuity but can lead to rigidity and reflect on past performance. This can mean that businesses in fast-moving industries (e.g., fashion clothing retailers) can be slow to react to rapidly changing customer preferences, sudden increases in input costs, or competitive threats (Drury, 2021; Seal, Garrison &amp; Noreen, 2018; Weetman, 2016; Horner, 2020). </w:t>
      </w:r>
    </w:p>
    <w:p w14:paraId="3287098F" w14:textId="0D08EF26" w:rsidR="000B20B0" w:rsidRDefault="000B20B0" w:rsidP="000B20B0">
      <w:pPr>
        <w:spacing w:line="480" w:lineRule="auto"/>
        <w:jc w:val="both"/>
        <w:rPr>
          <w:rFonts w:ascii="Arial" w:hAnsi="Arial" w:cs="Arial"/>
        </w:rPr>
      </w:pPr>
      <w:r w:rsidRPr="000B20B0">
        <w:rPr>
          <w:rFonts w:ascii="Arial" w:hAnsi="Arial" w:cs="Arial"/>
        </w:rPr>
        <w:t xml:space="preserve">As of the start of the current six-month period, Blue Thread Ltd, a chain of ten high-quality clothing shops, had overdraft of £25,000, which needs to be repaid by 30 November under a bank covenant. Original forecasts for the current business period were monthly sales of £200k–£250k, stock purchases of £150k–£210k, a gradual increase of administration costs and selling expenses, three early summer refurbishment costs totalling £36k, and a one-off tax payment of £15k in August. Sustainability is also a key factor to watch, although Blue Thread Ltd operates with a 35% gross profit margin (implying cost of sales of 65%), monthly supplier credit, and a 3% fee on credit card paid sales (30% of sales) payment, which means the working-capital and cash-flow is not looking good (Al </w:t>
      </w:r>
      <w:proofErr w:type="spellStart"/>
      <w:r w:rsidRPr="000B20B0">
        <w:rPr>
          <w:rFonts w:ascii="Arial" w:hAnsi="Arial" w:cs="Arial"/>
        </w:rPr>
        <w:t>Refiay</w:t>
      </w:r>
      <w:proofErr w:type="spellEnd"/>
      <w:r w:rsidRPr="000B20B0">
        <w:rPr>
          <w:rFonts w:ascii="Arial" w:hAnsi="Arial" w:cs="Arial"/>
        </w:rPr>
        <w:t xml:space="preserve">, Abdulhussein &amp; Al Shaikh, 2022). </w:t>
      </w:r>
    </w:p>
    <w:p w14:paraId="3EBCA034" w14:textId="5BD76D1D" w:rsidR="000B20B0" w:rsidRPr="000B20B0" w:rsidRDefault="009F347E" w:rsidP="000B20B0">
      <w:pPr>
        <w:spacing w:line="480" w:lineRule="auto"/>
        <w:jc w:val="both"/>
        <w:rPr>
          <w:rFonts w:ascii="Arial" w:hAnsi="Arial" w:cs="Arial"/>
        </w:rPr>
      </w:pPr>
      <w:r w:rsidRPr="009F347E">
        <w:rPr>
          <w:rFonts w:ascii="Arial" w:hAnsi="Arial" w:cs="Arial"/>
        </w:rPr>
        <w:t>Recent literature identifies two additional shortcomings of annual budgeting.</w:t>
      </w:r>
      <w:r w:rsidR="000B20B0" w:rsidRPr="000B20B0">
        <w:rPr>
          <w:rFonts w:ascii="Arial" w:hAnsi="Arial" w:cs="Arial"/>
        </w:rPr>
        <w:t xml:space="preserve"> First, the inherent flaws of a budgeting system is its reliance on historical information (instead of ensuring that decisions are based on real-time information), the use-it-or-lose-it principle that encourages year-end spending in a meaningless way, and behavioural games with padding budgets. Secondly, static planning models limit the uptake of </w:t>
      </w:r>
      <w:r w:rsidR="000B20B0" w:rsidRPr="000B20B0">
        <w:rPr>
          <w:rFonts w:ascii="Arial" w:hAnsi="Arial" w:cs="Arial"/>
        </w:rPr>
        <w:lastRenderedPageBreak/>
        <w:t>more agile techniques such as rolling forecasts, Beyond Budgeting, and activity-based budgeting, which are better suited to strategic change and driving the continuous improvement agenda (Bhimani, 2006; Igou et al., 20</w:t>
      </w:r>
      <w:r w:rsidR="000B20B0">
        <w:rPr>
          <w:rFonts w:ascii="Arial" w:hAnsi="Arial" w:cs="Arial"/>
        </w:rPr>
        <w:t>23</w:t>
      </w:r>
      <w:r w:rsidR="000B20B0" w:rsidRPr="000B20B0">
        <w:rPr>
          <w:rFonts w:ascii="Arial" w:hAnsi="Arial" w:cs="Arial"/>
        </w:rPr>
        <w:t xml:space="preserve">). </w:t>
      </w:r>
    </w:p>
    <w:p w14:paraId="655AB4FE" w14:textId="5DD612F1" w:rsidR="000B20B0" w:rsidRPr="000B20B0" w:rsidRDefault="000B20B0" w:rsidP="000B20B0">
      <w:pPr>
        <w:spacing w:line="480" w:lineRule="auto"/>
        <w:jc w:val="both"/>
        <w:rPr>
          <w:rFonts w:ascii="Arial" w:hAnsi="Arial" w:cs="Arial"/>
        </w:rPr>
      </w:pPr>
      <w:r w:rsidRPr="000B20B0">
        <w:rPr>
          <w:rFonts w:ascii="Arial" w:hAnsi="Arial" w:cs="Arial"/>
        </w:rPr>
        <w:t>Improving traditional budgetary practices includes introducing more forward-looking financial indicators</w:t>
      </w:r>
      <w:r>
        <w:rPr>
          <w:rFonts w:ascii="Arial" w:hAnsi="Arial" w:cs="Arial"/>
        </w:rPr>
        <w:t xml:space="preserve"> </w:t>
      </w:r>
      <w:r w:rsidRPr="000B20B0">
        <w:rPr>
          <w:rFonts w:ascii="Arial" w:hAnsi="Arial" w:cs="Arial"/>
        </w:rPr>
        <w:t xml:space="preserve">such as the return on equity, asset turns or gross profit </w:t>
      </w:r>
      <w:r>
        <w:rPr>
          <w:rFonts w:ascii="Arial" w:hAnsi="Arial" w:cs="Arial"/>
        </w:rPr>
        <w:t xml:space="preserve">margin </w:t>
      </w:r>
      <w:r w:rsidRPr="000B20B0">
        <w:rPr>
          <w:rFonts w:ascii="Arial" w:hAnsi="Arial" w:cs="Arial"/>
        </w:rPr>
        <w:t xml:space="preserve">better aligning budgeting with predictive accuracy and drivers of market value. Technology has advanced in accounting with digital tools and analytic capabilities that allow small-and medium-sized companies to better automated updates, increase speed and efficiency of variances, or stage some management reports in rolling planning history periods that link static budgets with real-time needs (Mao, 2023; Kothari, 2001; Weigel &amp; </w:t>
      </w:r>
      <w:proofErr w:type="spellStart"/>
      <w:r w:rsidRPr="000B20B0">
        <w:rPr>
          <w:rFonts w:ascii="Arial" w:hAnsi="Arial" w:cs="Arial"/>
        </w:rPr>
        <w:t>Hiebl</w:t>
      </w:r>
      <w:proofErr w:type="spellEnd"/>
      <w:r w:rsidRPr="000B20B0">
        <w:rPr>
          <w:rFonts w:ascii="Arial" w:hAnsi="Arial" w:cs="Arial"/>
        </w:rPr>
        <w:t xml:space="preserve">, 2023). </w:t>
      </w:r>
    </w:p>
    <w:p w14:paraId="63DE66C3" w14:textId="043FAC61" w:rsidR="000B20B0" w:rsidRPr="000B20B0" w:rsidRDefault="000B20B0" w:rsidP="000B20B0">
      <w:pPr>
        <w:spacing w:line="480" w:lineRule="auto"/>
        <w:jc w:val="both"/>
        <w:rPr>
          <w:rFonts w:ascii="Arial" w:hAnsi="Arial" w:cs="Arial"/>
        </w:rPr>
      </w:pPr>
      <w:r w:rsidRPr="000B20B0">
        <w:rPr>
          <w:rFonts w:ascii="Arial" w:hAnsi="Arial" w:cs="Arial"/>
        </w:rPr>
        <w:t xml:space="preserve">The </w:t>
      </w:r>
      <w:r>
        <w:rPr>
          <w:rFonts w:ascii="Arial" w:hAnsi="Arial" w:cs="Arial"/>
        </w:rPr>
        <w:t>report</w:t>
      </w:r>
      <w:r w:rsidRPr="000B20B0">
        <w:rPr>
          <w:rFonts w:ascii="Arial" w:hAnsi="Arial" w:cs="Arial"/>
        </w:rPr>
        <w:t xml:space="preserve"> intention is to complete the following:</w:t>
      </w:r>
    </w:p>
    <w:p w14:paraId="661935A8" w14:textId="77777777" w:rsidR="000B20B0" w:rsidRPr="000B20B0" w:rsidRDefault="000B20B0" w:rsidP="000B20B0">
      <w:pPr>
        <w:pStyle w:val="ListParagraph"/>
        <w:numPr>
          <w:ilvl w:val="0"/>
          <w:numId w:val="1"/>
        </w:numPr>
        <w:spacing w:line="480" w:lineRule="auto"/>
        <w:jc w:val="both"/>
        <w:rPr>
          <w:rFonts w:ascii="Arial" w:hAnsi="Arial" w:cs="Arial"/>
        </w:rPr>
      </w:pPr>
      <w:r w:rsidRPr="000B20B0">
        <w:rPr>
          <w:rFonts w:ascii="Arial" w:hAnsi="Arial" w:cs="Arial"/>
        </w:rPr>
        <w:t xml:space="preserve">Prepare a six-month Stock Budget and Cash Budget (showing month-end cash positions) and a consolidated Profit &amp; Loss Account. </w:t>
      </w:r>
    </w:p>
    <w:p w14:paraId="702C60AB" w14:textId="77777777" w:rsidR="000B20B0" w:rsidRPr="000B20B0" w:rsidRDefault="000B20B0" w:rsidP="000B20B0">
      <w:pPr>
        <w:pStyle w:val="ListParagraph"/>
        <w:numPr>
          <w:ilvl w:val="0"/>
          <w:numId w:val="1"/>
        </w:numPr>
        <w:spacing w:line="480" w:lineRule="auto"/>
        <w:jc w:val="both"/>
        <w:rPr>
          <w:rFonts w:ascii="Arial" w:hAnsi="Arial" w:cs="Arial"/>
        </w:rPr>
      </w:pPr>
      <w:r w:rsidRPr="000B20B0">
        <w:rPr>
          <w:rFonts w:ascii="Arial" w:hAnsi="Arial" w:cs="Arial"/>
        </w:rPr>
        <w:t xml:space="preserve">Identify cash-flow and working-capital concerns raised by the three budgets and develop management suggestions. </w:t>
      </w:r>
    </w:p>
    <w:p w14:paraId="71857CE0" w14:textId="03F5AD65" w:rsidR="000B20B0" w:rsidRPr="000B20B0" w:rsidRDefault="000B20B0" w:rsidP="000B20B0">
      <w:pPr>
        <w:pStyle w:val="ListParagraph"/>
        <w:numPr>
          <w:ilvl w:val="0"/>
          <w:numId w:val="1"/>
        </w:numPr>
        <w:spacing w:line="480" w:lineRule="auto"/>
        <w:jc w:val="both"/>
        <w:rPr>
          <w:rFonts w:ascii="Arial" w:hAnsi="Arial" w:cs="Arial"/>
        </w:rPr>
      </w:pPr>
      <w:r w:rsidRPr="000B20B0">
        <w:rPr>
          <w:rFonts w:ascii="Arial" w:hAnsi="Arial" w:cs="Arial"/>
        </w:rPr>
        <w:t xml:space="preserve">Critically assess the organisational conditions and behavioural elements necessary for successful budgetary practice. </w:t>
      </w:r>
    </w:p>
    <w:p w14:paraId="291487DA" w14:textId="77777777" w:rsidR="000B20B0" w:rsidRPr="000B20B0" w:rsidRDefault="000B20B0" w:rsidP="000B20B0">
      <w:pPr>
        <w:pStyle w:val="ListParagraph"/>
        <w:numPr>
          <w:ilvl w:val="0"/>
          <w:numId w:val="1"/>
        </w:numPr>
        <w:spacing w:line="480" w:lineRule="auto"/>
        <w:jc w:val="both"/>
        <w:rPr>
          <w:rFonts w:ascii="Arial" w:hAnsi="Arial" w:cs="Arial"/>
        </w:rPr>
      </w:pPr>
      <w:r w:rsidRPr="000B20B0">
        <w:rPr>
          <w:rFonts w:ascii="Arial" w:hAnsi="Arial" w:cs="Arial"/>
        </w:rPr>
        <w:t xml:space="preserve">Assess the drawbacks of incremental budgeting and consider newer alternatives for strategic agility. </w:t>
      </w:r>
    </w:p>
    <w:p w14:paraId="051A3244" w14:textId="77777777" w:rsidR="000B20B0" w:rsidRDefault="000B20B0" w:rsidP="000B20B0">
      <w:pPr>
        <w:spacing w:line="480" w:lineRule="auto"/>
        <w:jc w:val="both"/>
        <w:rPr>
          <w:rFonts w:ascii="Arial" w:hAnsi="Arial" w:cs="Arial"/>
        </w:rPr>
      </w:pPr>
    </w:p>
    <w:p w14:paraId="7F13C83E" w14:textId="77777777" w:rsidR="000B20B0" w:rsidRDefault="000B20B0" w:rsidP="000B20B0">
      <w:pPr>
        <w:spacing w:line="480" w:lineRule="auto"/>
        <w:jc w:val="both"/>
        <w:rPr>
          <w:rFonts w:ascii="Arial" w:hAnsi="Arial" w:cs="Arial"/>
        </w:rPr>
      </w:pPr>
    </w:p>
    <w:p w14:paraId="57D87910" w14:textId="77777777" w:rsidR="000B20B0" w:rsidRDefault="000B20B0" w:rsidP="000B20B0">
      <w:pPr>
        <w:spacing w:line="480" w:lineRule="auto"/>
        <w:jc w:val="both"/>
        <w:rPr>
          <w:rFonts w:ascii="Arial" w:hAnsi="Arial" w:cs="Arial"/>
        </w:rPr>
      </w:pPr>
    </w:p>
    <w:p w14:paraId="13AC6E05" w14:textId="5722BAAA" w:rsidR="000B20B0" w:rsidRPr="004A6194" w:rsidRDefault="000B20B0" w:rsidP="004A6194">
      <w:pPr>
        <w:pStyle w:val="ListParagraph"/>
        <w:numPr>
          <w:ilvl w:val="0"/>
          <w:numId w:val="4"/>
        </w:numPr>
        <w:spacing w:line="480" w:lineRule="auto"/>
        <w:jc w:val="both"/>
        <w:rPr>
          <w:rFonts w:ascii="Arial Black" w:hAnsi="Arial Black" w:cs="Arial"/>
        </w:rPr>
      </w:pPr>
      <w:r w:rsidRPr="004A6194">
        <w:rPr>
          <w:rFonts w:ascii="Arial Black" w:hAnsi="Arial Black" w:cs="Arial"/>
        </w:rPr>
        <w:lastRenderedPageBreak/>
        <w:t xml:space="preserve">Budget Preparation </w:t>
      </w:r>
    </w:p>
    <w:p w14:paraId="74EE7137" w14:textId="77777777" w:rsidR="004A6194" w:rsidRDefault="000B20B0" w:rsidP="004A6194">
      <w:pPr>
        <w:spacing w:line="480" w:lineRule="auto"/>
        <w:jc w:val="both"/>
        <w:rPr>
          <w:rFonts w:ascii="Arial" w:hAnsi="Arial" w:cs="Arial"/>
        </w:rPr>
      </w:pPr>
      <w:r w:rsidRPr="000B20B0">
        <w:rPr>
          <w:rFonts w:ascii="Arial" w:hAnsi="Arial" w:cs="Arial"/>
        </w:rPr>
        <w:t xml:space="preserve">To interpret and provide meaningful numbers against the objectives listed for Blue Thread Ltd.’s strategy and bank pledge, three inter-connected budgets were prepared in the attached Excel workbook </w:t>
      </w:r>
      <w:r>
        <w:rPr>
          <w:rFonts w:ascii="Arial" w:hAnsi="Arial" w:cs="Arial"/>
        </w:rPr>
        <w:t>B</w:t>
      </w:r>
      <w:r w:rsidRPr="000B20B0">
        <w:rPr>
          <w:rFonts w:ascii="Arial" w:hAnsi="Arial" w:cs="Arial"/>
        </w:rPr>
        <w:t>lue</w:t>
      </w:r>
      <w:r>
        <w:rPr>
          <w:rFonts w:ascii="Arial" w:hAnsi="Arial" w:cs="Arial"/>
        </w:rPr>
        <w:t xml:space="preserve"> T</w:t>
      </w:r>
      <w:r w:rsidRPr="000B20B0">
        <w:rPr>
          <w:rFonts w:ascii="Arial" w:hAnsi="Arial" w:cs="Arial"/>
        </w:rPr>
        <w:t>hread</w:t>
      </w:r>
      <w:r>
        <w:rPr>
          <w:rFonts w:ascii="Arial" w:hAnsi="Arial" w:cs="Arial"/>
        </w:rPr>
        <w:t xml:space="preserve"> </w:t>
      </w:r>
      <w:r w:rsidRPr="000B20B0">
        <w:rPr>
          <w:rFonts w:ascii="Arial" w:hAnsi="Arial" w:cs="Arial"/>
        </w:rPr>
        <w:t>budgets: Stock Budget; Cash Budget (month-end cash positions); and consolidated six-month Profit &amp; Loss Account. The process of developing these budgets applies standard managerial-accounting principles (Drury, 2018; Weetman, 2016) and emphasi</w:t>
      </w:r>
      <w:r>
        <w:rPr>
          <w:rFonts w:ascii="Arial" w:hAnsi="Arial" w:cs="Arial"/>
        </w:rPr>
        <w:t>s</w:t>
      </w:r>
      <w:r w:rsidRPr="000B20B0">
        <w:rPr>
          <w:rFonts w:ascii="Arial" w:hAnsi="Arial" w:cs="Arial"/>
        </w:rPr>
        <w:t xml:space="preserve">es the need to relate working-capital management to the realities of retail operations (Weygandt et al., 2018). </w:t>
      </w:r>
    </w:p>
    <w:p w14:paraId="4AA47B9A" w14:textId="2326A04F" w:rsidR="004A6194" w:rsidRPr="004A6194" w:rsidRDefault="000B20B0" w:rsidP="004A6194">
      <w:pPr>
        <w:pStyle w:val="ListParagraph"/>
        <w:numPr>
          <w:ilvl w:val="0"/>
          <w:numId w:val="7"/>
        </w:numPr>
        <w:spacing w:line="480" w:lineRule="auto"/>
        <w:jc w:val="both"/>
        <w:rPr>
          <w:rFonts w:ascii="Arial Black" w:hAnsi="Arial Black" w:cs="Arial"/>
        </w:rPr>
      </w:pPr>
      <w:r w:rsidRPr="004A6194">
        <w:rPr>
          <w:rFonts w:ascii="Arial Black" w:hAnsi="Arial Black" w:cs="Arial"/>
        </w:rPr>
        <w:t xml:space="preserve">Stock Budget </w:t>
      </w:r>
    </w:p>
    <w:p w14:paraId="66452318" w14:textId="45B4F840" w:rsidR="000B20B0" w:rsidRPr="004A6194" w:rsidRDefault="000B20B0" w:rsidP="004A6194">
      <w:pPr>
        <w:spacing w:line="480" w:lineRule="auto"/>
        <w:jc w:val="both"/>
        <w:rPr>
          <w:rFonts w:ascii="Arial Black" w:hAnsi="Arial Black" w:cs="Arial"/>
        </w:rPr>
      </w:pPr>
      <w:r w:rsidRPr="004A6194">
        <w:rPr>
          <w:rFonts w:ascii="Arial" w:hAnsi="Arial" w:cs="Arial"/>
        </w:rPr>
        <w:t>The Stock Budget outlines opening and closing inventory levels, cost of sales, and purchases for the period June through November. The budget begins with an opening stock position on 1 June of £90,000; this is far above the company’s minimum policy level of £40,000. By assuming a gross margin of £35 (meaning sales income represents 65% of cost of sales), the budget calculates monthly cost of sales. Presuming both monthly projection of sales income and appropriate closing stock, purchase requirements are defined by the opening stock position, along with desired closing stock and cost of sales.</w:t>
      </w:r>
    </w:p>
    <w:p w14:paraId="0A39EF9B" w14:textId="77777777" w:rsidR="000B20B0" w:rsidRDefault="000B20B0" w:rsidP="000B20B0">
      <w:pPr>
        <w:spacing w:line="480" w:lineRule="auto"/>
        <w:jc w:val="both"/>
        <w:rPr>
          <w:rFonts w:ascii="Arial" w:hAnsi="Arial" w:cs="Arial"/>
        </w:rPr>
      </w:pPr>
      <w:r w:rsidRPr="000B20B0">
        <w:rPr>
          <w:rFonts w:ascii="Arial" w:hAnsi="Arial" w:cs="Arial"/>
        </w:rPr>
        <w:t xml:space="preserve">In June, the formula-driven method resulted in purchase totals being £80,000, which dropped inventory level back to policy minimum. In following months, purchases only replenish 65% of that month’s costs of sales projection plus the buffer £40,000 stock policy. This systematic procedure limits stock outs and the cash tied up in stock, resultant from the associated cognitive work. This implicitly links to the empirical evidence that leaner inventory will lead to less cash tied up in inventory, and thus better </w:t>
      </w:r>
      <w:r w:rsidRPr="000B20B0">
        <w:rPr>
          <w:rFonts w:ascii="Arial" w:hAnsi="Arial" w:cs="Arial"/>
        </w:rPr>
        <w:lastRenderedPageBreak/>
        <w:t>liquidity and less carrying costs in retail business operations (</w:t>
      </w:r>
      <w:proofErr w:type="spellStart"/>
      <w:r w:rsidRPr="000B20B0">
        <w:rPr>
          <w:rFonts w:ascii="Arial" w:hAnsi="Arial" w:cs="Arial"/>
        </w:rPr>
        <w:t>Novianty</w:t>
      </w:r>
      <w:proofErr w:type="spellEnd"/>
      <w:r w:rsidRPr="000B20B0">
        <w:rPr>
          <w:rFonts w:ascii="Arial" w:hAnsi="Arial" w:cs="Arial"/>
        </w:rPr>
        <w:t xml:space="preserve">, 2015; </w:t>
      </w:r>
      <w:proofErr w:type="spellStart"/>
      <w:r w:rsidRPr="000B20B0">
        <w:rPr>
          <w:rFonts w:ascii="Arial" w:hAnsi="Arial" w:cs="Arial"/>
        </w:rPr>
        <w:t>Oyewo</w:t>
      </w:r>
      <w:proofErr w:type="spellEnd"/>
      <w:r w:rsidRPr="000B20B0">
        <w:rPr>
          <w:rFonts w:ascii="Arial" w:hAnsi="Arial" w:cs="Arial"/>
        </w:rPr>
        <w:t xml:space="preserve"> &amp; </w:t>
      </w:r>
      <w:proofErr w:type="spellStart"/>
      <w:r w:rsidRPr="000B20B0">
        <w:rPr>
          <w:rFonts w:ascii="Arial" w:hAnsi="Arial" w:cs="Arial"/>
        </w:rPr>
        <w:t>Ajibolade</w:t>
      </w:r>
      <w:proofErr w:type="spellEnd"/>
      <w:r w:rsidRPr="000B20B0">
        <w:rPr>
          <w:rFonts w:ascii="Arial" w:hAnsi="Arial" w:cs="Arial"/>
        </w:rPr>
        <w:t xml:space="preserve">, 2019). </w:t>
      </w:r>
    </w:p>
    <w:p w14:paraId="4DBD894E" w14:textId="77777777" w:rsidR="004A6194" w:rsidRDefault="000B20B0" w:rsidP="004A6194">
      <w:pPr>
        <w:spacing w:line="480" w:lineRule="auto"/>
        <w:jc w:val="both"/>
        <w:rPr>
          <w:rFonts w:ascii="Arial" w:hAnsi="Arial" w:cs="Arial"/>
        </w:rPr>
      </w:pPr>
      <w:r w:rsidRPr="000B20B0">
        <w:rPr>
          <w:rFonts w:ascii="Arial" w:hAnsi="Arial" w:cs="Arial"/>
        </w:rPr>
        <w:t xml:space="preserve">All </w:t>
      </w:r>
      <w:r w:rsidR="004A6194">
        <w:rPr>
          <w:rFonts w:ascii="Arial" w:hAnsi="Arial" w:cs="Arial"/>
        </w:rPr>
        <w:t>data</w:t>
      </w:r>
      <w:r w:rsidRPr="000B20B0">
        <w:rPr>
          <w:rFonts w:ascii="Arial" w:hAnsi="Arial" w:cs="Arial"/>
        </w:rPr>
        <w:t xml:space="preserve"> can be found in the "Stock Budget" sheet, where cost-of-sales calculations use the sales column and purchases use opening and projected closing stock count based on the monthly opening stock calculated by sales as a unit. The model uses calculations to automatically make these connections, making it easy to adapt to revisions should the sales forecasting become </w:t>
      </w:r>
      <w:r w:rsidR="00FF45D7" w:rsidRPr="000B20B0">
        <w:rPr>
          <w:rFonts w:ascii="Arial" w:hAnsi="Arial" w:cs="Arial"/>
        </w:rPr>
        <w:t>adjusted,</w:t>
      </w:r>
      <w:r w:rsidRPr="000B20B0">
        <w:rPr>
          <w:rFonts w:ascii="Arial" w:hAnsi="Arial" w:cs="Arial"/>
        </w:rPr>
        <w:t xml:space="preserve"> or a revised policy is adopted (Drury, 2018; Weetman, 2016</w:t>
      </w:r>
      <w:r w:rsidR="00FF45D7">
        <w:rPr>
          <w:rFonts w:ascii="Arial" w:hAnsi="Arial" w:cs="Arial"/>
        </w:rPr>
        <w:t>).</w:t>
      </w:r>
    </w:p>
    <w:p w14:paraId="2A6B10BE" w14:textId="52133E56" w:rsidR="000B20B0" w:rsidRPr="004A6194" w:rsidRDefault="000B20B0" w:rsidP="004A6194">
      <w:pPr>
        <w:pStyle w:val="ListParagraph"/>
        <w:numPr>
          <w:ilvl w:val="0"/>
          <w:numId w:val="7"/>
        </w:numPr>
        <w:spacing w:line="480" w:lineRule="auto"/>
        <w:jc w:val="both"/>
        <w:rPr>
          <w:rFonts w:ascii="Arial Black" w:hAnsi="Arial Black" w:cs="Arial"/>
        </w:rPr>
      </w:pPr>
      <w:r w:rsidRPr="004A6194">
        <w:rPr>
          <w:rFonts w:ascii="Arial Black" w:hAnsi="Arial Black" w:cs="Arial"/>
        </w:rPr>
        <w:t>Cash Budget</w:t>
      </w:r>
    </w:p>
    <w:p w14:paraId="18B8C609" w14:textId="77777777" w:rsidR="00FF45D7" w:rsidRDefault="000B20B0" w:rsidP="000B20B0">
      <w:pPr>
        <w:spacing w:line="480" w:lineRule="auto"/>
        <w:jc w:val="both"/>
        <w:rPr>
          <w:rFonts w:ascii="Arial" w:hAnsi="Arial" w:cs="Arial"/>
        </w:rPr>
      </w:pPr>
      <w:r w:rsidRPr="000B20B0">
        <w:rPr>
          <w:rFonts w:ascii="Arial" w:hAnsi="Arial" w:cs="Arial"/>
        </w:rPr>
        <w:t>The consolidated Cash Budget requests all projected cash receipts and payments for a six-month period, or period and conventions of time adopted by previous information notes. Receipts will equal sales as at 100% in the month of sales (and 30% pay by credit card plus 3% processing fee immediately deducted from cash receipts). Purchases will be paid in arrears 1-month, administrative expense payments are to be paid in full as incurred, short of the monthly non-cash expense of depreciation charged at £6,000. Selling expenses will be treated, as paid, 1-month in arrears, while repayments on loans are a flat £4,000 per month consisting of £1,000 interest and £3,000 principal. Capital expenditure for store refurbishments amounting to £12k in June, £10k in July and £14k in August and a tax payment due August of £15,000 rounded out the net outflows.</w:t>
      </w:r>
    </w:p>
    <w:p w14:paraId="56B14F27" w14:textId="77777777" w:rsidR="00FF45D7" w:rsidRDefault="000B20B0" w:rsidP="000B20B0">
      <w:pPr>
        <w:spacing w:line="480" w:lineRule="auto"/>
        <w:jc w:val="both"/>
        <w:rPr>
          <w:rFonts w:ascii="Arial" w:hAnsi="Arial" w:cs="Arial"/>
        </w:rPr>
      </w:pPr>
      <w:r w:rsidRPr="000B20B0">
        <w:rPr>
          <w:rFonts w:ascii="Arial" w:hAnsi="Arial" w:cs="Arial"/>
        </w:rPr>
        <w:t xml:space="preserve">The reported cash balances each month when combined with the cash inflows and net outflows reveal an opening overdraft position of £25,000 that dug deeper to approximately –£39,000 in June and –£38,100 in September and only reversed positive to +£1,500 on 30 November. The volatility clearly indicates the nature of </w:t>
      </w:r>
      <w:r w:rsidRPr="000B20B0">
        <w:rPr>
          <w:rFonts w:ascii="Arial" w:hAnsi="Arial" w:cs="Arial"/>
        </w:rPr>
        <w:lastRenderedPageBreak/>
        <w:t>liquidity management and contingency planning. The Cash Budget also reported detailed line-by-line formula calculations indicating total outflows of funds and total net weekly cash flows that are disclosed on the "Cash Budget" sheet, which linked directly to Stock Budget revenue purchases and loan repayment.</w:t>
      </w:r>
    </w:p>
    <w:p w14:paraId="0A5667B5" w14:textId="77777777" w:rsidR="004A6194" w:rsidRDefault="000B20B0" w:rsidP="004A6194">
      <w:pPr>
        <w:spacing w:line="480" w:lineRule="auto"/>
        <w:jc w:val="both"/>
        <w:rPr>
          <w:rFonts w:ascii="Arial" w:hAnsi="Arial" w:cs="Arial"/>
        </w:rPr>
      </w:pPr>
      <w:r w:rsidRPr="000B20B0">
        <w:rPr>
          <w:rFonts w:ascii="Arial" w:hAnsi="Arial" w:cs="Arial"/>
        </w:rPr>
        <w:t xml:space="preserve">The cash budget is also considered robust in its </w:t>
      </w:r>
      <w:r w:rsidR="00FF45D7" w:rsidRPr="000B20B0">
        <w:rPr>
          <w:rFonts w:ascii="Arial" w:hAnsi="Arial" w:cs="Arial"/>
        </w:rPr>
        <w:t>driver-based</w:t>
      </w:r>
      <w:r w:rsidRPr="000B20B0">
        <w:rPr>
          <w:rFonts w:ascii="Arial" w:hAnsi="Arial" w:cs="Arial"/>
        </w:rPr>
        <w:t xml:space="preserve"> style.</w:t>
      </w:r>
      <w:r w:rsidR="00FF45D7">
        <w:rPr>
          <w:rFonts w:ascii="Arial" w:hAnsi="Arial" w:cs="Arial"/>
        </w:rPr>
        <w:t xml:space="preserve"> </w:t>
      </w:r>
      <w:r w:rsidRPr="000B20B0">
        <w:rPr>
          <w:rFonts w:ascii="Arial" w:hAnsi="Arial" w:cs="Arial"/>
        </w:rPr>
        <w:t xml:space="preserve">Linking each major cash casualty item with an operational driver (i.e., sales volumes for receipts and credit card fees, timing of cost of sales for purchases, and fixed timings for payment of debt service and capex assets) enables sensitivity analysis and scenario modelling as all drivers of cash flows can be traced to an exceptional input. This method complements the best practice in cash management literature when it emphasises cash-flow drivers and timing lags in working-capital cycles (Dahana, 2020; </w:t>
      </w:r>
      <w:proofErr w:type="spellStart"/>
      <w:r w:rsidRPr="000B20B0">
        <w:rPr>
          <w:rFonts w:ascii="Arial" w:hAnsi="Arial" w:cs="Arial"/>
        </w:rPr>
        <w:t>Oriekhova</w:t>
      </w:r>
      <w:proofErr w:type="spellEnd"/>
      <w:r w:rsidRPr="000B20B0">
        <w:rPr>
          <w:rFonts w:ascii="Arial" w:hAnsi="Arial" w:cs="Arial"/>
        </w:rPr>
        <w:t xml:space="preserve"> &amp; Golovko, 2022).</w:t>
      </w:r>
    </w:p>
    <w:p w14:paraId="6D847421" w14:textId="1152FC3B" w:rsidR="000B20B0" w:rsidRPr="004A6194" w:rsidRDefault="000B20B0" w:rsidP="004A6194">
      <w:pPr>
        <w:pStyle w:val="ListParagraph"/>
        <w:numPr>
          <w:ilvl w:val="0"/>
          <w:numId w:val="7"/>
        </w:numPr>
        <w:spacing w:line="480" w:lineRule="auto"/>
        <w:jc w:val="both"/>
        <w:rPr>
          <w:rFonts w:ascii="Arial Black" w:hAnsi="Arial Black" w:cs="Arial"/>
        </w:rPr>
      </w:pPr>
      <w:r w:rsidRPr="004A6194">
        <w:rPr>
          <w:rFonts w:ascii="Arial Black" w:hAnsi="Arial Black" w:cs="Arial"/>
        </w:rPr>
        <w:t>Profit &amp; Loss Account</w:t>
      </w:r>
    </w:p>
    <w:p w14:paraId="0D680BDB" w14:textId="77777777" w:rsidR="000B20B0" w:rsidRPr="000B20B0" w:rsidRDefault="000B20B0" w:rsidP="000B20B0">
      <w:pPr>
        <w:spacing w:line="480" w:lineRule="auto"/>
        <w:jc w:val="both"/>
        <w:rPr>
          <w:rFonts w:ascii="Arial" w:hAnsi="Arial" w:cs="Arial"/>
        </w:rPr>
      </w:pPr>
      <w:r w:rsidRPr="000B20B0">
        <w:rPr>
          <w:rFonts w:ascii="Arial" w:hAnsi="Arial" w:cs="Arial"/>
        </w:rPr>
        <w:t>The consolidated Profit &amp; Loss Account for the 6 months to 30 November reconciles operating performance, with cash-flow and inventory schedules. Total sales of £1,350,000 flows from the total of monthly revenues, and with a cost of sales of £877,500 (which corresponds to 65%-of-sales assumptions embedded in the Stock Budget). Gross profit of £472,500 was then used to derive operating expenses, which included administration (£153,000), selling (£43,000), and credit-card fees (£40,500), which produced operating profit (EBIT) of £236,000. Profit before tax reduced £6,000 interest expense from profit that provided a profit before tax of £230,000 (less £15,000 tax payment) produced net profit of £215,000.</w:t>
      </w:r>
    </w:p>
    <w:p w14:paraId="28122078" w14:textId="3C0ADCD6" w:rsidR="000B20B0" w:rsidRPr="000B20B0" w:rsidRDefault="000B20B0" w:rsidP="000B20B0">
      <w:pPr>
        <w:spacing w:line="480" w:lineRule="auto"/>
        <w:jc w:val="both"/>
        <w:rPr>
          <w:rFonts w:ascii="Arial" w:hAnsi="Arial" w:cs="Arial"/>
        </w:rPr>
      </w:pPr>
      <w:r w:rsidRPr="000B20B0">
        <w:rPr>
          <w:rFonts w:ascii="Arial" w:hAnsi="Arial" w:cs="Arial"/>
        </w:rPr>
        <w:t xml:space="preserve">All line items of the P&amp;L statement are linked automatically in the format of working formulas to the Cash and Stock Budgets in the Excel workbook so there is consistency and to allow so called "what-if" analyses. For example, changing the gross margin </w:t>
      </w:r>
      <w:r w:rsidRPr="000B20B0">
        <w:rPr>
          <w:rFonts w:ascii="Arial" w:hAnsi="Arial" w:cs="Arial"/>
        </w:rPr>
        <w:lastRenderedPageBreak/>
        <w:t xml:space="preserve">input by 1% will affect both the cost of sales in the Profit &amp; Loss statement and the purchase requirements on the Stock Budget. The cause-and-effect of budgets will provide some continuous measure of performance by linking with the recorded performance in the P&amp;L statement. This congruence of budgets and measures of performance forms the basis for current contemporary approaches (e.g., Garg et al., </w:t>
      </w:r>
      <w:r w:rsidR="00FF45D7" w:rsidRPr="000B20B0">
        <w:rPr>
          <w:rFonts w:ascii="Arial" w:hAnsi="Arial" w:cs="Arial"/>
        </w:rPr>
        <w:t>2003; Weygandt</w:t>
      </w:r>
      <w:r w:rsidRPr="000B20B0">
        <w:rPr>
          <w:rFonts w:ascii="Arial" w:hAnsi="Arial" w:cs="Arial"/>
        </w:rPr>
        <w:t xml:space="preserve"> et al., 2018) in managerial accounting, which pursues integration as well as a real-time or contemporaneous basis for reporting.</w:t>
      </w:r>
      <w:r w:rsidR="00FF45D7">
        <w:rPr>
          <w:rFonts w:ascii="Arial" w:hAnsi="Arial" w:cs="Arial"/>
        </w:rPr>
        <w:t xml:space="preserve"> </w:t>
      </w:r>
      <w:r w:rsidRPr="000B20B0">
        <w:rPr>
          <w:rFonts w:ascii="Arial" w:hAnsi="Arial" w:cs="Arial"/>
        </w:rPr>
        <w:t>Through having all 3 budgets in one workbook and using formulae, Blue Thread Ltd has a very strong planning tool that will instantly account for changes in sales forecast, policy changes (for example, changing the minimum stock buffer), and finance costs. This will provide essential flexibility for continuously maintaining strategic agility</w:t>
      </w:r>
      <w:r w:rsidR="00FF45D7">
        <w:rPr>
          <w:rFonts w:ascii="Arial" w:hAnsi="Arial" w:cs="Arial"/>
        </w:rPr>
        <w:t xml:space="preserve">; </w:t>
      </w:r>
      <w:r w:rsidRPr="000B20B0">
        <w:rPr>
          <w:rFonts w:ascii="Arial" w:hAnsi="Arial" w:cs="Arial"/>
        </w:rPr>
        <w:t>an increasingly important ability for most retailers (</w:t>
      </w:r>
      <w:proofErr w:type="spellStart"/>
      <w:r w:rsidRPr="000B20B0">
        <w:rPr>
          <w:rFonts w:ascii="Arial" w:hAnsi="Arial" w:cs="Arial"/>
        </w:rPr>
        <w:t>Fatihudin</w:t>
      </w:r>
      <w:proofErr w:type="spellEnd"/>
      <w:r w:rsidRPr="000B20B0">
        <w:rPr>
          <w:rFonts w:ascii="Arial" w:hAnsi="Arial" w:cs="Arial"/>
        </w:rPr>
        <w:t xml:space="preserve">, 2018; </w:t>
      </w:r>
      <w:proofErr w:type="spellStart"/>
      <w:r w:rsidRPr="000B20B0">
        <w:rPr>
          <w:rFonts w:ascii="Arial" w:hAnsi="Arial" w:cs="Arial"/>
        </w:rPr>
        <w:t>Aydiner</w:t>
      </w:r>
      <w:proofErr w:type="spellEnd"/>
      <w:r w:rsidRPr="000B20B0">
        <w:rPr>
          <w:rFonts w:ascii="Arial" w:hAnsi="Arial" w:cs="Arial"/>
        </w:rPr>
        <w:t xml:space="preserve"> et al., 2019).</w:t>
      </w:r>
    </w:p>
    <w:p w14:paraId="5A745AFB" w14:textId="3C5D208A" w:rsidR="000B20B0" w:rsidRPr="00F77E2A" w:rsidRDefault="000B20B0" w:rsidP="00F77E2A">
      <w:pPr>
        <w:pStyle w:val="ListParagraph"/>
        <w:numPr>
          <w:ilvl w:val="0"/>
          <w:numId w:val="4"/>
        </w:numPr>
        <w:spacing w:line="480" w:lineRule="auto"/>
        <w:jc w:val="both"/>
        <w:rPr>
          <w:rFonts w:ascii="Arial Black" w:hAnsi="Arial Black" w:cs="Arial"/>
        </w:rPr>
      </w:pPr>
      <w:r w:rsidRPr="00F77E2A">
        <w:rPr>
          <w:rFonts w:ascii="Arial Black" w:hAnsi="Arial Black" w:cs="Arial"/>
        </w:rPr>
        <w:t>Assessment of Budgeted Issues and Suggested Management Responses</w:t>
      </w:r>
    </w:p>
    <w:p w14:paraId="771DB7ED" w14:textId="77777777" w:rsidR="007D4977" w:rsidRDefault="000B20B0" w:rsidP="000B20B0">
      <w:pPr>
        <w:spacing w:line="480" w:lineRule="auto"/>
        <w:jc w:val="both"/>
        <w:rPr>
          <w:rFonts w:ascii="Arial" w:hAnsi="Arial" w:cs="Arial"/>
        </w:rPr>
      </w:pPr>
      <w:r w:rsidRPr="000B20B0">
        <w:rPr>
          <w:rFonts w:ascii="Arial" w:hAnsi="Arial" w:cs="Arial"/>
        </w:rPr>
        <w:t xml:space="preserve">The above integrated budgets highlight significant issues impacting Blue Thread </w:t>
      </w:r>
      <w:r w:rsidR="00FF45D7" w:rsidRPr="000B20B0">
        <w:rPr>
          <w:rFonts w:ascii="Arial" w:hAnsi="Arial" w:cs="Arial"/>
        </w:rPr>
        <w:t>Ltd.’s</w:t>
      </w:r>
      <w:r w:rsidRPr="000B20B0">
        <w:rPr>
          <w:rFonts w:ascii="Arial" w:hAnsi="Arial" w:cs="Arial"/>
        </w:rPr>
        <w:t xml:space="preserve"> liquidity and related bank covenant adherence. This section assesses each issue, identifying operational determinants and suggesting appropriate budgeting actions based in practice and on academic research.</w:t>
      </w:r>
    </w:p>
    <w:p w14:paraId="0FB0B0A0" w14:textId="0A423207" w:rsidR="000B20B0" w:rsidRPr="00F77E2A" w:rsidRDefault="000B20B0" w:rsidP="00F77E2A">
      <w:pPr>
        <w:pStyle w:val="ListParagraph"/>
        <w:numPr>
          <w:ilvl w:val="0"/>
          <w:numId w:val="8"/>
        </w:numPr>
        <w:spacing w:line="480" w:lineRule="auto"/>
        <w:jc w:val="both"/>
        <w:rPr>
          <w:rFonts w:ascii="Arial Black" w:hAnsi="Arial Black" w:cs="Arial"/>
        </w:rPr>
      </w:pPr>
      <w:r w:rsidRPr="00F77E2A">
        <w:rPr>
          <w:rFonts w:ascii="Arial Black" w:hAnsi="Arial Black" w:cs="Arial"/>
        </w:rPr>
        <w:t>Cash-Flow variability and Covenant risk</w:t>
      </w:r>
    </w:p>
    <w:p w14:paraId="0874A732" w14:textId="77777777" w:rsidR="000B20B0" w:rsidRPr="000B20B0" w:rsidRDefault="000B20B0" w:rsidP="000B20B0">
      <w:pPr>
        <w:spacing w:line="480" w:lineRule="auto"/>
        <w:jc w:val="both"/>
        <w:rPr>
          <w:rFonts w:ascii="Arial" w:hAnsi="Arial" w:cs="Arial"/>
        </w:rPr>
      </w:pPr>
      <w:r w:rsidRPr="000B20B0">
        <w:rPr>
          <w:rFonts w:ascii="Arial" w:hAnsi="Arial" w:cs="Arial"/>
        </w:rPr>
        <w:t xml:space="preserve">The Cash-budget (see "Cash Budget" worksheet) reveals enormous variability in the monthly bank account balance from -£25,000 in the beginning to approximately -£39,000 in June and again, approximately -£38,100 in September, recovering to only +£1,500 in November. These variances obviously pose a risk to Blue Thread Ltd bank </w:t>
      </w:r>
      <w:r w:rsidRPr="000B20B0">
        <w:rPr>
          <w:rFonts w:ascii="Arial" w:hAnsi="Arial" w:cs="Arial"/>
        </w:rPr>
        <w:lastRenderedPageBreak/>
        <w:t>account covenant which requires the overdrawn balance to be eliminated by the end of the month (Weetman, 2016).</w:t>
      </w:r>
    </w:p>
    <w:p w14:paraId="567E386D" w14:textId="77777777" w:rsidR="00B342E3" w:rsidRDefault="000B20B0" w:rsidP="000B20B0">
      <w:pPr>
        <w:spacing w:line="480" w:lineRule="auto"/>
        <w:jc w:val="both"/>
        <w:rPr>
          <w:rFonts w:ascii="Arial" w:hAnsi="Arial" w:cs="Arial"/>
        </w:rPr>
      </w:pPr>
      <w:r w:rsidRPr="000B20B0">
        <w:rPr>
          <w:rFonts w:ascii="Arial" w:hAnsi="Arial" w:cs="Arial"/>
        </w:rPr>
        <w:t xml:space="preserve">The observed draught, in the month of June, is mostly attributed to the simultaneous outflows for stock purchases (1 month credit terms), administrative costs, selling- expense accrual, credit-card fees, loan payments, and lease payments in the form of refurbishment, of £12,000. In another bank account peri-indicated and confirming deterioration of cash-flow in due course of Blue Thread Ltd practice as an entity, £14,000 payment for refurbishing and £15,000 tax payment coincidences also occur with lower sales months. The arising risks associated with mis-matched timing of receipts with payables </w:t>
      </w:r>
      <w:r w:rsidR="00B342E3" w:rsidRPr="000B20B0">
        <w:rPr>
          <w:rFonts w:ascii="Arial" w:hAnsi="Arial" w:cs="Arial"/>
        </w:rPr>
        <w:t>entered</w:t>
      </w:r>
      <w:r w:rsidRPr="000B20B0">
        <w:rPr>
          <w:rFonts w:ascii="Arial" w:hAnsi="Arial" w:cs="Arial"/>
        </w:rPr>
        <w:t xml:space="preserve"> another important consideration, and an established contributor to liquidity issues among retail firms (</w:t>
      </w:r>
      <w:proofErr w:type="spellStart"/>
      <w:r w:rsidRPr="000B20B0">
        <w:rPr>
          <w:rFonts w:ascii="Arial" w:hAnsi="Arial" w:cs="Arial"/>
        </w:rPr>
        <w:t>Oriekhova</w:t>
      </w:r>
      <w:proofErr w:type="spellEnd"/>
      <w:r w:rsidRPr="000B20B0">
        <w:rPr>
          <w:rFonts w:ascii="Arial" w:hAnsi="Arial" w:cs="Arial"/>
        </w:rPr>
        <w:t xml:space="preserve"> &amp; Golovko, 2022).</w:t>
      </w:r>
    </w:p>
    <w:p w14:paraId="41FAED5E" w14:textId="77777777" w:rsidR="00B342E3" w:rsidRPr="00F77E2A" w:rsidRDefault="000B20B0" w:rsidP="00F77E2A">
      <w:pPr>
        <w:spacing w:line="480" w:lineRule="auto"/>
        <w:jc w:val="both"/>
        <w:rPr>
          <w:rFonts w:ascii="Arial Black" w:hAnsi="Arial Black" w:cs="Arial"/>
        </w:rPr>
      </w:pPr>
      <w:r w:rsidRPr="00F77E2A">
        <w:rPr>
          <w:rFonts w:ascii="Arial Black" w:hAnsi="Arial Black" w:cs="Arial"/>
        </w:rPr>
        <w:t>Management Actions</w:t>
      </w:r>
    </w:p>
    <w:p w14:paraId="0EDD7733" w14:textId="77777777" w:rsidR="00B342E3" w:rsidRPr="00F77E2A" w:rsidRDefault="000B20B0" w:rsidP="00F77E2A">
      <w:pPr>
        <w:pStyle w:val="ListParagraph"/>
        <w:numPr>
          <w:ilvl w:val="0"/>
          <w:numId w:val="9"/>
        </w:numPr>
        <w:spacing w:line="480" w:lineRule="auto"/>
        <w:jc w:val="both"/>
        <w:rPr>
          <w:rFonts w:ascii="Arial" w:hAnsi="Arial" w:cs="Arial"/>
        </w:rPr>
      </w:pPr>
      <w:r w:rsidRPr="00F77E2A">
        <w:rPr>
          <w:rFonts w:ascii="Arial" w:hAnsi="Arial" w:cs="Arial"/>
        </w:rPr>
        <w:t>Refinance or Restructure CAPEX Payments:  Negotiate with contractors to split the refurbishment bill into small milestone-based instalments spread beyond August. This phasing, spreads peak drains on cash while maintaining the upgrade schedule (Lord, 2007).</w:t>
      </w:r>
    </w:p>
    <w:p w14:paraId="2F22D27E" w14:textId="78941C26" w:rsidR="000B20B0" w:rsidRPr="00F77E2A" w:rsidRDefault="000B20B0" w:rsidP="00F77E2A">
      <w:pPr>
        <w:pStyle w:val="ListParagraph"/>
        <w:numPr>
          <w:ilvl w:val="0"/>
          <w:numId w:val="9"/>
        </w:numPr>
        <w:spacing w:line="480" w:lineRule="auto"/>
        <w:jc w:val="both"/>
        <w:rPr>
          <w:rFonts w:ascii="Arial" w:hAnsi="Arial" w:cs="Arial"/>
        </w:rPr>
      </w:pPr>
      <w:r w:rsidRPr="00F77E2A">
        <w:rPr>
          <w:rFonts w:ascii="Arial" w:hAnsi="Arial" w:cs="Arial"/>
        </w:rPr>
        <w:t>Temporarily Extend the Facility: Obtain a conditional waiver or increase the overdraft limit for a short term by amending the covenants to give a buffer while implementing the other actions (Garg et al., 2003</w:t>
      </w:r>
      <w:r w:rsidR="00B342E3" w:rsidRPr="00F77E2A">
        <w:rPr>
          <w:rFonts w:ascii="Arial" w:hAnsi="Arial" w:cs="Arial"/>
        </w:rPr>
        <w:t>;</w:t>
      </w:r>
      <w:r w:rsidRPr="00F77E2A">
        <w:rPr>
          <w:rFonts w:ascii="Arial" w:hAnsi="Arial" w:cs="Arial"/>
        </w:rPr>
        <w:t xml:space="preserve"> Lord, 2007; Garg et al., 2003)</w:t>
      </w:r>
      <w:r w:rsidR="00B342E3" w:rsidRPr="00F77E2A">
        <w:rPr>
          <w:rFonts w:ascii="Arial" w:hAnsi="Arial" w:cs="Arial"/>
        </w:rPr>
        <w:t>.</w:t>
      </w:r>
    </w:p>
    <w:p w14:paraId="0D9AEE91" w14:textId="6D6C90F9" w:rsidR="000B20B0" w:rsidRPr="00F77E2A" w:rsidRDefault="000B20B0" w:rsidP="00F77E2A">
      <w:pPr>
        <w:pStyle w:val="ListParagraph"/>
        <w:numPr>
          <w:ilvl w:val="0"/>
          <w:numId w:val="8"/>
        </w:numPr>
        <w:spacing w:line="480" w:lineRule="auto"/>
        <w:jc w:val="both"/>
        <w:rPr>
          <w:rFonts w:ascii="Arial Black" w:hAnsi="Arial Black" w:cs="Arial"/>
        </w:rPr>
      </w:pPr>
      <w:r w:rsidRPr="00F77E2A">
        <w:rPr>
          <w:rFonts w:ascii="Arial Black" w:hAnsi="Arial Black" w:cs="Arial"/>
        </w:rPr>
        <w:t>Excess Working Capital in Inventory</w:t>
      </w:r>
    </w:p>
    <w:p w14:paraId="68D91E33" w14:textId="77777777" w:rsidR="00B342E3" w:rsidRDefault="000B20B0" w:rsidP="000B20B0">
      <w:pPr>
        <w:spacing w:line="480" w:lineRule="auto"/>
        <w:jc w:val="both"/>
        <w:rPr>
          <w:rFonts w:ascii="Arial" w:hAnsi="Arial" w:cs="Arial"/>
        </w:rPr>
      </w:pPr>
      <w:r w:rsidRPr="000B20B0">
        <w:rPr>
          <w:rFonts w:ascii="Arial" w:hAnsi="Arial" w:cs="Arial"/>
        </w:rPr>
        <w:t xml:space="preserve">As of 1 June, Blue Thread had an inventory of £90,000 which is more than double the policy minimum of £40,000. Excess stock ties up cash from the firm's working capital </w:t>
      </w:r>
      <w:r w:rsidR="00B342E3" w:rsidRPr="000B20B0">
        <w:rPr>
          <w:rFonts w:ascii="Arial" w:hAnsi="Arial" w:cs="Arial"/>
        </w:rPr>
        <w:t>and</w:t>
      </w:r>
      <w:r w:rsidRPr="000B20B0">
        <w:rPr>
          <w:rFonts w:ascii="Arial" w:hAnsi="Arial" w:cs="Arial"/>
        </w:rPr>
        <w:t xml:space="preserve"> creates holding costs, for instance, warehousing, and the potential for markdowns; </w:t>
      </w:r>
      <w:r w:rsidRPr="000B20B0">
        <w:rPr>
          <w:rFonts w:ascii="Arial" w:hAnsi="Arial" w:cs="Arial"/>
        </w:rPr>
        <w:lastRenderedPageBreak/>
        <w:t xml:space="preserve">overall affecting its liquidity and profitability (Laghari &amp; Chengang,2019). Accounting studies have found that firms investing more in working capital relative to sales tended to have lower returns on assets and tighter cash positions (Laghari &amp; </w:t>
      </w:r>
      <w:proofErr w:type="spellStart"/>
      <w:r w:rsidRPr="000B20B0">
        <w:rPr>
          <w:rFonts w:ascii="Arial" w:hAnsi="Arial" w:cs="Arial"/>
        </w:rPr>
        <w:t>Chengang</w:t>
      </w:r>
      <w:proofErr w:type="spellEnd"/>
      <w:r w:rsidRPr="000B20B0">
        <w:rPr>
          <w:rFonts w:ascii="Arial" w:hAnsi="Arial" w:cs="Arial"/>
        </w:rPr>
        <w:t xml:space="preserve">, 2019; </w:t>
      </w:r>
      <w:proofErr w:type="spellStart"/>
      <w:r w:rsidRPr="000B20B0">
        <w:rPr>
          <w:rFonts w:ascii="Arial" w:hAnsi="Arial" w:cs="Arial"/>
        </w:rPr>
        <w:t>Novianty</w:t>
      </w:r>
      <w:proofErr w:type="spellEnd"/>
      <w:r w:rsidRPr="000B20B0">
        <w:rPr>
          <w:rFonts w:ascii="Arial" w:hAnsi="Arial" w:cs="Arial"/>
        </w:rPr>
        <w:t>, 2015).</w:t>
      </w:r>
    </w:p>
    <w:p w14:paraId="46523A21" w14:textId="77777777" w:rsidR="00B342E3" w:rsidRDefault="000B20B0" w:rsidP="000B20B0">
      <w:pPr>
        <w:spacing w:line="480" w:lineRule="auto"/>
        <w:jc w:val="both"/>
        <w:rPr>
          <w:rFonts w:ascii="Arial" w:hAnsi="Arial" w:cs="Arial"/>
        </w:rPr>
      </w:pPr>
      <w:r w:rsidRPr="000B20B0">
        <w:rPr>
          <w:rFonts w:ascii="Arial" w:hAnsi="Arial" w:cs="Arial"/>
        </w:rPr>
        <w:t>In addition, holding excess inventory can disguise errors in demand forecasting, resulting in overstocks, potential obsolescence for fashion retail where trends change frequently (</w:t>
      </w:r>
      <w:proofErr w:type="spellStart"/>
      <w:r w:rsidRPr="000B20B0">
        <w:rPr>
          <w:rFonts w:ascii="Arial" w:hAnsi="Arial" w:cs="Arial"/>
        </w:rPr>
        <w:t>Oyewo</w:t>
      </w:r>
      <w:proofErr w:type="spellEnd"/>
      <w:r w:rsidRPr="000B20B0">
        <w:rPr>
          <w:rFonts w:ascii="Arial" w:hAnsi="Arial" w:cs="Arial"/>
        </w:rPr>
        <w:t xml:space="preserve"> &amp; </w:t>
      </w:r>
      <w:proofErr w:type="spellStart"/>
      <w:r w:rsidRPr="000B20B0">
        <w:rPr>
          <w:rFonts w:ascii="Arial" w:hAnsi="Arial" w:cs="Arial"/>
        </w:rPr>
        <w:t>Ajibolade</w:t>
      </w:r>
      <w:proofErr w:type="spellEnd"/>
      <w:r w:rsidRPr="000B20B0">
        <w:rPr>
          <w:rFonts w:ascii="Arial" w:hAnsi="Arial" w:cs="Arial"/>
        </w:rPr>
        <w:t>, 2019). Failure to adjust procurement to sales patterns only compounds the reliance of cash flow evidenced within the Cash Budget.</w:t>
      </w:r>
    </w:p>
    <w:p w14:paraId="313262BF" w14:textId="77777777" w:rsidR="00B342E3" w:rsidRPr="00F77E2A" w:rsidRDefault="000B20B0" w:rsidP="00F77E2A">
      <w:pPr>
        <w:spacing w:line="480" w:lineRule="auto"/>
        <w:jc w:val="both"/>
        <w:rPr>
          <w:rFonts w:ascii="Arial Black" w:hAnsi="Arial Black" w:cs="Arial"/>
        </w:rPr>
      </w:pPr>
      <w:r w:rsidRPr="00F77E2A">
        <w:rPr>
          <w:rFonts w:ascii="Arial Black" w:hAnsi="Arial Black" w:cs="Arial"/>
        </w:rPr>
        <w:t>Management Actions</w:t>
      </w:r>
    </w:p>
    <w:p w14:paraId="6502E29F" w14:textId="77777777" w:rsidR="00B342E3" w:rsidRPr="00F77E2A" w:rsidRDefault="000B20B0" w:rsidP="00F77E2A">
      <w:pPr>
        <w:pStyle w:val="ListParagraph"/>
        <w:numPr>
          <w:ilvl w:val="0"/>
          <w:numId w:val="10"/>
        </w:numPr>
        <w:spacing w:line="480" w:lineRule="auto"/>
        <w:jc w:val="both"/>
        <w:rPr>
          <w:rFonts w:ascii="Arial" w:hAnsi="Arial" w:cs="Arial"/>
        </w:rPr>
      </w:pPr>
      <w:r w:rsidRPr="00F77E2A">
        <w:rPr>
          <w:rFonts w:ascii="Arial" w:hAnsi="Arial" w:cs="Arial"/>
        </w:rPr>
        <w:t>Clearance Programme: Develop a limited offer campaign, with markdowns in June to clear slow-moving SKU's and move stock closer to the £40,000 buffer. Tactical reductions will release cash without too much erosion of margin if managed carefully (</w:t>
      </w:r>
      <w:proofErr w:type="spellStart"/>
      <w:r w:rsidRPr="00F77E2A">
        <w:rPr>
          <w:rFonts w:ascii="Arial" w:hAnsi="Arial" w:cs="Arial"/>
        </w:rPr>
        <w:t>Oyewo</w:t>
      </w:r>
      <w:proofErr w:type="spellEnd"/>
      <w:r w:rsidRPr="00F77E2A">
        <w:rPr>
          <w:rFonts w:ascii="Arial" w:hAnsi="Arial" w:cs="Arial"/>
        </w:rPr>
        <w:t xml:space="preserve"> &amp; </w:t>
      </w:r>
      <w:proofErr w:type="spellStart"/>
      <w:r w:rsidRPr="00F77E2A">
        <w:rPr>
          <w:rFonts w:ascii="Arial" w:hAnsi="Arial" w:cs="Arial"/>
        </w:rPr>
        <w:t>Ajibolade</w:t>
      </w:r>
      <w:proofErr w:type="spellEnd"/>
      <w:r w:rsidRPr="00F77E2A">
        <w:rPr>
          <w:rFonts w:ascii="Arial" w:hAnsi="Arial" w:cs="Arial"/>
        </w:rPr>
        <w:t>, 2019).</w:t>
      </w:r>
    </w:p>
    <w:p w14:paraId="53186BBE" w14:textId="77777777" w:rsidR="007D4977" w:rsidRPr="00F77E2A" w:rsidRDefault="000B20B0" w:rsidP="00F77E2A">
      <w:pPr>
        <w:pStyle w:val="ListParagraph"/>
        <w:numPr>
          <w:ilvl w:val="0"/>
          <w:numId w:val="10"/>
        </w:numPr>
        <w:spacing w:line="480" w:lineRule="auto"/>
        <w:jc w:val="both"/>
        <w:rPr>
          <w:rFonts w:ascii="Arial" w:hAnsi="Arial" w:cs="Arial"/>
        </w:rPr>
      </w:pPr>
      <w:r w:rsidRPr="00F77E2A">
        <w:rPr>
          <w:rFonts w:ascii="Arial" w:hAnsi="Arial" w:cs="Arial"/>
        </w:rPr>
        <w:t>Just-In-Time Replenishment: Use a more frequent ordering process with smaller purchase orders that closely align with sales velocity.</w:t>
      </w:r>
      <w:r w:rsidR="00B342E3" w:rsidRPr="00F77E2A">
        <w:rPr>
          <w:rFonts w:ascii="Arial" w:hAnsi="Arial" w:cs="Arial"/>
        </w:rPr>
        <w:t xml:space="preserve"> </w:t>
      </w:r>
      <w:r w:rsidRPr="00F77E2A">
        <w:rPr>
          <w:rFonts w:ascii="Arial" w:hAnsi="Arial" w:cs="Arial"/>
        </w:rPr>
        <w:t>By linking orders to actual demand signals, Blue Thread can minimi</w:t>
      </w:r>
      <w:r w:rsidR="00B342E3" w:rsidRPr="00F77E2A">
        <w:rPr>
          <w:rFonts w:ascii="Arial" w:hAnsi="Arial" w:cs="Arial"/>
        </w:rPr>
        <w:t>s</w:t>
      </w:r>
      <w:r w:rsidRPr="00F77E2A">
        <w:rPr>
          <w:rFonts w:ascii="Arial" w:hAnsi="Arial" w:cs="Arial"/>
        </w:rPr>
        <w:t>e average inventory levels, and thus minimi</w:t>
      </w:r>
      <w:r w:rsidR="00B342E3" w:rsidRPr="00F77E2A">
        <w:rPr>
          <w:rFonts w:ascii="Arial" w:hAnsi="Arial" w:cs="Arial"/>
        </w:rPr>
        <w:t>s</w:t>
      </w:r>
      <w:r w:rsidRPr="00F77E2A">
        <w:rPr>
          <w:rFonts w:ascii="Arial" w:hAnsi="Arial" w:cs="Arial"/>
        </w:rPr>
        <w:t>e carrying costs (</w:t>
      </w:r>
      <w:proofErr w:type="spellStart"/>
      <w:r w:rsidRPr="00F77E2A">
        <w:rPr>
          <w:rFonts w:ascii="Arial" w:hAnsi="Arial" w:cs="Arial"/>
        </w:rPr>
        <w:t>Novianty</w:t>
      </w:r>
      <w:proofErr w:type="spellEnd"/>
      <w:r w:rsidRPr="00F77E2A">
        <w:rPr>
          <w:rFonts w:ascii="Arial" w:hAnsi="Arial" w:cs="Arial"/>
        </w:rPr>
        <w:t xml:space="preserve">, 2015). </w:t>
      </w:r>
    </w:p>
    <w:p w14:paraId="50861A70" w14:textId="43C40C4B" w:rsidR="000B20B0" w:rsidRPr="00F77E2A" w:rsidRDefault="000B20B0" w:rsidP="00F77E2A">
      <w:pPr>
        <w:pStyle w:val="ListParagraph"/>
        <w:numPr>
          <w:ilvl w:val="0"/>
          <w:numId w:val="8"/>
        </w:numPr>
        <w:spacing w:line="480" w:lineRule="auto"/>
        <w:jc w:val="both"/>
        <w:rPr>
          <w:rFonts w:ascii="Arial Black" w:hAnsi="Arial Black" w:cs="Arial"/>
        </w:rPr>
      </w:pPr>
      <w:r w:rsidRPr="00F77E2A">
        <w:rPr>
          <w:rFonts w:ascii="Arial Black" w:hAnsi="Arial Black" w:cs="Arial"/>
        </w:rPr>
        <w:t>Concentrated CAPEX and Tax Outflows</w:t>
      </w:r>
    </w:p>
    <w:p w14:paraId="62458238" w14:textId="77777777" w:rsidR="00010385" w:rsidRDefault="000B20B0" w:rsidP="000B20B0">
      <w:pPr>
        <w:spacing w:line="480" w:lineRule="auto"/>
        <w:jc w:val="both"/>
        <w:rPr>
          <w:rFonts w:ascii="Arial" w:hAnsi="Arial" w:cs="Arial"/>
        </w:rPr>
      </w:pPr>
      <w:r w:rsidRPr="000B20B0">
        <w:rPr>
          <w:rFonts w:ascii="Arial" w:hAnsi="Arial" w:cs="Arial"/>
        </w:rPr>
        <w:t>The mid-year timing concentrates significant non-operational cash demands</w:t>
      </w:r>
      <w:r w:rsidR="00642EF0">
        <w:rPr>
          <w:rFonts w:ascii="Arial" w:hAnsi="Arial" w:cs="Arial"/>
        </w:rPr>
        <w:t xml:space="preserve"> </w:t>
      </w:r>
      <w:r w:rsidRPr="000B20B0">
        <w:rPr>
          <w:rFonts w:ascii="Arial" w:hAnsi="Arial" w:cs="Arial"/>
        </w:rPr>
        <w:t>a refurbishment payment of £12k, £10k, and £14k</w:t>
      </w:r>
      <w:r w:rsidR="00642EF0">
        <w:rPr>
          <w:rFonts w:ascii="Arial" w:hAnsi="Arial" w:cs="Arial"/>
        </w:rPr>
        <w:t xml:space="preserve"> </w:t>
      </w:r>
      <w:r w:rsidRPr="000B20B0">
        <w:rPr>
          <w:rFonts w:ascii="Arial" w:hAnsi="Arial" w:cs="Arial"/>
        </w:rPr>
        <w:t xml:space="preserve">and a tax payment of £15k due in August. The </w:t>
      </w:r>
      <w:r w:rsidR="00642EF0">
        <w:rPr>
          <w:rFonts w:ascii="Arial" w:hAnsi="Arial" w:cs="Arial"/>
        </w:rPr>
        <w:t xml:space="preserve">uneven </w:t>
      </w:r>
      <w:r w:rsidRPr="000B20B0">
        <w:rPr>
          <w:rFonts w:ascii="Arial" w:hAnsi="Arial" w:cs="Arial"/>
        </w:rPr>
        <w:t xml:space="preserve">of outflows intensifies seasonal dips in net cash flow and increases overdraft peaks (Dahana, 2020). Empirical work also found concentrated capital outflows issue when they are misaligned with revenue cycles, which </w:t>
      </w:r>
      <w:r w:rsidRPr="000B20B0">
        <w:rPr>
          <w:rFonts w:ascii="Arial" w:hAnsi="Arial" w:cs="Arial"/>
        </w:rPr>
        <w:lastRenderedPageBreak/>
        <w:t>significantly increases borrowing requirements and interest expenditures (</w:t>
      </w:r>
      <w:proofErr w:type="spellStart"/>
      <w:r w:rsidRPr="000B20B0">
        <w:rPr>
          <w:rFonts w:ascii="Arial" w:hAnsi="Arial" w:cs="Arial"/>
        </w:rPr>
        <w:t>Aydiner</w:t>
      </w:r>
      <w:proofErr w:type="spellEnd"/>
      <w:r w:rsidRPr="000B20B0">
        <w:rPr>
          <w:rFonts w:ascii="Arial" w:hAnsi="Arial" w:cs="Arial"/>
        </w:rPr>
        <w:t xml:space="preserve"> et al., 2019)</w:t>
      </w:r>
      <w:r w:rsidR="00010385">
        <w:rPr>
          <w:rFonts w:ascii="Arial" w:hAnsi="Arial" w:cs="Arial"/>
        </w:rPr>
        <w:t>.</w:t>
      </w:r>
    </w:p>
    <w:p w14:paraId="689A13E5" w14:textId="0858ED89" w:rsidR="000B20B0" w:rsidRPr="00F77E2A" w:rsidRDefault="000B20B0" w:rsidP="00F77E2A">
      <w:pPr>
        <w:spacing w:line="480" w:lineRule="auto"/>
        <w:jc w:val="both"/>
        <w:rPr>
          <w:rFonts w:ascii="Arial Black" w:hAnsi="Arial Black" w:cs="Arial"/>
        </w:rPr>
      </w:pPr>
      <w:r w:rsidRPr="00F77E2A">
        <w:rPr>
          <w:rFonts w:ascii="Arial Black" w:hAnsi="Arial Black" w:cs="Arial"/>
        </w:rPr>
        <w:t xml:space="preserve">Management </w:t>
      </w:r>
      <w:r w:rsidR="00F77E2A">
        <w:rPr>
          <w:rFonts w:ascii="Arial Black" w:hAnsi="Arial Black" w:cs="Arial"/>
        </w:rPr>
        <w:t>Actions</w:t>
      </w:r>
    </w:p>
    <w:p w14:paraId="3954C7EE" w14:textId="77777777" w:rsidR="00010385" w:rsidRPr="00F77E2A" w:rsidRDefault="000B20B0" w:rsidP="00F77E2A">
      <w:pPr>
        <w:pStyle w:val="ListParagraph"/>
        <w:numPr>
          <w:ilvl w:val="0"/>
          <w:numId w:val="11"/>
        </w:numPr>
        <w:spacing w:line="480" w:lineRule="auto"/>
        <w:jc w:val="both"/>
        <w:rPr>
          <w:rFonts w:ascii="Arial" w:hAnsi="Arial" w:cs="Arial"/>
        </w:rPr>
      </w:pPr>
      <w:r w:rsidRPr="00F77E2A">
        <w:rPr>
          <w:rFonts w:ascii="Arial" w:hAnsi="Arial" w:cs="Arial"/>
        </w:rPr>
        <w:t>Staggered Tax Payment: negotiate an instalment agreement with HMRC, where applicable, to enable £15,000 to be paid out across months. It is normal for a smoothing mechanism like this to be permitted as a business is facing short-term liquidity challenges (Dahana, 2020).</w:t>
      </w:r>
    </w:p>
    <w:p w14:paraId="723EC044" w14:textId="32E9404E" w:rsidR="000B20B0" w:rsidRPr="00F77E2A" w:rsidRDefault="000B20B0" w:rsidP="00F77E2A">
      <w:pPr>
        <w:pStyle w:val="ListParagraph"/>
        <w:numPr>
          <w:ilvl w:val="0"/>
          <w:numId w:val="11"/>
        </w:numPr>
        <w:spacing w:line="480" w:lineRule="auto"/>
        <w:jc w:val="both"/>
        <w:rPr>
          <w:rFonts w:ascii="Arial" w:hAnsi="Arial" w:cs="Arial"/>
        </w:rPr>
      </w:pPr>
      <w:r w:rsidRPr="00F77E2A">
        <w:rPr>
          <w:rFonts w:ascii="Arial" w:hAnsi="Arial" w:cs="Arial"/>
        </w:rPr>
        <w:t>CAPEX Timing: enter a formal agreement with contractors to enable refurbishment to be staged out in Q3 and Q4 or vary one of the payments to some suitable longer-term service agreement, reducing cash peaks for little extra cost (Lord, 2007).</w:t>
      </w:r>
    </w:p>
    <w:p w14:paraId="6A343B3D" w14:textId="592C3B5D" w:rsidR="000B20B0" w:rsidRPr="00F77E2A" w:rsidRDefault="000B20B0" w:rsidP="00F77E2A">
      <w:pPr>
        <w:pStyle w:val="ListParagraph"/>
        <w:numPr>
          <w:ilvl w:val="0"/>
          <w:numId w:val="8"/>
        </w:numPr>
        <w:spacing w:line="480" w:lineRule="auto"/>
        <w:jc w:val="both"/>
        <w:rPr>
          <w:rFonts w:ascii="Arial Black" w:hAnsi="Arial Black" w:cs="Arial"/>
        </w:rPr>
      </w:pPr>
      <w:r w:rsidRPr="00F77E2A">
        <w:rPr>
          <w:rFonts w:ascii="Arial Black" w:hAnsi="Arial Black" w:cs="Arial"/>
        </w:rPr>
        <w:t>High Transaction and Financing Costs</w:t>
      </w:r>
    </w:p>
    <w:p w14:paraId="70D1728B" w14:textId="1F71276D" w:rsidR="000B20B0" w:rsidRPr="000B20B0" w:rsidRDefault="00010385" w:rsidP="000B20B0">
      <w:pPr>
        <w:spacing w:line="480" w:lineRule="auto"/>
        <w:jc w:val="both"/>
        <w:rPr>
          <w:rFonts w:ascii="Arial" w:hAnsi="Arial" w:cs="Arial"/>
        </w:rPr>
      </w:pPr>
      <w:r>
        <w:rPr>
          <w:rFonts w:ascii="Arial" w:hAnsi="Arial" w:cs="Arial"/>
        </w:rPr>
        <w:t>C</w:t>
      </w:r>
      <w:r w:rsidR="000B20B0" w:rsidRPr="000B20B0">
        <w:rPr>
          <w:rFonts w:ascii="Arial" w:hAnsi="Arial" w:cs="Arial"/>
        </w:rPr>
        <w:t>redit-card fees amount to 3% of sales on 30% of revenue, for £40,500 over six months, and debt repayment accrued £24,000 of costs. All these represent a significant utilising of revenue from the gross profit margin and relative to operating cash (Weygandt et al., 2018).</w:t>
      </w:r>
      <w:r>
        <w:rPr>
          <w:rFonts w:ascii="Arial" w:hAnsi="Arial" w:cs="Arial"/>
        </w:rPr>
        <w:t xml:space="preserve"> </w:t>
      </w:r>
      <w:r w:rsidR="000B20B0" w:rsidRPr="000B20B0">
        <w:rPr>
          <w:rFonts w:ascii="Arial" w:hAnsi="Arial" w:cs="Arial"/>
        </w:rPr>
        <w:t>While card payments are generally considered to be convenient for customers, there are significant merchant fees for a retailer to consider. Merchant fees often exceed the profit margin on goods sold; therefore, the retailer needs to actively manage costs (Garg et al., 2003).</w:t>
      </w:r>
    </w:p>
    <w:p w14:paraId="727B8B9A" w14:textId="77777777" w:rsidR="000B20B0" w:rsidRPr="00F77E2A" w:rsidRDefault="000B20B0" w:rsidP="00F77E2A">
      <w:pPr>
        <w:spacing w:line="480" w:lineRule="auto"/>
        <w:jc w:val="both"/>
        <w:rPr>
          <w:rFonts w:ascii="Arial Black" w:hAnsi="Arial Black" w:cs="Arial"/>
        </w:rPr>
      </w:pPr>
      <w:r w:rsidRPr="00F77E2A">
        <w:rPr>
          <w:rFonts w:ascii="Arial Black" w:hAnsi="Arial Black" w:cs="Arial"/>
        </w:rPr>
        <w:t>Management Actions</w:t>
      </w:r>
    </w:p>
    <w:p w14:paraId="556D3D12" w14:textId="77777777" w:rsidR="00010385" w:rsidRPr="00F77E2A" w:rsidRDefault="000B20B0" w:rsidP="00F77E2A">
      <w:pPr>
        <w:pStyle w:val="ListParagraph"/>
        <w:numPr>
          <w:ilvl w:val="0"/>
          <w:numId w:val="12"/>
        </w:numPr>
        <w:spacing w:line="480" w:lineRule="auto"/>
        <w:jc w:val="both"/>
        <w:rPr>
          <w:rFonts w:ascii="Arial" w:hAnsi="Arial" w:cs="Arial"/>
        </w:rPr>
      </w:pPr>
      <w:r w:rsidRPr="00F77E2A">
        <w:rPr>
          <w:rFonts w:ascii="Arial" w:hAnsi="Arial" w:cs="Arial"/>
        </w:rPr>
        <w:t xml:space="preserve">Payment Incentives: Offer customers an incentive of a small discount or loyalty program points to encourage them to use debit or cash rather than credit, with </w:t>
      </w:r>
      <w:r w:rsidRPr="00F77E2A">
        <w:rPr>
          <w:rFonts w:ascii="Arial" w:hAnsi="Arial" w:cs="Arial"/>
        </w:rPr>
        <w:lastRenderedPageBreak/>
        <w:t>the goal of shifting some volume away from stratifying the cost of credit cards (Weygandt et al., 2018).</w:t>
      </w:r>
    </w:p>
    <w:p w14:paraId="3F97CD32" w14:textId="77777777" w:rsidR="00010385" w:rsidRPr="00F77E2A" w:rsidRDefault="000B20B0" w:rsidP="00F77E2A">
      <w:pPr>
        <w:pStyle w:val="ListParagraph"/>
        <w:numPr>
          <w:ilvl w:val="0"/>
          <w:numId w:val="12"/>
        </w:numPr>
        <w:spacing w:line="480" w:lineRule="auto"/>
        <w:jc w:val="both"/>
        <w:rPr>
          <w:rFonts w:ascii="Arial" w:hAnsi="Arial" w:cs="Arial"/>
        </w:rPr>
      </w:pPr>
      <w:r w:rsidRPr="00F77E2A">
        <w:rPr>
          <w:rFonts w:ascii="Arial" w:hAnsi="Arial" w:cs="Arial"/>
        </w:rPr>
        <w:t>Fee Negotiation: Compare fees associated with other acquiring banks and reach out to negotiate lower rates, or charge customers a legally permissible surcharge to offset the fee already paid to process credit-card payments (Garg et al., 2003).</w:t>
      </w:r>
    </w:p>
    <w:p w14:paraId="031A70D4" w14:textId="7B59D044" w:rsidR="000B20B0" w:rsidRPr="00F77E2A" w:rsidRDefault="000B20B0" w:rsidP="00F77E2A">
      <w:pPr>
        <w:pStyle w:val="ListParagraph"/>
        <w:numPr>
          <w:ilvl w:val="0"/>
          <w:numId w:val="12"/>
        </w:numPr>
        <w:spacing w:line="480" w:lineRule="auto"/>
        <w:jc w:val="both"/>
        <w:rPr>
          <w:rFonts w:ascii="Arial" w:hAnsi="Arial" w:cs="Arial"/>
        </w:rPr>
      </w:pPr>
      <w:r w:rsidRPr="00F77E2A">
        <w:rPr>
          <w:rFonts w:ascii="Arial" w:hAnsi="Arial" w:cs="Arial"/>
        </w:rPr>
        <w:t>Debt Refinancing: Consider debt refinancing that would provide an option for longer loan term and lower monthly principal payments; this will alleviate monthly cash outflows (Weetman, 2016).</w:t>
      </w:r>
    </w:p>
    <w:p w14:paraId="7C612234" w14:textId="7F23D776" w:rsidR="000B20B0" w:rsidRPr="00F77E2A" w:rsidRDefault="000B20B0" w:rsidP="00F77E2A">
      <w:pPr>
        <w:pStyle w:val="ListParagraph"/>
        <w:numPr>
          <w:ilvl w:val="0"/>
          <w:numId w:val="8"/>
        </w:numPr>
        <w:spacing w:line="480" w:lineRule="auto"/>
        <w:jc w:val="both"/>
        <w:rPr>
          <w:rFonts w:ascii="Arial Black" w:hAnsi="Arial Black" w:cs="Arial"/>
        </w:rPr>
      </w:pPr>
      <w:r w:rsidRPr="00F77E2A">
        <w:rPr>
          <w:rFonts w:ascii="Arial Black" w:hAnsi="Arial Black" w:cs="Arial"/>
        </w:rPr>
        <w:t>Payment fixed Lag</w:t>
      </w:r>
    </w:p>
    <w:p w14:paraId="0639ADB0" w14:textId="77777777" w:rsidR="007906E5" w:rsidRDefault="000B20B0" w:rsidP="000B20B0">
      <w:pPr>
        <w:spacing w:line="480" w:lineRule="auto"/>
        <w:jc w:val="both"/>
        <w:rPr>
          <w:rFonts w:ascii="Arial" w:hAnsi="Arial" w:cs="Arial"/>
        </w:rPr>
      </w:pPr>
      <w:r w:rsidRPr="000B20B0">
        <w:rPr>
          <w:rFonts w:ascii="Arial" w:hAnsi="Arial" w:cs="Arial"/>
        </w:rPr>
        <w:t>The way stock purchases are conditioned as uniformly always one-month credit and traded payables as one month deferred spend creates a situation wherein cash outflows are often deferred longer than sales months from prior months which does not help stabili</w:t>
      </w:r>
      <w:r w:rsidR="007906E5">
        <w:rPr>
          <w:rFonts w:ascii="Arial" w:hAnsi="Arial" w:cs="Arial"/>
        </w:rPr>
        <w:t>s</w:t>
      </w:r>
      <w:r w:rsidRPr="000B20B0">
        <w:rPr>
          <w:rFonts w:ascii="Arial" w:hAnsi="Arial" w:cs="Arial"/>
        </w:rPr>
        <w:t>e liquidity (Weetman, 2016). Timing mismatches here have a negative cumulative effect when combined with lumpiness due to CAPEX and tax obligations.</w:t>
      </w:r>
    </w:p>
    <w:p w14:paraId="414C5F81" w14:textId="7805812E" w:rsidR="000B20B0" w:rsidRPr="00F77E2A" w:rsidRDefault="000B20B0" w:rsidP="00F77E2A">
      <w:pPr>
        <w:spacing w:line="480" w:lineRule="auto"/>
        <w:jc w:val="both"/>
        <w:rPr>
          <w:rFonts w:ascii="Arial Black" w:hAnsi="Arial Black" w:cs="Arial"/>
        </w:rPr>
      </w:pPr>
      <w:r w:rsidRPr="00F77E2A">
        <w:rPr>
          <w:rFonts w:ascii="Arial Black" w:hAnsi="Arial Black" w:cs="Arial"/>
        </w:rPr>
        <w:t>Management Actions</w:t>
      </w:r>
    </w:p>
    <w:p w14:paraId="668569CF" w14:textId="77777777" w:rsidR="007906E5" w:rsidRPr="00F77E2A" w:rsidRDefault="000B20B0" w:rsidP="00F77E2A">
      <w:pPr>
        <w:pStyle w:val="ListParagraph"/>
        <w:numPr>
          <w:ilvl w:val="0"/>
          <w:numId w:val="13"/>
        </w:numPr>
        <w:spacing w:line="480" w:lineRule="auto"/>
        <w:jc w:val="both"/>
        <w:rPr>
          <w:rFonts w:ascii="Arial" w:hAnsi="Arial" w:cs="Arial"/>
        </w:rPr>
      </w:pPr>
      <w:r w:rsidRPr="00F77E2A">
        <w:rPr>
          <w:rFonts w:ascii="Arial" w:hAnsi="Arial" w:cs="Arial"/>
        </w:rPr>
        <w:t xml:space="preserve">Larger payment terms from suppliers: Work with large suppliers to create payment terms in which stock purchases have a 45-60-day payment, effectively setting outflows to </w:t>
      </w:r>
      <w:r w:rsidR="007906E5" w:rsidRPr="00F77E2A">
        <w:rPr>
          <w:rFonts w:ascii="Arial" w:hAnsi="Arial" w:cs="Arial"/>
        </w:rPr>
        <w:t xml:space="preserve">combine </w:t>
      </w:r>
      <w:r w:rsidRPr="00F77E2A">
        <w:rPr>
          <w:rFonts w:ascii="Arial" w:hAnsi="Arial" w:cs="Arial"/>
        </w:rPr>
        <w:t>with cash-flow inflows and remove reliance on overdraft (</w:t>
      </w:r>
      <w:proofErr w:type="spellStart"/>
      <w:r w:rsidRPr="00F77E2A">
        <w:rPr>
          <w:rFonts w:ascii="Arial" w:hAnsi="Arial" w:cs="Arial"/>
        </w:rPr>
        <w:t>Oriekhova</w:t>
      </w:r>
      <w:proofErr w:type="spellEnd"/>
      <w:r w:rsidRPr="00F77E2A">
        <w:rPr>
          <w:rFonts w:ascii="Arial" w:hAnsi="Arial" w:cs="Arial"/>
        </w:rPr>
        <w:t xml:space="preserve"> &amp; Golovko, 2022).</w:t>
      </w:r>
    </w:p>
    <w:p w14:paraId="5A5B6E89" w14:textId="77777777" w:rsidR="00F77E2A" w:rsidRDefault="000B20B0" w:rsidP="000B20B0">
      <w:pPr>
        <w:pStyle w:val="ListParagraph"/>
        <w:numPr>
          <w:ilvl w:val="0"/>
          <w:numId w:val="13"/>
        </w:numPr>
        <w:spacing w:line="480" w:lineRule="auto"/>
        <w:jc w:val="both"/>
        <w:rPr>
          <w:rFonts w:ascii="Arial" w:hAnsi="Arial" w:cs="Arial"/>
        </w:rPr>
      </w:pPr>
      <w:r w:rsidRPr="00F77E2A">
        <w:rPr>
          <w:rFonts w:ascii="Arial" w:hAnsi="Arial" w:cs="Arial"/>
        </w:rPr>
        <w:t xml:space="preserve">Accelerated receivables: Offer wholesale or trade clients an early-payment discount (2% discount if payment is made in 10 days) which will reduce receipts on the days </w:t>
      </w:r>
      <w:r w:rsidR="007906E5" w:rsidRPr="00F77E2A">
        <w:rPr>
          <w:rFonts w:ascii="Arial" w:hAnsi="Arial" w:cs="Arial"/>
        </w:rPr>
        <w:t>sales outstanding and</w:t>
      </w:r>
      <w:r w:rsidRPr="00F77E2A">
        <w:rPr>
          <w:rFonts w:ascii="Arial" w:hAnsi="Arial" w:cs="Arial"/>
        </w:rPr>
        <w:t xml:space="preserve"> effectively shift future cash inflows into the present cash inflow months (</w:t>
      </w:r>
      <w:proofErr w:type="spellStart"/>
      <w:r w:rsidRPr="00F77E2A">
        <w:rPr>
          <w:rFonts w:ascii="Arial" w:hAnsi="Arial" w:cs="Arial"/>
        </w:rPr>
        <w:t>Aydiner</w:t>
      </w:r>
      <w:proofErr w:type="spellEnd"/>
      <w:r w:rsidRPr="00F77E2A">
        <w:rPr>
          <w:rFonts w:ascii="Arial" w:hAnsi="Arial" w:cs="Arial"/>
        </w:rPr>
        <w:t xml:space="preserve"> et al., 2019).</w:t>
      </w:r>
    </w:p>
    <w:p w14:paraId="2C8433A8" w14:textId="0021A92A" w:rsidR="008C209C" w:rsidRPr="00F77E2A" w:rsidRDefault="008C209C" w:rsidP="00F77E2A">
      <w:pPr>
        <w:pStyle w:val="ListParagraph"/>
        <w:numPr>
          <w:ilvl w:val="0"/>
          <w:numId w:val="4"/>
        </w:numPr>
        <w:spacing w:line="480" w:lineRule="auto"/>
        <w:jc w:val="both"/>
        <w:rPr>
          <w:rFonts w:ascii="Arial Black" w:hAnsi="Arial Black" w:cs="Arial"/>
        </w:rPr>
      </w:pPr>
      <w:r w:rsidRPr="00F77E2A">
        <w:rPr>
          <w:rFonts w:ascii="Arial Black" w:hAnsi="Arial Black" w:cs="Arial"/>
        </w:rPr>
        <w:lastRenderedPageBreak/>
        <w:t>Key Organisational and Behavioural Factors for Effective Budgeting</w:t>
      </w:r>
    </w:p>
    <w:p w14:paraId="4F831387" w14:textId="4246ADBE" w:rsidR="007906E5" w:rsidRDefault="000B20B0" w:rsidP="000B20B0">
      <w:pPr>
        <w:spacing w:line="480" w:lineRule="auto"/>
        <w:jc w:val="both"/>
        <w:rPr>
          <w:rFonts w:ascii="Arial" w:hAnsi="Arial" w:cs="Arial"/>
        </w:rPr>
      </w:pPr>
      <w:r w:rsidRPr="000B20B0">
        <w:rPr>
          <w:rFonts w:ascii="Arial" w:hAnsi="Arial" w:cs="Arial"/>
        </w:rPr>
        <w:t>The successful implementation of budgeting and budgetary control does not simply rely on good numerical models but also by the right organisational structures, processes and human behaviours. At Blue Thread Ltd, four base conditions must be satisfied before any budget system can create strategic and operational advantages.</w:t>
      </w:r>
    </w:p>
    <w:p w14:paraId="59F05E44" w14:textId="77777777" w:rsidR="007906E5" w:rsidRDefault="000B20B0" w:rsidP="000B20B0">
      <w:pPr>
        <w:spacing w:line="480" w:lineRule="auto"/>
        <w:jc w:val="both"/>
        <w:rPr>
          <w:rFonts w:ascii="Arial" w:hAnsi="Arial" w:cs="Arial"/>
        </w:rPr>
      </w:pPr>
      <w:r w:rsidRPr="000B20B0">
        <w:rPr>
          <w:rFonts w:ascii="Arial" w:hAnsi="Arial" w:cs="Arial"/>
        </w:rPr>
        <w:t xml:space="preserve">Firstly, there needs to be a clear line from budget targets to the company's strategy. Budgets should not be seen as cost exercises in isolation, but as the means to put a metric on how resource and measure allocation against strategic goals such as store growth, brand positioning, or investment in </w:t>
      </w:r>
      <w:r w:rsidR="007906E5" w:rsidRPr="000B20B0">
        <w:rPr>
          <w:rFonts w:ascii="Arial" w:hAnsi="Arial" w:cs="Arial"/>
        </w:rPr>
        <w:t>digital</w:t>
      </w:r>
      <w:r w:rsidR="007906E5" w:rsidRPr="000B20B0">
        <w:rPr>
          <w:rFonts w:ascii="Cambria Math" w:hAnsi="Cambria Math" w:cs="Cambria Math"/>
        </w:rPr>
        <w:t xml:space="preserve"> commerce</w:t>
      </w:r>
      <w:r w:rsidRPr="000B20B0">
        <w:rPr>
          <w:rFonts w:ascii="Arial" w:hAnsi="Arial" w:cs="Arial"/>
        </w:rPr>
        <w:t xml:space="preserve"> (Weetman, 2016). Budget lines that are directly related to </w:t>
      </w:r>
      <w:r w:rsidR="007906E5" w:rsidRPr="000B20B0">
        <w:rPr>
          <w:rFonts w:ascii="Arial" w:hAnsi="Arial" w:cs="Arial"/>
        </w:rPr>
        <w:t>strategic initiatives</w:t>
      </w:r>
      <w:r w:rsidRPr="000B20B0">
        <w:rPr>
          <w:rFonts w:ascii="Arial" w:hAnsi="Arial" w:cs="Arial"/>
        </w:rPr>
        <w:t xml:space="preserve"> see managers better understand the "why" behind the target and creates a goal </w:t>
      </w:r>
      <w:r w:rsidR="007906E5">
        <w:rPr>
          <w:rFonts w:ascii="Arial" w:hAnsi="Arial" w:cs="Arial"/>
        </w:rPr>
        <w:t>which</w:t>
      </w:r>
      <w:r w:rsidRPr="000B20B0">
        <w:rPr>
          <w:rFonts w:ascii="Arial" w:hAnsi="Arial" w:cs="Arial"/>
        </w:rPr>
        <w:t xml:space="preserve"> can</w:t>
      </w:r>
      <w:r w:rsidR="007906E5">
        <w:rPr>
          <w:rFonts w:ascii="Arial" w:hAnsi="Arial" w:cs="Arial"/>
        </w:rPr>
        <w:t xml:space="preserve"> be</w:t>
      </w:r>
      <w:r w:rsidRPr="000B20B0">
        <w:rPr>
          <w:rFonts w:ascii="Arial" w:hAnsi="Arial" w:cs="Arial"/>
        </w:rPr>
        <w:t xml:space="preserve"> own, rather than simply one</w:t>
      </w:r>
      <w:r w:rsidR="007906E5">
        <w:rPr>
          <w:rFonts w:ascii="Arial" w:hAnsi="Arial" w:cs="Arial"/>
        </w:rPr>
        <w:t xml:space="preserve"> to</w:t>
      </w:r>
      <w:r w:rsidRPr="000B20B0">
        <w:rPr>
          <w:rFonts w:ascii="Arial" w:hAnsi="Arial" w:cs="Arial"/>
        </w:rPr>
        <w:t xml:space="preserve"> deal with (Drury, 2018). </w:t>
      </w:r>
    </w:p>
    <w:p w14:paraId="1E49C608" w14:textId="77777777" w:rsidR="007906E5" w:rsidRDefault="000B20B0" w:rsidP="000B20B0">
      <w:pPr>
        <w:spacing w:line="480" w:lineRule="auto"/>
        <w:jc w:val="both"/>
        <w:rPr>
          <w:rFonts w:ascii="Arial" w:hAnsi="Arial" w:cs="Arial"/>
        </w:rPr>
      </w:pPr>
      <w:r w:rsidRPr="000B20B0">
        <w:rPr>
          <w:rFonts w:ascii="Arial" w:hAnsi="Arial" w:cs="Arial"/>
        </w:rPr>
        <w:t>Secondly, top</w:t>
      </w:r>
      <w:r w:rsidRPr="000B20B0">
        <w:rPr>
          <w:rFonts w:ascii="Cambria Math" w:hAnsi="Cambria Math" w:cs="Cambria Math"/>
        </w:rPr>
        <w:t>‐</w:t>
      </w:r>
      <w:r w:rsidRPr="000B20B0">
        <w:rPr>
          <w:rFonts w:ascii="Arial" w:hAnsi="Arial" w:cs="Arial"/>
        </w:rPr>
        <w:t xml:space="preserve">management support </w:t>
      </w:r>
      <w:r w:rsidR="007906E5" w:rsidRPr="000B20B0">
        <w:rPr>
          <w:rFonts w:ascii="Arial" w:hAnsi="Arial" w:cs="Arial"/>
        </w:rPr>
        <w:t>must be</w:t>
      </w:r>
      <w:r w:rsidRPr="000B20B0">
        <w:rPr>
          <w:rFonts w:ascii="Arial" w:hAnsi="Arial" w:cs="Arial"/>
        </w:rPr>
        <w:t xml:space="preserve"> unequivocal. Senior leaders need to actively support the budget process by setting realistic but stretching targets, providing timely input during budget discussions, and addressing significant variances, as required. </w:t>
      </w:r>
      <w:r w:rsidR="007906E5" w:rsidRPr="007906E5">
        <w:rPr>
          <w:rFonts w:ascii="Arial" w:hAnsi="Arial" w:cs="Arial"/>
        </w:rPr>
        <w:t>Visible executive sponsorship ensures line managers are fully engaged and both personnel and system resources are appropriately allocated for budgeting; without that executive sponsorship, budgeting becomes just a formality, disconnected from, and not driving real decision making (Garg et al., 2003).</w:t>
      </w:r>
    </w:p>
    <w:p w14:paraId="7600CC70" w14:textId="77777777" w:rsidR="00477E69" w:rsidRDefault="000B20B0" w:rsidP="000B20B0">
      <w:pPr>
        <w:spacing w:line="480" w:lineRule="auto"/>
        <w:jc w:val="both"/>
        <w:rPr>
          <w:rFonts w:ascii="Arial" w:hAnsi="Arial" w:cs="Arial"/>
        </w:rPr>
      </w:pPr>
      <w:r w:rsidRPr="000B20B0">
        <w:rPr>
          <w:rFonts w:ascii="Arial" w:hAnsi="Arial" w:cs="Arial"/>
        </w:rPr>
        <w:t xml:space="preserve">Third, integrated information systems are critical. A spreadsheet system is flexible, but it creates errors and delays, and it undermines confidence in the numbers (Holland et al., 1994). Unlike spreadsheets, enterprise resource-planning (ERP) systems with budgeting modules can receive real-time data directly from the sales, inventory, and </w:t>
      </w:r>
      <w:r w:rsidRPr="000B20B0">
        <w:rPr>
          <w:rFonts w:ascii="Arial" w:hAnsi="Arial" w:cs="Arial"/>
        </w:rPr>
        <w:lastRenderedPageBreak/>
        <w:t>finance subledgers, so budgets can be compared against actuals in near real time (</w:t>
      </w:r>
      <w:proofErr w:type="spellStart"/>
      <w:r w:rsidRPr="000B20B0">
        <w:rPr>
          <w:rFonts w:ascii="Arial" w:hAnsi="Arial" w:cs="Arial"/>
        </w:rPr>
        <w:t>Aydiner</w:t>
      </w:r>
      <w:proofErr w:type="spellEnd"/>
      <w:r w:rsidRPr="000B20B0">
        <w:rPr>
          <w:rFonts w:ascii="Arial" w:hAnsi="Arial" w:cs="Arial"/>
        </w:rPr>
        <w:t xml:space="preserve"> et al., 2019). Integrated systems also offer real-time continuous updates to rolling forecasts and driver-based planning and reduce the time-lag from when data is captured to when it is useful for decision-support (Maher, Fakhar &amp; Karimi, 2018). </w:t>
      </w:r>
    </w:p>
    <w:p w14:paraId="015F3F22" w14:textId="77777777" w:rsidR="00477E69" w:rsidRDefault="000B20B0" w:rsidP="000B20B0">
      <w:pPr>
        <w:spacing w:line="480" w:lineRule="auto"/>
        <w:jc w:val="both"/>
        <w:rPr>
          <w:rFonts w:ascii="Arial" w:hAnsi="Arial" w:cs="Arial"/>
        </w:rPr>
      </w:pPr>
      <w:r w:rsidRPr="000B20B0">
        <w:rPr>
          <w:rFonts w:ascii="Arial" w:hAnsi="Arial" w:cs="Arial"/>
        </w:rPr>
        <w:t>Fourth, an integrated and collaborative process is needed. Sales projections of demand directly impacts the inventory policy, which has implications for the other departments' cash flows, working capital, and profitability. Therefore, if each department develops their forecasts in isolation from the other departments, the aggregate budget developed will have misaligned assumptions, creating unrealistic objectives (Weetman, 2016). In contrast, a collaborative approach in which the finance department facilitates structured workshops to bring together the store managers, procurement, marketing and operations</w:t>
      </w:r>
      <w:r w:rsidR="00477E69">
        <w:rPr>
          <w:rFonts w:ascii="Arial" w:hAnsi="Arial" w:cs="Arial"/>
        </w:rPr>
        <w:t xml:space="preserve">, </w:t>
      </w:r>
      <w:r w:rsidRPr="000B20B0">
        <w:rPr>
          <w:rFonts w:ascii="Arial" w:hAnsi="Arial" w:cs="Arial"/>
        </w:rPr>
        <w:t xml:space="preserve">can provide a coordinated set of assumptions and reduce the likelihood of siloed departmental 'optimism' or 'pessimism' in forecasts (Ramdhan &amp; </w:t>
      </w:r>
      <w:proofErr w:type="spellStart"/>
      <w:r w:rsidRPr="000B20B0">
        <w:rPr>
          <w:rFonts w:ascii="Arial" w:hAnsi="Arial" w:cs="Arial"/>
        </w:rPr>
        <w:t>Rosmawati</w:t>
      </w:r>
      <w:proofErr w:type="spellEnd"/>
      <w:r w:rsidRPr="000B20B0">
        <w:rPr>
          <w:rFonts w:ascii="Arial" w:hAnsi="Arial" w:cs="Arial"/>
        </w:rPr>
        <w:t>, 2022).</w:t>
      </w:r>
    </w:p>
    <w:p w14:paraId="703CFA89" w14:textId="6D02ADB0" w:rsidR="008C209C" w:rsidRPr="00F77E2A" w:rsidRDefault="008C209C" w:rsidP="00F77E2A">
      <w:pPr>
        <w:pStyle w:val="ListParagraph"/>
        <w:numPr>
          <w:ilvl w:val="0"/>
          <w:numId w:val="4"/>
        </w:numPr>
        <w:spacing w:line="480" w:lineRule="auto"/>
        <w:jc w:val="both"/>
        <w:rPr>
          <w:rFonts w:ascii="Arial Black" w:hAnsi="Arial Black" w:cs="Arial"/>
        </w:rPr>
      </w:pPr>
      <w:r w:rsidRPr="00F77E2A">
        <w:rPr>
          <w:rFonts w:ascii="Arial Black" w:hAnsi="Arial Black" w:cs="Arial"/>
        </w:rPr>
        <w:t>Critical Evaluation of Traditional Budgeting</w:t>
      </w:r>
    </w:p>
    <w:p w14:paraId="2744426E" w14:textId="77777777" w:rsidR="008C209C" w:rsidRDefault="008C209C" w:rsidP="008C209C">
      <w:pPr>
        <w:spacing w:line="480" w:lineRule="auto"/>
        <w:jc w:val="both"/>
        <w:rPr>
          <w:rFonts w:ascii="Arial" w:hAnsi="Arial" w:cs="Arial"/>
        </w:rPr>
      </w:pPr>
      <w:r w:rsidRPr="008C209C">
        <w:rPr>
          <w:rFonts w:ascii="Arial" w:hAnsi="Arial" w:cs="Arial"/>
        </w:rPr>
        <w:t xml:space="preserve">Traditional incremental budgeting in fast-changing environments has five important limitations. First, budgeting activities often rely too much on historical baselines, repeating past inefficiencies and failing to reallocate resources based on current market realities. Second, annual budgets, once approved, are fixed for 12 months, which makes mid-year changes </w:t>
      </w:r>
      <w:r>
        <w:rPr>
          <w:rFonts w:ascii="Arial" w:hAnsi="Arial" w:cs="Arial"/>
        </w:rPr>
        <w:t xml:space="preserve">overly complex </w:t>
      </w:r>
      <w:r w:rsidRPr="008C209C">
        <w:rPr>
          <w:rFonts w:ascii="Arial" w:hAnsi="Arial" w:cs="Arial"/>
        </w:rPr>
        <w:t xml:space="preserve">and slow. Third, traditional budgets foster behavioural gaming, where for example departments rush to spend their budget allocation before year-end so they do not get their budgets reduced, and managers will add slack to budget figures. Fourth, when funding horizons are fixed to one-year, it can hinder funding for multi-year strategic projects, such as digital transformation, or </w:t>
      </w:r>
      <w:r w:rsidRPr="008C209C">
        <w:rPr>
          <w:rFonts w:ascii="Arial" w:hAnsi="Arial" w:cs="Arial"/>
        </w:rPr>
        <w:lastRenderedPageBreak/>
        <w:t>sustainability. Fifth, budgeting bureaucracy associated with preparation, review, and negotiation of detailed line items, takes a lot of finance-team capacity; demand-side resource allocation is favoured over supply-side resource funding, preventing a focus towards strategic analysis and value creation. (Drury, 2018; Flood, 2012; Maher et al., 2018; Melnichuk, 2015</w:t>
      </w:r>
      <w:r>
        <w:rPr>
          <w:rFonts w:ascii="Arial" w:hAnsi="Arial" w:cs="Arial"/>
        </w:rPr>
        <w:t>).</w:t>
      </w:r>
    </w:p>
    <w:p w14:paraId="74E6E0CB" w14:textId="77777777" w:rsidR="008C209C" w:rsidRDefault="008C209C" w:rsidP="008C209C">
      <w:pPr>
        <w:spacing w:line="480" w:lineRule="auto"/>
        <w:jc w:val="both"/>
        <w:rPr>
          <w:rFonts w:ascii="Arial" w:hAnsi="Arial" w:cs="Arial"/>
        </w:rPr>
      </w:pPr>
      <w:r w:rsidRPr="008C209C">
        <w:rPr>
          <w:rFonts w:ascii="Arial" w:hAnsi="Arial" w:cs="Arial"/>
        </w:rPr>
        <w:t xml:space="preserve">In response, several more agile planning mechanisms have increased in popularity. Rolling forecasts replace static annual targets with a 12- to 18-month time horizon that is continuously updated (monthly, or quarterly) to reflect real-time trends. </w:t>
      </w:r>
    </w:p>
    <w:p w14:paraId="467C7219" w14:textId="77777777" w:rsidR="008C209C" w:rsidRPr="00F77E2A" w:rsidRDefault="008C209C" w:rsidP="00F77E2A">
      <w:pPr>
        <w:pStyle w:val="ListParagraph"/>
        <w:numPr>
          <w:ilvl w:val="0"/>
          <w:numId w:val="14"/>
        </w:numPr>
        <w:spacing w:line="480" w:lineRule="auto"/>
        <w:jc w:val="both"/>
        <w:rPr>
          <w:rFonts w:ascii="Arial" w:hAnsi="Arial" w:cs="Arial"/>
        </w:rPr>
      </w:pPr>
      <w:r w:rsidRPr="00F77E2A">
        <w:rPr>
          <w:rFonts w:ascii="Arial" w:hAnsi="Arial" w:cs="Arial"/>
        </w:rPr>
        <w:t xml:space="preserve">Beyond Budgeting promotes decentralised decision rights, relative performance comparisons, and more adaptive leadership instead of fixed financial targets. </w:t>
      </w:r>
    </w:p>
    <w:p w14:paraId="2DE5FB0D" w14:textId="3B0A70B8" w:rsidR="008C209C" w:rsidRPr="00F77E2A" w:rsidRDefault="008C209C" w:rsidP="00F77E2A">
      <w:pPr>
        <w:pStyle w:val="ListParagraph"/>
        <w:numPr>
          <w:ilvl w:val="0"/>
          <w:numId w:val="14"/>
        </w:numPr>
        <w:spacing w:line="480" w:lineRule="auto"/>
        <w:jc w:val="both"/>
        <w:rPr>
          <w:rFonts w:ascii="Arial" w:hAnsi="Arial" w:cs="Arial"/>
        </w:rPr>
      </w:pPr>
      <w:r w:rsidRPr="00F77E2A">
        <w:rPr>
          <w:rFonts w:ascii="Arial" w:hAnsi="Arial" w:cs="Arial"/>
        </w:rPr>
        <w:t xml:space="preserve">Activity-Based Budgeting allocates resources based on cost drivers and value-creating activities instead of historical line items to make resource allocation more applicable to operational reality. </w:t>
      </w:r>
    </w:p>
    <w:p w14:paraId="158FDBFA" w14:textId="77777777" w:rsidR="008C209C" w:rsidRPr="00F77E2A" w:rsidRDefault="008C209C" w:rsidP="00F77E2A">
      <w:pPr>
        <w:pStyle w:val="ListParagraph"/>
        <w:numPr>
          <w:ilvl w:val="0"/>
          <w:numId w:val="14"/>
        </w:numPr>
        <w:spacing w:line="480" w:lineRule="auto"/>
        <w:jc w:val="both"/>
        <w:rPr>
          <w:rFonts w:ascii="Arial" w:hAnsi="Arial" w:cs="Arial"/>
        </w:rPr>
      </w:pPr>
      <w:r w:rsidRPr="00F77E2A">
        <w:rPr>
          <w:rFonts w:ascii="Arial" w:hAnsi="Arial" w:cs="Arial"/>
        </w:rPr>
        <w:t>Zero-Base Budgeting requires every cycle to start from zero, and requires justification for every expense, promoting vigorous cost scrutiny.</w:t>
      </w:r>
    </w:p>
    <w:p w14:paraId="53EEF4D8" w14:textId="7540FC5C" w:rsidR="008C209C" w:rsidRPr="00F77E2A" w:rsidRDefault="008C209C" w:rsidP="00F77E2A">
      <w:pPr>
        <w:pStyle w:val="ListParagraph"/>
        <w:numPr>
          <w:ilvl w:val="0"/>
          <w:numId w:val="14"/>
        </w:numPr>
        <w:spacing w:line="480" w:lineRule="auto"/>
        <w:jc w:val="both"/>
        <w:rPr>
          <w:rFonts w:ascii="Arial" w:hAnsi="Arial" w:cs="Arial"/>
        </w:rPr>
      </w:pPr>
      <w:r w:rsidRPr="00F77E2A">
        <w:rPr>
          <w:rFonts w:ascii="Arial" w:hAnsi="Arial" w:cs="Arial"/>
        </w:rPr>
        <w:t>Driver-Based Planning prioritises a few, high-impact operational levers, such as transactions per store and average basket size, to simplify models and increase transparency. (Banaag, 2024; Bhimani, 2006; Maher et al., 2018; Pratt &amp; Peters, 2017).</w:t>
      </w:r>
    </w:p>
    <w:p w14:paraId="10B0F0AE" w14:textId="218EB35C" w:rsidR="008C209C" w:rsidRPr="008C209C" w:rsidRDefault="008C209C" w:rsidP="008C209C">
      <w:pPr>
        <w:spacing w:line="480" w:lineRule="auto"/>
        <w:jc w:val="both"/>
        <w:rPr>
          <w:rFonts w:ascii="Arial" w:hAnsi="Arial" w:cs="Arial"/>
        </w:rPr>
      </w:pPr>
      <w:r w:rsidRPr="008C209C">
        <w:rPr>
          <w:rFonts w:ascii="Arial" w:hAnsi="Arial" w:cs="Arial"/>
        </w:rPr>
        <w:t xml:space="preserve">For Blue Thread Ltd, a hybrid approach can combine the rigour of annual budgeting, and the flexibility required to establish a sustainable competitive edge. Rolling forecasts linked to driver-based triggers for inventory replenishment and promotional expenditure allow Blue Thread Ltd to recalibrate cash-flow forecasts as sales volumes </w:t>
      </w:r>
      <w:r w:rsidRPr="008C209C">
        <w:rPr>
          <w:rFonts w:ascii="Arial" w:hAnsi="Arial" w:cs="Arial"/>
        </w:rPr>
        <w:lastRenderedPageBreak/>
        <w:t>and margins developed. Activity-based budgets for marketing and refurbishment projects acknowledge the limitation of resources and fund the most impactful ones. Zero-base budgeting of major overhead categories will identify inefficiencies and where savings can be found and reallocated to those of greater strategic importance. This hybrid structure maintains accountability and variance analysis while being able to adjust quickly to both degree of operational and strategic plans, giving Blue Thread Ltd the ability to buffer retail volatility while meeting its bank covenant</w:t>
      </w:r>
      <w:r>
        <w:rPr>
          <w:rFonts w:ascii="Arial" w:hAnsi="Arial" w:cs="Arial"/>
        </w:rPr>
        <w:t xml:space="preserve"> </w:t>
      </w:r>
      <w:r w:rsidRPr="008C209C">
        <w:rPr>
          <w:rFonts w:ascii="Arial" w:hAnsi="Arial" w:cs="Arial"/>
        </w:rPr>
        <w:t>(Banaag, 2024; Maher et al., 2018; Mao, 2023; Pratt &amp; Peters, 2017)</w:t>
      </w:r>
      <w:r>
        <w:rPr>
          <w:rFonts w:ascii="Arial" w:hAnsi="Arial" w:cs="Arial"/>
        </w:rPr>
        <w:t>.</w:t>
      </w:r>
    </w:p>
    <w:p w14:paraId="07B1B91C" w14:textId="46427F53" w:rsidR="008C209C" w:rsidRPr="00F77E2A" w:rsidRDefault="008C209C" w:rsidP="00F77E2A">
      <w:pPr>
        <w:pStyle w:val="ListParagraph"/>
        <w:numPr>
          <w:ilvl w:val="0"/>
          <w:numId w:val="4"/>
        </w:numPr>
        <w:spacing w:line="480" w:lineRule="auto"/>
        <w:jc w:val="both"/>
        <w:rPr>
          <w:rFonts w:ascii="Arial Black" w:hAnsi="Arial Black" w:cs="Arial"/>
        </w:rPr>
      </w:pPr>
      <w:r w:rsidRPr="00F77E2A">
        <w:rPr>
          <w:rFonts w:ascii="Arial Black" w:hAnsi="Arial Black" w:cs="Arial"/>
        </w:rPr>
        <w:t>Conclusion</w:t>
      </w:r>
    </w:p>
    <w:p w14:paraId="7B1204AF" w14:textId="77777777" w:rsidR="008C209C" w:rsidRDefault="008C209C" w:rsidP="008C209C">
      <w:pPr>
        <w:spacing w:line="480" w:lineRule="auto"/>
        <w:jc w:val="both"/>
        <w:rPr>
          <w:rFonts w:ascii="Arial" w:hAnsi="Arial" w:cs="Arial"/>
        </w:rPr>
      </w:pPr>
      <w:r w:rsidRPr="008C209C">
        <w:rPr>
          <w:rFonts w:ascii="Arial" w:hAnsi="Arial" w:cs="Arial"/>
        </w:rPr>
        <w:t>This report has delivered a detailed budgeting framework for Blue Thread Ltd covering stock management, cash-flow planning, and profit reporting Excel models. The Stock Budget is designed to provide minimum stock levels while preserving liquidity, the Cash Budget highlights timing mismatches and overdraft risks, and the consolidated Profit &amp; Loss Account reports operational performance on a strategic basis.</w:t>
      </w:r>
    </w:p>
    <w:p w14:paraId="3D3C71A0" w14:textId="77777777" w:rsidR="00B50BB9" w:rsidRDefault="008C209C" w:rsidP="008C209C">
      <w:pPr>
        <w:spacing w:line="480" w:lineRule="auto"/>
        <w:jc w:val="both"/>
        <w:rPr>
          <w:rFonts w:ascii="Arial" w:hAnsi="Arial" w:cs="Arial"/>
        </w:rPr>
      </w:pPr>
      <w:r w:rsidRPr="008C209C">
        <w:rPr>
          <w:rFonts w:ascii="Arial" w:hAnsi="Arial" w:cs="Arial"/>
        </w:rPr>
        <w:t xml:space="preserve">The analysis of the above budgets revealed serious inconsistencies: vicious volatility in cash-flow caused by lumpiness of CAPEX and tax payments; excessive working capital in stock; extremely high transactions and financing costs; and rigging payment terms. A series of specifically targeted management actions existed in relation to </w:t>
      </w:r>
      <w:r w:rsidR="00B50BB9" w:rsidRPr="008C209C">
        <w:rPr>
          <w:rFonts w:ascii="Arial" w:hAnsi="Arial" w:cs="Arial"/>
        </w:rPr>
        <w:t>all</w:t>
      </w:r>
      <w:r w:rsidRPr="008C209C">
        <w:rPr>
          <w:rFonts w:ascii="Arial" w:hAnsi="Arial" w:cs="Arial"/>
        </w:rPr>
        <w:t xml:space="preserve"> these problems: phasing refurbishment payments, running clearance promotions to clear stock, renegotiating payment terms, and redesigning incentives for payments through alternative methods. All these management actions offer practical solutions to resolving </w:t>
      </w:r>
      <w:r w:rsidR="00B50BB9" w:rsidRPr="008C209C">
        <w:rPr>
          <w:rFonts w:ascii="Arial" w:hAnsi="Arial" w:cs="Arial"/>
        </w:rPr>
        <w:t>liquidity</w:t>
      </w:r>
      <w:r w:rsidRPr="008C209C">
        <w:rPr>
          <w:rFonts w:ascii="Arial" w:hAnsi="Arial" w:cs="Arial"/>
        </w:rPr>
        <w:t xml:space="preserve"> issues and satisfy the covenant with the bank.</w:t>
      </w:r>
    </w:p>
    <w:p w14:paraId="16505DDE" w14:textId="77777777" w:rsidR="00B50BB9" w:rsidRDefault="008C209C" w:rsidP="008C209C">
      <w:pPr>
        <w:spacing w:line="480" w:lineRule="auto"/>
        <w:jc w:val="both"/>
        <w:rPr>
          <w:rFonts w:ascii="Arial" w:hAnsi="Arial" w:cs="Arial"/>
        </w:rPr>
      </w:pPr>
      <w:r w:rsidRPr="008C209C">
        <w:rPr>
          <w:rFonts w:ascii="Arial" w:hAnsi="Arial" w:cs="Arial"/>
        </w:rPr>
        <w:t xml:space="preserve">In addition to the tactical action taken to mitigate cash-flow issues, the report reinforces the need to situate budgeting in a broader organisational context: where the situation </w:t>
      </w:r>
      <w:r w:rsidRPr="008C209C">
        <w:rPr>
          <w:rFonts w:ascii="Arial" w:hAnsi="Arial" w:cs="Arial"/>
        </w:rPr>
        <w:lastRenderedPageBreak/>
        <w:t xml:space="preserve">is strategic alignment, strong leadership support, integrated systems, and collaborative teams, providing the basis for responsive planning and control. Equally important are </w:t>
      </w:r>
      <w:r w:rsidR="00B50BB9" w:rsidRPr="008C209C">
        <w:rPr>
          <w:rFonts w:ascii="Arial" w:hAnsi="Arial" w:cs="Arial"/>
        </w:rPr>
        <w:t>satisfactory</w:t>
      </w:r>
      <w:r w:rsidRPr="008C209C">
        <w:rPr>
          <w:rFonts w:ascii="Arial" w:hAnsi="Arial" w:cs="Arial"/>
        </w:rPr>
        <w:t xml:space="preserve"> behavioural aspects of budgeting, such as participation, slack, open discussion and positive reinforcement, which secure genuine commitment to budgeting targets.</w:t>
      </w:r>
    </w:p>
    <w:p w14:paraId="05A0A85E" w14:textId="17403C27" w:rsidR="008C209C" w:rsidRDefault="008C209C" w:rsidP="008C209C">
      <w:pPr>
        <w:spacing w:line="480" w:lineRule="auto"/>
        <w:jc w:val="both"/>
        <w:rPr>
          <w:rFonts w:ascii="Arial" w:hAnsi="Arial" w:cs="Arial"/>
        </w:rPr>
      </w:pPr>
      <w:r w:rsidRPr="008C209C">
        <w:rPr>
          <w:rFonts w:ascii="Arial" w:hAnsi="Arial" w:cs="Arial"/>
        </w:rPr>
        <w:t>Finally, in rapidly changing markets and operating environments, planning requires more than traditional, incremental approaches to budgeting, but a modern alternative: rolling forecasts, Beyond Budgeting, activity-based budgeting and zero-based budgeting, and driver-based planning. While it is not an inclusive list, adopting a selection of these methods will enable Blue Thread Ltd to exhibit evolution from annual budgeting to continuous planning, and to today find the right balance between financial discipline and the flexibility required to respond to a volatile environment like retail.</w:t>
      </w:r>
    </w:p>
    <w:p w14:paraId="098D835A" w14:textId="77777777" w:rsidR="00B50BB9" w:rsidRDefault="00B50BB9" w:rsidP="008C209C">
      <w:pPr>
        <w:spacing w:line="480" w:lineRule="auto"/>
        <w:jc w:val="both"/>
        <w:rPr>
          <w:rFonts w:ascii="Arial" w:hAnsi="Arial" w:cs="Arial"/>
        </w:rPr>
      </w:pPr>
    </w:p>
    <w:p w14:paraId="10751309" w14:textId="77777777" w:rsidR="00B50BB9" w:rsidRDefault="00B50BB9" w:rsidP="008C209C">
      <w:pPr>
        <w:spacing w:line="480" w:lineRule="auto"/>
        <w:jc w:val="both"/>
        <w:rPr>
          <w:rFonts w:ascii="Arial" w:hAnsi="Arial" w:cs="Arial"/>
        </w:rPr>
      </w:pPr>
    </w:p>
    <w:p w14:paraId="0D54F42F" w14:textId="77777777" w:rsidR="00B50BB9" w:rsidRDefault="00B50BB9" w:rsidP="008C209C">
      <w:pPr>
        <w:spacing w:line="480" w:lineRule="auto"/>
        <w:jc w:val="both"/>
        <w:rPr>
          <w:rFonts w:ascii="Arial" w:hAnsi="Arial" w:cs="Arial"/>
        </w:rPr>
      </w:pPr>
    </w:p>
    <w:p w14:paraId="1A009C6B" w14:textId="77777777" w:rsidR="00B50BB9" w:rsidRDefault="00B50BB9" w:rsidP="008C209C">
      <w:pPr>
        <w:spacing w:line="480" w:lineRule="auto"/>
        <w:jc w:val="both"/>
        <w:rPr>
          <w:rFonts w:ascii="Arial" w:hAnsi="Arial" w:cs="Arial"/>
        </w:rPr>
      </w:pPr>
    </w:p>
    <w:p w14:paraId="7966B805" w14:textId="77777777" w:rsidR="00B50BB9" w:rsidRDefault="00B50BB9" w:rsidP="008C209C">
      <w:pPr>
        <w:spacing w:line="480" w:lineRule="auto"/>
        <w:jc w:val="both"/>
        <w:rPr>
          <w:rFonts w:ascii="Arial" w:hAnsi="Arial" w:cs="Arial"/>
        </w:rPr>
      </w:pPr>
    </w:p>
    <w:p w14:paraId="670560D7" w14:textId="77777777" w:rsidR="00B50BB9" w:rsidRDefault="00B50BB9" w:rsidP="008C209C">
      <w:pPr>
        <w:spacing w:line="480" w:lineRule="auto"/>
        <w:jc w:val="both"/>
        <w:rPr>
          <w:rFonts w:ascii="Arial" w:hAnsi="Arial" w:cs="Arial"/>
        </w:rPr>
      </w:pPr>
    </w:p>
    <w:p w14:paraId="291A00F7" w14:textId="77777777" w:rsidR="00B50BB9" w:rsidRDefault="00B50BB9" w:rsidP="008C209C">
      <w:pPr>
        <w:spacing w:line="480" w:lineRule="auto"/>
        <w:jc w:val="both"/>
        <w:rPr>
          <w:rFonts w:ascii="Arial" w:hAnsi="Arial" w:cs="Arial"/>
        </w:rPr>
      </w:pPr>
    </w:p>
    <w:p w14:paraId="550E7A0C" w14:textId="77777777" w:rsidR="00B50BB9" w:rsidRDefault="00B50BB9" w:rsidP="008C209C">
      <w:pPr>
        <w:spacing w:line="480" w:lineRule="auto"/>
        <w:jc w:val="both"/>
        <w:rPr>
          <w:rFonts w:ascii="Arial" w:hAnsi="Arial" w:cs="Arial"/>
        </w:rPr>
      </w:pPr>
    </w:p>
    <w:p w14:paraId="19219DB9" w14:textId="77777777" w:rsidR="00B50BB9" w:rsidRDefault="00B50BB9" w:rsidP="008C209C">
      <w:pPr>
        <w:spacing w:line="480" w:lineRule="auto"/>
        <w:jc w:val="both"/>
        <w:rPr>
          <w:rFonts w:ascii="Arial" w:hAnsi="Arial" w:cs="Arial"/>
        </w:rPr>
      </w:pPr>
    </w:p>
    <w:p w14:paraId="46C73402" w14:textId="77777777" w:rsidR="00F77E2A" w:rsidRDefault="00F77E2A" w:rsidP="008C209C">
      <w:pPr>
        <w:spacing w:line="480" w:lineRule="auto"/>
        <w:jc w:val="both"/>
        <w:rPr>
          <w:rFonts w:ascii="Arial" w:hAnsi="Arial" w:cs="Arial"/>
        </w:rPr>
      </w:pPr>
    </w:p>
    <w:p w14:paraId="6E2253DE" w14:textId="7279D402" w:rsidR="00B50BB9" w:rsidRPr="00F77E2A" w:rsidRDefault="00B50BB9" w:rsidP="008C209C">
      <w:pPr>
        <w:spacing w:line="480" w:lineRule="auto"/>
        <w:jc w:val="both"/>
        <w:rPr>
          <w:rFonts w:ascii="Arial Black" w:hAnsi="Arial Black" w:cs="Arial"/>
        </w:rPr>
      </w:pPr>
      <w:r w:rsidRPr="00F77E2A">
        <w:rPr>
          <w:rFonts w:ascii="Arial Black" w:hAnsi="Arial Black" w:cs="Arial"/>
        </w:rPr>
        <w:lastRenderedPageBreak/>
        <w:t xml:space="preserve">References </w:t>
      </w:r>
    </w:p>
    <w:p w14:paraId="176ED111"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Al </w:t>
      </w:r>
      <w:proofErr w:type="spellStart"/>
      <w:r w:rsidRPr="00B50BB9">
        <w:rPr>
          <w:rFonts w:ascii="Arial" w:hAnsi="Arial" w:cs="Arial"/>
        </w:rPr>
        <w:t>Refiay</w:t>
      </w:r>
      <w:proofErr w:type="spellEnd"/>
      <w:r w:rsidRPr="00B50BB9">
        <w:rPr>
          <w:rFonts w:ascii="Arial" w:hAnsi="Arial" w:cs="Arial"/>
        </w:rPr>
        <w:t xml:space="preserve">, H.A.N., Abdulhussein, A.S. and Al Shaikh, S.S.K. (2022). The impact of financial accounting in decision making processes in business. </w:t>
      </w:r>
      <w:r w:rsidRPr="00B50BB9">
        <w:rPr>
          <w:rFonts w:ascii="Arial" w:hAnsi="Arial" w:cs="Arial"/>
          <w:i/>
          <w:iCs/>
        </w:rPr>
        <w:t>International Journal of Professional Business Review, 7</w:t>
      </w:r>
      <w:r w:rsidRPr="00B50BB9">
        <w:rPr>
          <w:rFonts w:ascii="Arial" w:hAnsi="Arial" w:cs="Arial"/>
        </w:rPr>
        <w:t>(4), p.7.</w:t>
      </w:r>
    </w:p>
    <w:p w14:paraId="4AEC3044" w14:textId="77777777" w:rsidR="00B50BB9" w:rsidRDefault="00B50BB9" w:rsidP="00D93493">
      <w:pPr>
        <w:spacing w:line="480" w:lineRule="auto"/>
        <w:ind w:left="720" w:hanging="720"/>
        <w:jc w:val="both"/>
        <w:rPr>
          <w:rFonts w:ascii="Arial" w:hAnsi="Arial" w:cs="Arial"/>
        </w:rPr>
      </w:pPr>
      <w:proofErr w:type="spellStart"/>
      <w:r w:rsidRPr="00B50BB9">
        <w:rPr>
          <w:rFonts w:ascii="Arial" w:hAnsi="Arial" w:cs="Arial"/>
        </w:rPr>
        <w:t>Amaraveni</w:t>
      </w:r>
      <w:proofErr w:type="spellEnd"/>
      <w:r w:rsidRPr="00B50BB9">
        <w:rPr>
          <w:rFonts w:ascii="Arial" w:hAnsi="Arial" w:cs="Arial"/>
        </w:rPr>
        <w:t xml:space="preserve">, P. and </w:t>
      </w:r>
      <w:proofErr w:type="spellStart"/>
      <w:r w:rsidRPr="00B50BB9">
        <w:rPr>
          <w:rFonts w:ascii="Arial" w:hAnsi="Arial" w:cs="Arial"/>
        </w:rPr>
        <w:t>Susruth</w:t>
      </w:r>
      <w:proofErr w:type="spellEnd"/>
      <w:r w:rsidRPr="00B50BB9">
        <w:rPr>
          <w:rFonts w:ascii="Arial" w:hAnsi="Arial" w:cs="Arial"/>
        </w:rPr>
        <w:t xml:space="preserve">, M. (2021). Impact of financial planning on financial performance – A study of select undertakings. </w:t>
      </w:r>
      <w:r w:rsidRPr="00B50BB9">
        <w:rPr>
          <w:rFonts w:ascii="Arial" w:hAnsi="Arial" w:cs="Arial"/>
          <w:i/>
          <w:iCs/>
        </w:rPr>
        <w:t>Quest Journals Journal of Research in Business and Management</w:t>
      </w:r>
      <w:r w:rsidRPr="00B50BB9">
        <w:rPr>
          <w:rFonts w:ascii="Arial" w:hAnsi="Arial" w:cs="Arial"/>
        </w:rPr>
        <w:t>, 9, pp.88–95.</w:t>
      </w:r>
    </w:p>
    <w:p w14:paraId="3D1F3A7E" w14:textId="5A10A08D" w:rsidR="00B50BB9" w:rsidRPr="00B50BB9" w:rsidRDefault="00B50BB9" w:rsidP="00D93493">
      <w:pPr>
        <w:spacing w:line="480" w:lineRule="auto"/>
        <w:ind w:left="720" w:hanging="720"/>
        <w:jc w:val="both"/>
        <w:rPr>
          <w:rFonts w:ascii="Arial" w:hAnsi="Arial" w:cs="Arial"/>
        </w:rPr>
      </w:pPr>
      <w:proofErr w:type="spellStart"/>
      <w:r w:rsidRPr="00B50BB9">
        <w:rPr>
          <w:rFonts w:ascii="Arial" w:hAnsi="Arial" w:cs="Arial"/>
        </w:rPr>
        <w:t>Aydiner</w:t>
      </w:r>
      <w:proofErr w:type="spellEnd"/>
      <w:r w:rsidRPr="00B50BB9">
        <w:rPr>
          <w:rFonts w:ascii="Arial" w:hAnsi="Arial" w:cs="Arial"/>
        </w:rPr>
        <w:t xml:space="preserve">, A.S., </w:t>
      </w:r>
      <w:proofErr w:type="spellStart"/>
      <w:r w:rsidRPr="00B50BB9">
        <w:rPr>
          <w:rFonts w:ascii="Arial" w:hAnsi="Arial" w:cs="Arial"/>
        </w:rPr>
        <w:t>Tatoglu</w:t>
      </w:r>
      <w:proofErr w:type="spellEnd"/>
      <w:r w:rsidRPr="00B50BB9">
        <w:rPr>
          <w:rFonts w:ascii="Arial" w:hAnsi="Arial" w:cs="Arial"/>
        </w:rPr>
        <w:t xml:space="preserve">, E., Bayraktar, E., Zaim, S. and Delen, D. (2019). Business analytics and firm performance: The mediating role of business process performance. </w:t>
      </w:r>
      <w:r w:rsidRPr="00B50BB9">
        <w:rPr>
          <w:rFonts w:ascii="Arial" w:hAnsi="Arial" w:cs="Arial"/>
          <w:i/>
          <w:iCs/>
        </w:rPr>
        <w:t>Journal of Business Research</w:t>
      </w:r>
      <w:r w:rsidRPr="00B50BB9">
        <w:rPr>
          <w:rFonts w:ascii="Arial" w:hAnsi="Arial" w:cs="Arial"/>
        </w:rPr>
        <w:t>, 96, pp.228–237.</w:t>
      </w:r>
    </w:p>
    <w:p w14:paraId="7E7E7DCA"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Banaag, F. (2024). Predicting business performance: The role of budgeting techniques, cash management strategies and rational financial decision making. </w:t>
      </w:r>
      <w:r w:rsidRPr="00B50BB9">
        <w:rPr>
          <w:rFonts w:ascii="Arial" w:hAnsi="Arial" w:cs="Arial"/>
          <w:i/>
          <w:iCs/>
        </w:rPr>
        <w:t>International Journal of Business and Management, 3</w:t>
      </w:r>
      <w:r w:rsidRPr="00B50BB9">
        <w:rPr>
          <w:rFonts w:ascii="Arial" w:hAnsi="Arial" w:cs="Arial"/>
        </w:rPr>
        <w:t>(2), pp.16–36.</w:t>
      </w:r>
    </w:p>
    <w:p w14:paraId="598226F7"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Bhimani, A. (ed.) (2006). </w:t>
      </w:r>
      <w:r w:rsidRPr="00B50BB9">
        <w:rPr>
          <w:rFonts w:ascii="Arial" w:hAnsi="Arial" w:cs="Arial"/>
          <w:i/>
          <w:iCs/>
        </w:rPr>
        <w:t>Contemporary Issues in Management Accounting</w:t>
      </w:r>
      <w:r w:rsidRPr="00B50BB9">
        <w:rPr>
          <w:rFonts w:ascii="Arial" w:hAnsi="Arial" w:cs="Arial"/>
        </w:rPr>
        <w:t>. Oxford: Oxford University Press.</w:t>
      </w:r>
    </w:p>
    <w:p w14:paraId="1E3144D6"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Brigham, E.F. and Houston, J.F. (2019). </w:t>
      </w:r>
      <w:r w:rsidRPr="00B50BB9">
        <w:rPr>
          <w:rFonts w:ascii="Arial" w:hAnsi="Arial" w:cs="Arial"/>
          <w:i/>
          <w:iCs/>
        </w:rPr>
        <w:t>Fundamentals of financial management</w:t>
      </w:r>
      <w:r w:rsidRPr="00B50BB9">
        <w:rPr>
          <w:rFonts w:ascii="Arial" w:hAnsi="Arial" w:cs="Arial"/>
        </w:rPr>
        <w:t>. Cengage Learning.</w:t>
      </w:r>
    </w:p>
    <w:p w14:paraId="73953BAE"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Dahana, M.A. (2020). Analysis of the budget planning process and budget execution process. </w:t>
      </w:r>
      <w:r w:rsidRPr="00B50BB9">
        <w:rPr>
          <w:rFonts w:ascii="Arial" w:hAnsi="Arial" w:cs="Arial"/>
          <w:i/>
          <w:iCs/>
        </w:rPr>
        <w:t>European Journal of Business and Management Research, 5</w:t>
      </w:r>
      <w:r w:rsidRPr="00B50BB9">
        <w:rPr>
          <w:rFonts w:ascii="Arial" w:hAnsi="Arial" w:cs="Arial"/>
        </w:rPr>
        <w:t>(4).</w:t>
      </w:r>
    </w:p>
    <w:p w14:paraId="34F803FB"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Drury, C. (2018). </w:t>
      </w:r>
      <w:r w:rsidRPr="00B50BB9">
        <w:rPr>
          <w:rFonts w:ascii="Arial" w:hAnsi="Arial" w:cs="Arial"/>
          <w:i/>
          <w:iCs/>
        </w:rPr>
        <w:t>Cost and management accounting</w:t>
      </w:r>
      <w:r w:rsidRPr="00B50BB9">
        <w:rPr>
          <w:rFonts w:ascii="Arial" w:hAnsi="Arial" w:cs="Arial"/>
        </w:rPr>
        <w:t>. Belmont, CA: Cengage Learning.</w:t>
      </w:r>
    </w:p>
    <w:p w14:paraId="757AEC4B"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Drury, C. (2021). </w:t>
      </w:r>
      <w:r w:rsidRPr="00B50BB9">
        <w:rPr>
          <w:rFonts w:ascii="Arial" w:hAnsi="Arial" w:cs="Arial"/>
          <w:i/>
          <w:iCs/>
        </w:rPr>
        <w:t>Management and Cost Accounting</w:t>
      </w:r>
      <w:r w:rsidRPr="00B50BB9">
        <w:rPr>
          <w:rFonts w:ascii="Arial" w:hAnsi="Arial" w:cs="Arial"/>
        </w:rPr>
        <w:t>. 11th ed. London: Prentice Hall.</w:t>
      </w:r>
    </w:p>
    <w:p w14:paraId="3224D843" w14:textId="77777777" w:rsidR="00B50BB9" w:rsidRDefault="00B50BB9" w:rsidP="00D93493">
      <w:pPr>
        <w:spacing w:line="480" w:lineRule="auto"/>
        <w:ind w:left="720" w:hanging="720"/>
        <w:jc w:val="both"/>
        <w:rPr>
          <w:rFonts w:ascii="Arial" w:hAnsi="Arial" w:cs="Arial"/>
        </w:rPr>
      </w:pPr>
      <w:r w:rsidRPr="00B50BB9">
        <w:rPr>
          <w:rFonts w:ascii="Arial" w:hAnsi="Arial" w:cs="Arial"/>
        </w:rPr>
        <w:lastRenderedPageBreak/>
        <w:t xml:space="preserve">Flood, J.M. (2012). Wiley GAAP 2013: </w:t>
      </w:r>
      <w:r w:rsidRPr="00B50BB9">
        <w:rPr>
          <w:rFonts w:ascii="Arial" w:hAnsi="Arial" w:cs="Arial"/>
          <w:i/>
          <w:iCs/>
        </w:rPr>
        <w:t>Interpretation and application of generally accepted accounting principles</w:t>
      </w:r>
      <w:r w:rsidRPr="00B50BB9">
        <w:rPr>
          <w:rFonts w:ascii="Arial" w:hAnsi="Arial" w:cs="Arial"/>
        </w:rPr>
        <w:t>. Hoboken, NJ: John Wiley and Sons.</w:t>
      </w:r>
    </w:p>
    <w:p w14:paraId="2A65C4C5"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Foster, T.A. (2017). </w:t>
      </w:r>
      <w:r w:rsidRPr="00B50BB9">
        <w:rPr>
          <w:rFonts w:ascii="Arial" w:hAnsi="Arial" w:cs="Arial"/>
          <w:i/>
          <w:iCs/>
        </w:rPr>
        <w:t>Budget planning, budget control, business age, and financial performance in small businesses.</w:t>
      </w:r>
      <w:r w:rsidRPr="00B50BB9">
        <w:rPr>
          <w:rFonts w:ascii="Arial" w:hAnsi="Arial" w:cs="Arial"/>
        </w:rPr>
        <w:t xml:space="preserve"> Walden University.</w:t>
      </w:r>
    </w:p>
    <w:p w14:paraId="50DB70DD" w14:textId="1137F2AE"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Garg, A., Ghosh, D., Hudick, J. and Nowacki, C. (2003). Roles and practices in management accounting today. </w:t>
      </w:r>
      <w:r w:rsidRPr="00B50BB9">
        <w:rPr>
          <w:rFonts w:ascii="Arial" w:hAnsi="Arial" w:cs="Arial"/>
          <w:i/>
          <w:iCs/>
        </w:rPr>
        <w:t>Strategic Finance, 85</w:t>
      </w:r>
      <w:r w:rsidRPr="00B50BB9">
        <w:rPr>
          <w:rFonts w:ascii="Arial" w:hAnsi="Arial" w:cs="Arial"/>
        </w:rPr>
        <w:t>(1).</w:t>
      </w:r>
    </w:p>
    <w:p w14:paraId="59FA5788"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Holland, C.P., Lockett, G., Richard, J.M. and Blackman, I. (1994). The evolution of a global cash management system. </w:t>
      </w:r>
      <w:r w:rsidRPr="00B50BB9">
        <w:rPr>
          <w:rFonts w:ascii="Arial" w:hAnsi="Arial" w:cs="Arial"/>
          <w:i/>
          <w:iCs/>
        </w:rPr>
        <w:t>MIT Sloan Management Review, 36</w:t>
      </w:r>
      <w:r w:rsidRPr="00B50BB9">
        <w:rPr>
          <w:rFonts w:ascii="Arial" w:hAnsi="Arial" w:cs="Arial"/>
        </w:rPr>
        <w:t>(1), p.37.</w:t>
      </w:r>
    </w:p>
    <w:p w14:paraId="467A57A3" w14:textId="05D1D548"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Horner, D. (2020). </w:t>
      </w:r>
      <w:r w:rsidRPr="00B50BB9">
        <w:rPr>
          <w:rFonts w:ascii="Arial" w:hAnsi="Arial" w:cs="Arial"/>
          <w:i/>
          <w:iCs/>
        </w:rPr>
        <w:t>Accounting for non-accountants.</w:t>
      </w:r>
      <w:r w:rsidRPr="00B50BB9">
        <w:rPr>
          <w:rFonts w:ascii="Arial" w:hAnsi="Arial" w:cs="Arial"/>
        </w:rPr>
        <w:t xml:space="preserve"> 12th ed. London: Kogan Page.</w:t>
      </w:r>
    </w:p>
    <w:p w14:paraId="0F0020B2"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Igou, A., Power, D.J., Brosnan, S. and Heavin, C. (2023). Digital futures for accountants. </w:t>
      </w:r>
      <w:r w:rsidRPr="00B50BB9">
        <w:rPr>
          <w:rFonts w:ascii="Arial" w:hAnsi="Arial" w:cs="Arial"/>
          <w:i/>
          <w:iCs/>
        </w:rPr>
        <w:t>Journal of Emerging Technologies in Accounting, 20</w:t>
      </w:r>
      <w:r w:rsidRPr="00B50BB9">
        <w:rPr>
          <w:rFonts w:ascii="Arial" w:hAnsi="Arial" w:cs="Arial"/>
        </w:rPr>
        <w:t>(1), pp.39–57.</w:t>
      </w:r>
    </w:p>
    <w:p w14:paraId="1072EA14"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Kothari, S.P. (2001). Capital markets research in accounting. </w:t>
      </w:r>
      <w:r w:rsidRPr="00B50BB9">
        <w:rPr>
          <w:rFonts w:ascii="Arial" w:hAnsi="Arial" w:cs="Arial"/>
          <w:i/>
          <w:iCs/>
        </w:rPr>
        <w:t>Journal of Accounting and Economics, 31</w:t>
      </w:r>
      <w:r w:rsidRPr="00B50BB9">
        <w:rPr>
          <w:rFonts w:ascii="Arial" w:hAnsi="Arial" w:cs="Arial"/>
        </w:rPr>
        <w:t>(1–3), pp.105–253.</w:t>
      </w:r>
    </w:p>
    <w:p w14:paraId="407D6D20" w14:textId="77777777" w:rsidR="00B50BB9" w:rsidRDefault="00B50BB9" w:rsidP="00D93493">
      <w:pPr>
        <w:spacing w:line="480" w:lineRule="auto"/>
        <w:ind w:left="720" w:hanging="720"/>
        <w:jc w:val="both"/>
        <w:rPr>
          <w:rFonts w:ascii="Arial" w:hAnsi="Arial" w:cs="Arial"/>
        </w:rPr>
      </w:pPr>
      <w:proofErr w:type="spellStart"/>
      <w:r w:rsidRPr="00B50BB9">
        <w:rPr>
          <w:rFonts w:ascii="Arial" w:hAnsi="Arial" w:cs="Arial"/>
        </w:rPr>
        <w:t>Kolitz</w:t>
      </w:r>
      <w:proofErr w:type="spellEnd"/>
      <w:r w:rsidRPr="00B50BB9">
        <w:rPr>
          <w:rFonts w:ascii="Arial" w:hAnsi="Arial" w:cs="Arial"/>
        </w:rPr>
        <w:t xml:space="preserve">, D. (2017). </w:t>
      </w:r>
      <w:r w:rsidRPr="00B50BB9">
        <w:rPr>
          <w:rFonts w:ascii="Arial" w:hAnsi="Arial" w:cs="Arial"/>
          <w:i/>
          <w:iCs/>
        </w:rPr>
        <w:t>Financial Accounting – A Concepts-based Introduction</w:t>
      </w:r>
      <w:r w:rsidRPr="00B50BB9">
        <w:rPr>
          <w:rFonts w:ascii="Arial" w:hAnsi="Arial" w:cs="Arial"/>
        </w:rPr>
        <w:t>. Oxon: Routledge.</w:t>
      </w:r>
    </w:p>
    <w:p w14:paraId="500B232A" w14:textId="547C52B3"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Laghari, F. and </w:t>
      </w:r>
      <w:proofErr w:type="spellStart"/>
      <w:r w:rsidRPr="00B50BB9">
        <w:rPr>
          <w:rFonts w:ascii="Arial" w:hAnsi="Arial" w:cs="Arial"/>
        </w:rPr>
        <w:t>Chengang</w:t>
      </w:r>
      <w:proofErr w:type="spellEnd"/>
      <w:r w:rsidRPr="00B50BB9">
        <w:rPr>
          <w:rFonts w:ascii="Arial" w:hAnsi="Arial" w:cs="Arial"/>
        </w:rPr>
        <w:t xml:space="preserve">, Y. (2019). Investment in working capital and financial constraints: Empirical evidence on corporate performance. </w:t>
      </w:r>
      <w:r w:rsidRPr="00B50BB9">
        <w:rPr>
          <w:rFonts w:ascii="Arial" w:hAnsi="Arial" w:cs="Arial"/>
          <w:i/>
          <w:iCs/>
        </w:rPr>
        <w:t>International Journal of Managerial Finance, 15</w:t>
      </w:r>
      <w:r w:rsidRPr="00B50BB9">
        <w:rPr>
          <w:rFonts w:ascii="Arial" w:hAnsi="Arial" w:cs="Arial"/>
        </w:rPr>
        <w:t>(2), pp.164–190.</w:t>
      </w:r>
    </w:p>
    <w:p w14:paraId="11746FD9"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Lord, B.R. (2007). </w:t>
      </w:r>
      <w:r w:rsidRPr="00B50BB9">
        <w:rPr>
          <w:rFonts w:ascii="Arial" w:hAnsi="Arial" w:cs="Arial"/>
          <w:i/>
          <w:iCs/>
        </w:rPr>
        <w:t>Strategic management accounting.</w:t>
      </w:r>
      <w:r w:rsidRPr="00B50BB9">
        <w:rPr>
          <w:rFonts w:ascii="Arial" w:hAnsi="Arial" w:cs="Arial"/>
        </w:rPr>
        <w:t xml:space="preserve"> In A. Bhimani (ed.), Contemporary Issues in Management Accounting. Oxford: Oxford University Press.</w:t>
      </w:r>
    </w:p>
    <w:p w14:paraId="118B0CEC" w14:textId="19C40EB2" w:rsidR="00B50BB9" w:rsidRPr="00B50BB9" w:rsidRDefault="00B50BB9" w:rsidP="00D93493">
      <w:pPr>
        <w:spacing w:line="480" w:lineRule="auto"/>
        <w:ind w:left="720" w:hanging="720"/>
        <w:jc w:val="both"/>
        <w:rPr>
          <w:rFonts w:ascii="Arial" w:hAnsi="Arial" w:cs="Arial"/>
        </w:rPr>
      </w:pPr>
      <w:r w:rsidRPr="00B50BB9">
        <w:rPr>
          <w:rFonts w:ascii="Arial" w:hAnsi="Arial" w:cs="Arial"/>
        </w:rPr>
        <w:lastRenderedPageBreak/>
        <w:t xml:space="preserve">Maher, M.H., Fakhar, M.S. and Karimi, Z. (2018). The relationship between budget emphasis, budget planning models and performance. </w:t>
      </w:r>
      <w:r w:rsidRPr="00B50BB9">
        <w:rPr>
          <w:rFonts w:ascii="Arial" w:hAnsi="Arial" w:cs="Arial"/>
          <w:i/>
          <w:iCs/>
        </w:rPr>
        <w:t>Health Management and Information Science, 5</w:t>
      </w:r>
      <w:r w:rsidRPr="00B50BB9">
        <w:rPr>
          <w:rFonts w:ascii="Arial" w:hAnsi="Arial" w:cs="Arial"/>
        </w:rPr>
        <w:t>(1), p.16.</w:t>
      </w:r>
    </w:p>
    <w:p w14:paraId="01BA4F8A"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Mao, R. (2023). </w:t>
      </w:r>
      <w:r w:rsidRPr="00B50BB9">
        <w:rPr>
          <w:rFonts w:ascii="Arial" w:hAnsi="Arial" w:cs="Arial"/>
          <w:i/>
          <w:iCs/>
        </w:rPr>
        <w:t xml:space="preserve">Verify the relationship between a company’s earnings per share, return on equity, return on asset, sales growth, price to earnings ratio, current ratio, gross profit margin, quick ratio, asset turnover and its stock price. </w:t>
      </w:r>
      <w:r w:rsidRPr="00B50BB9">
        <w:rPr>
          <w:rFonts w:ascii="Arial" w:hAnsi="Arial" w:cs="Arial"/>
        </w:rPr>
        <w:t>SHS Web of Conferences, 163, p.03003.</w:t>
      </w:r>
    </w:p>
    <w:p w14:paraId="45A3FB0F"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Marr, B. (2013). </w:t>
      </w:r>
      <w:r w:rsidRPr="00B50BB9">
        <w:rPr>
          <w:rFonts w:ascii="Arial" w:hAnsi="Arial" w:cs="Arial"/>
          <w:i/>
          <w:iCs/>
        </w:rPr>
        <w:t>Key Performance Indicators</w:t>
      </w:r>
      <w:r w:rsidRPr="00B50BB9">
        <w:rPr>
          <w:rFonts w:ascii="Arial" w:hAnsi="Arial" w:cs="Arial"/>
        </w:rPr>
        <w:t>. Harlow: Pearson.</w:t>
      </w:r>
    </w:p>
    <w:p w14:paraId="2FE615BB"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Melnichuk, N. (2015). Budget planning in financial management. </w:t>
      </w:r>
      <w:r w:rsidRPr="00B50BB9">
        <w:rPr>
          <w:rFonts w:ascii="Arial" w:hAnsi="Arial" w:cs="Arial"/>
          <w:i/>
          <w:iCs/>
        </w:rPr>
        <w:t>Baltic Journal of Economic Studies, 1</w:t>
      </w:r>
      <w:r w:rsidRPr="00B50BB9">
        <w:rPr>
          <w:rFonts w:ascii="Arial" w:hAnsi="Arial" w:cs="Arial"/>
        </w:rPr>
        <w:t>(2), pp.95–100.</w:t>
      </w:r>
    </w:p>
    <w:p w14:paraId="24615946" w14:textId="77777777" w:rsidR="00B50BB9" w:rsidRDefault="00B50BB9" w:rsidP="00D93493">
      <w:pPr>
        <w:spacing w:line="480" w:lineRule="auto"/>
        <w:ind w:left="720" w:hanging="720"/>
        <w:jc w:val="both"/>
        <w:rPr>
          <w:rFonts w:ascii="Arial" w:hAnsi="Arial" w:cs="Arial"/>
        </w:rPr>
      </w:pPr>
      <w:proofErr w:type="spellStart"/>
      <w:r w:rsidRPr="00B50BB9">
        <w:rPr>
          <w:rFonts w:ascii="Arial" w:hAnsi="Arial" w:cs="Arial"/>
        </w:rPr>
        <w:t>Novianty</w:t>
      </w:r>
      <w:proofErr w:type="spellEnd"/>
      <w:r w:rsidRPr="00B50BB9">
        <w:rPr>
          <w:rFonts w:ascii="Arial" w:hAnsi="Arial" w:cs="Arial"/>
        </w:rPr>
        <w:t xml:space="preserve">, I. (2015). Strategic management accounting: challenges in accounting practices. </w:t>
      </w:r>
      <w:r w:rsidRPr="00B50BB9">
        <w:rPr>
          <w:rFonts w:ascii="Arial" w:hAnsi="Arial" w:cs="Arial"/>
          <w:i/>
          <w:iCs/>
        </w:rPr>
        <w:t>Research Journal of Finance and Accounting, 6</w:t>
      </w:r>
      <w:r w:rsidRPr="00B50BB9">
        <w:rPr>
          <w:rFonts w:ascii="Arial" w:hAnsi="Arial" w:cs="Arial"/>
        </w:rPr>
        <w:t>(9), pp.7–13.</w:t>
      </w:r>
    </w:p>
    <w:p w14:paraId="1B2DC542" w14:textId="3BD9D031" w:rsidR="00B50BB9" w:rsidRPr="00B50BB9" w:rsidRDefault="00B50BB9" w:rsidP="00D93493">
      <w:pPr>
        <w:spacing w:line="480" w:lineRule="auto"/>
        <w:ind w:left="720" w:hanging="720"/>
        <w:jc w:val="both"/>
        <w:rPr>
          <w:rFonts w:ascii="Arial" w:hAnsi="Arial" w:cs="Arial"/>
        </w:rPr>
      </w:pPr>
      <w:proofErr w:type="spellStart"/>
      <w:r w:rsidRPr="00B50BB9">
        <w:rPr>
          <w:rFonts w:ascii="Arial" w:hAnsi="Arial" w:cs="Arial"/>
        </w:rPr>
        <w:t>Oriekhova</w:t>
      </w:r>
      <w:proofErr w:type="spellEnd"/>
      <w:r w:rsidRPr="00B50BB9">
        <w:rPr>
          <w:rFonts w:ascii="Arial" w:hAnsi="Arial" w:cs="Arial"/>
        </w:rPr>
        <w:t xml:space="preserve">, K.V. and Golovko, O.H. (2022). Cash flow management strategy. </w:t>
      </w:r>
      <w:r w:rsidRPr="00B50BB9">
        <w:rPr>
          <w:rFonts w:ascii="Arial" w:hAnsi="Arial" w:cs="Arial"/>
          <w:i/>
          <w:iCs/>
        </w:rPr>
        <w:t>Economics and Law, 1</w:t>
      </w:r>
      <w:r w:rsidRPr="00B50BB9">
        <w:rPr>
          <w:rFonts w:ascii="Arial" w:hAnsi="Arial" w:cs="Arial"/>
        </w:rPr>
        <w:t>(64), pp.89–97.</w:t>
      </w:r>
    </w:p>
    <w:p w14:paraId="6A76AC4B" w14:textId="77777777" w:rsidR="00B50BB9" w:rsidRPr="00B50BB9" w:rsidRDefault="00B50BB9" w:rsidP="00D93493">
      <w:pPr>
        <w:spacing w:line="480" w:lineRule="auto"/>
        <w:ind w:left="720" w:hanging="720"/>
        <w:jc w:val="both"/>
        <w:rPr>
          <w:rFonts w:ascii="Arial" w:hAnsi="Arial" w:cs="Arial"/>
        </w:rPr>
      </w:pPr>
      <w:proofErr w:type="spellStart"/>
      <w:r w:rsidRPr="00B50BB9">
        <w:rPr>
          <w:rFonts w:ascii="Arial" w:hAnsi="Arial" w:cs="Arial"/>
        </w:rPr>
        <w:t>Oyewo</w:t>
      </w:r>
      <w:proofErr w:type="spellEnd"/>
      <w:r w:rsidRPr="00B50BB9">
        <w:rPr>
          <w:rFonts w:ascii="Arial" w:hAnsi="Arial" w:cs="Arial"/>
        </w:rPr>
        <w:t xml:space="preserve">, B. and </w:t>
      </w:r>
      <w:proofErr w:type="spellStart"/>
      <w:r w:rsidRPr="00B50BB9">
        <w:rPr>
          <w:rFonts w:ascii="Arial" w:hAnsi="Arial" w:cs="Arial"/>
        </w:rPr>
        <w:t>Ajibolade</w:t>
      </w:r>
      <w:proofErr w:type="spellEnd"/>
      <w:r w:rsidRPr="00B50BB9">
        <w:rPr>
          <w:rFonts w:ascii="Arial" w:hAnsi="Arial" w:cs="Arial"/>
        </w:rPr>
        <w:t xml:space="preserve">, S. (2019). Does the use of strategic management accounting techniques create and sustain competitive advantage? Some empirical evidence. </w:t>
      </w:r>
      <w:r w:rsidRPr="00B50BB9">
        <w:rPr>
          <w:rFonts w:ascii="Arial" w:hAnsi="Arial" w:cs="Arial"/>
          <w:i/>
          <w:iCs/>
        </w:rPr>
        <w:t>Annals of Spiru Haret University Economic Series, 19</w:t>
      </w:r>
      <w:r w:rsidRPr="00B50BB9">
        <w:rPr>
          <w:rFonts w:ascii="Arial" w:hAnsi="Arial" w:cs="Arial"/>
        </w:rPr>
        <w:t>(2), pp.61–91.</w:t>
      </w:r>
    </w:p>
    <w:p w14:paraId="0EF33E33"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Palepu, K.G., Healy, P.M., Wright, S., Bradbury, M. and Coulton, J. (2020</w:t>
      </w:r>
      <w:r w:rsidRPr="00B50BB9">
        <w:rPr>
          <w:rFonts w:ascii="Arial" w:hAnsi="Arial" w:cs="Arial"/>
          <w:i/>
          <w:iCs/>
        </w:rPr>
        <w:t>). Business analysis and valuation: Using financial statements.</w:t>
      </w:r>
      <w:r w:rsidRPr="00B50BB9">
        <w:rPr>
          <w:rFonts w:ascii="Arial" w:hAnsi="Arial" w:cs="Arial"/>
        </w:rPr>
        <w:t xml:space="preserve"> Cengage AU.</w:t>
      </w:r>
    </w:p>
    <w:p w14:paraId="0DCEF52C"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Pratt, J. and Peters, M.F. (2017). </w:t>
      </w:r>
      <w:r w:rsidRPr="00B50BB9">
        <w:rPr>
          <w:rFonts w:ascii="Arial" w:hAnsi="Arial" w:cs="Arial"/>
          <w:i/>
          <w:iCs/>
        </w:rPr>
        <w:t>Financial accounting in an economic context.</w:t>
      </w:r>
      <w:r w:rsidRPr="00B50BB9">
        <w:rPr>
          <w:rFonts w:ascii="Arial" w:hAnsi="Arial" w:cs="Arial"/>
        </w:rPr>
        <w:t xml:space="preserve"> Hoboken, NJ: John Wiley and Sons.</w:t>
      </w:r>
    </w:p>
    <w:p w14:paraId="1C000A0D"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Quesada, H.J. (2019). </w:t>
      </w:r>
      <w:r w:rsidRPr="00B50BB9">
        <w:rPr>
          <w:rFonts w:ascii="Arial" w:hAnsi="Arial" w:cs="Arial"/>
          <w:i/>
          <w:iCs/>
        </w:rPr>
        <w:t>Analysis of financial statements using ratios.</w:t>
      </w:r>
    </w:p>
    <w:p w14:paraId="7698E1FF" w14:textId="77777777" w:rsidR="00B50BB9" w:rsidRDefault="00B50BB9" w:rsidP="00D93493">
      <w:pPr>
        <w:spacing w:line="480" w:lineRule="auto"/>
        <w:ind w:left="720" w:hanging="720"/>
        <w:jc w:val="both"/>
        <w:rPr>
          <w:rFonts w:ascii="Arial" w:hAnsi="Arial" w:cs="Arial"/>
        </w:rPr>
      </w:pPr>
      <w:r w:rsidRPr="00B50BB9">
        <w:rPr>
          <w:rFonts w:ascii="Arial" w:hAnsi="Arial" w:cs="Arial"/>
        </w:rPr>
        <w:lastRenderedPageBreak/>
        <w:t xml:space="preserve">Ramdhan, M.I. and </w:t>
      </w:r>
      <w:proofErr w:type="spellStart"/>
      <w:r w:rsidRPr="00B50BB9">
        <w:rPr>
          <w:rFonts w:ascii="Arial" w:hAnsi="Arial" w:cs="Arial"/>
        </w:rPr>
        <w:t>Rosmawati</w:t>
      </w:r>
      <w:proofErr w:type="spellEnd"/>
      <w:r w:rsidRPr="00B50BB9">
        <w:rPr>
          <w:rFonts w:ascii="Arial" w:hAnsi="Arial" w:cs="Arial"/>
        </w:rPr>
        <w:t>, W. (2022). The effect of budget planning and budget evaluation on organi</w:t>
      </w:r>
      <w:r>
        <w:rPr>
          <w:rFonts w:ascii="Arial" w:hAnsi="Arial" w:cs="Arial"/>
        </w:rPr>
        <w:t>s</w:t>
      </w:r>
      <w:r w:rsidRPr="00B50BB9">
        <w:rPr>
          <w:rFonts w:ascii="Arial" w:hAnsi="Arial" w:cs="Arial"/>
        </w:rPr>
        <w:t xml:space="preserve">ational performance. </w:t>
      </w:r>
      <w:r w:rsidRPr="00B50BB9">
        <w:rPr>
          <w:rFonts w:ascii="Arial" w:hAnsi="Arial" w:cs="Arial"/>
          <w:i/>
          <w:iCs/>
        </w:rPr>
        <w:t>Journal of Research in Construction, Communication, and Commercial, 1</w:t>
      </w:r>
      <w:r w:rsidRPr="00B50BB9">
        <w:rPr>
          <w:rFonts w:ascii="Arial" w:hAnsi="Arial" w:cs="Arial"/>
        </w:rPr>
        <w:t>(1), pp.36–42.</w:t>
      </w:r>
    </w:p>
    <w:p w14:paraId="5BE72630" w14:textId="081707F4"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Salamah, S.N. (2023). Financial management strategies to improve business performance. </w:t>
      </w:r>
      <w:r w:rsidRPr="00B50BB9">
        <w:rPr>
          <w:rFonts w:ascii="Arial" w:hAnsi="Arial" w:cs="Arial"/>
          <w:i/>
          <w:iCs/>
        </w:rPr>
        <w:t>Journal of Contemporary Administration and Management (ADMAN), 1</w:t>
      </w:r>
      <w:r w:rsidRPr="00B50BB9">
        <w:rPr>
          <w:rFonts w:ascii="Arial" w:hAnsi="Arial" w:cs="Arial"/>
        </w:rPr>
        <w:t>(1), pp.9–12.</w:t>
      </w:r>
    </w:p>
    <w:p w14:paraId="65D76A06" w14:textId="77777777" w:rsidR="00B50BB9" w:rsidRDefault="00B50BB9" w:rsidP="00D93493">
      <w:pPr>
        <w:spacing w:line="480" w:lineRule="auto"/>
        <w:ind w:left="720" w:hanging="720"/>
        <w:jc w:val="both"/>
        <w:rPr>
          <w:rFonts w:ascii="Arial" w:hAnsi="Arial" w:cs="Arial"/>
        </w:rPr>
      </w:pPr>
      <w:r w:rsidRPr="00B50BB9">
        <w:rPr>
          <w:rFonts w:ascii="Arial" w:hAnsi="Arial" w:cs="Arial"/>
        </w:rPr>
        <w:t xml:space="preserve">Seal, W., Garrison, R.H. and Noreen, E. (2018). </w:t>
      </w:r>
      <w:r w:rsidRPr="00B50BB9">
        <w:rPr>
          <w:rFonts w:ascii="Arial" w:hAnsi="Arial" w:cs="Arial"/>
          <w:i/>
          <w:iCs/>
        </w:rPr>
        <w:t>Management Accounting</w:t>
      </w:r>
      <w:r w:rsidRPr="00B50BB9">
        <w:rPr>
          <w:rFonts w:ascii="Arial" w:hAnsi="Arial" w:cs="Arial"/>
        </w:rPr>
        <w:t>. 6th ed. Maidenhead: McGraw Hill.</w:t>
      </w:r>
    </w:p>
    <w:p w14:paraId="213F4CC1" w14:textId="1099F85A" w:rsidR="00B50BB9" w:rsidRPr="00B50BB9" w:rsidRDefault="00B50BB9" w:rsidP="00D93493">
      <w:pPr>
        <w:spacing w:line="480" w:lineRule="auto"/>
        <w:ind w:left="720" w:hanging="720"/>
        <w:jc w:val="both"/>
        <w:rPr>
          <w:rFonts w:ascii="Arial" w:hAnsi="Arial" w:cs="Arial"/>
        </w:rPr>
      </w:pPr>
      <w:r w:rsidRPr="00B50BB9">
        <w:rPr>
          <w:rFonts w:ascii="Arial" w:hAnsi="Arial" w:cs="Arial"/>
        </w:rPr>
        <w:t>Sisaye, S. (2021). The influence of non-governmental organi</w:t>
      </w:r>
      <w:r>
        <w:rPr>
          <w:rFonts w:ascii="Arial" w:hAnsi="Arial" w:cs="Arial"/>
        </w:rPr>
        <w:t>s</w:t>
      </w:r>
      <w:r w:rsidRPr="00B50BB9">
        <w:rPr>
          <w:rFonts w:ascii="Arial" w:hAnsi="Arial" w:cs="Arial"/>
        </w:rPr>
        <w:t xml:space="preserve">ations (NGOs) on the development of voluntary sustainability accounting reporting rules. </w:t>
      </w:r>
      <w:r w:rsidRPr="00D93493">
        <w:rPr>
          <w:rFonts w:ascii="Arial" w:hAnsi="Arial" w:cs="Arial"/>
          <w:i/>
          <w:iCs/>
        </w:rPr>
        <w:t>Journal of Business and Socio-economic Development, 1</w:t>
      </w:r>
      <w:r w:rsidRPr="00B50BB9">
        <w:rPr>
          <w:rFonts w:ascii="Arial" w:hAnsi="Arial" w:cs="Arial"/>
        </w:rPr>
        <w:t>(1), pp.5–23.</w:t>
      </w:r>
    </w:p>
    <w:p w14:paraId="33A1BF63" w14:textId="77777777" w:rsidR="00B50BB9" w:rsidRPr="00B50BB9" w:rsidRDefault="00B50BB9" w:rsidP="00D93493">
      <w:pPr>
        <w:spacing w:line="480" w:lineRule="auto"/>
        <w:ind w:left="720" w:hanging="720"/>
        <w:jc w:val="both"/>
        <w:rPr>
          <w:rFonts w:ascii="Arial" w:hAnsi="Arial" w:cs="Arial"/>
        </w:rPr>
      </w:pPr>
      <w:proofErr w:type="spellStart"/>
      <w:r w:rsidRPr="00B50BB9">
        <w:rPr>
          <w:rFonts w:ascii="Arial" w:hAnsi="Arial" w:cs="Arial"/>
        </w:rPr>
        <w:t>Skrbic</w:t>
      </w:r>
      <w:proofErr w:type="spellEnd"/>
      <w:r w:rsidRPr="00B50BB9">
        <w:rPr>
          <w:rFonts w:ascii="Arial" w:hAnsi="Arial" w:cs="Arial"/>
        </w:rPr>
        <w:t xml:space="preserve">, S., Malesic, S. and </w:t>
      </w:r>
      <w:proofErr w:type="spellStart"/>
      <w:r w:rsidRPr="00B50BB9">
        <w:rPr>
          <w:rFonts w:ascii="Arial" w:hAnsi="Arial" w:cs="Arial"/>
        </w:rPr>
        <w:t>Gojkov</w:t>
      </w:r>
      <w:proofErr w:type="spellEnd"/>
      <w:r w:rsidRPr="00B50BB9">
        <w:rPr>
          <w:rFonts w:ascii="Arial" w:hAnsi="Arial" w:cs="Arial"/>
        </w:rPr>
        <w:t xml:space="preserve">, D. (2023). </w:t>
      </w:r>
      <w:r w:rsidRPr="00D93493">
        <w:rPr>
          <w:rFonts w:ascii="Arial" w:hAnsi="Arial" w:cs="Arial"/>
          <w:i/>
          <w:iCs/>
        </w:rPr>
        <w:t>Budget planning process</w:t>
      </w:r>
      <w:r w:rsidRPr="00B50BB9">
        <w:rPr>
          <w:rFonts w:ascii="Arial" w:hAnsi="Arial" w:cs="Arial"/>
        </w:rPr>
        <w:t>. JL Rev. Pub. Sector, 3, p.21.</w:t>
      </w:r>
    </w:p>
    <w:p w14:paraId="03141315" w14:textId="77777777" w:rsidR="00B50BB9" w:rsidRPr="00D93493" w:rsidRDefault="00B50BB9" w:rsidP="00D93493">
      <w:pPr>
        <w:spacing w:line="480" w:lineRule="auto"/>
        <w:ind w:left="720" w:hanging="720"/>
        <w:jc w:val="both"/>
        <w:rPr>
          <w:rFonts w:ascii="Arial" w:hAnsi="Arial" w:cs="Arial"/>
          <w:i/>
          <w:iCs/>
        </w:rPr>
      </w:pPr>
      <w:proofErr w:type="spellStart"/>
      <w:r w:rsidRPr="00B50BB9">
        <w:rPr>
          <w:rFonts w:ascii="Arial" w:hAnsi="Arial" w:cs="Arial"/>
        </w:rPr>
        <w:t>Tilakasiri</w:t>
      </w:r>
      <w:proofErr w:type="spellEnd"/>
      <w:r w:rsidRPr="00B50BB9">
        <w:rPr>
          <w:rFonts w:ascii="Arial" w:hAnsi="Arial" w:cs="Arial"/>
        </w:rPr>
        <w:t xml:space="preserve">, K.K. and Lakshan, A.M.I. (2021). </w:t>
      </w:r>
      <w:r w:rsidRPr="00D93493">
        <w:rPr>
          <w:rFonts w:ascii="Arial" w:hAnsi="Arial" w:cs="Arial"/>
          <w:i/>
          <w:iCs/>
        </w:rPr>
        <w:t>International Journal of Accountancy.</w:t>
      </w:r>
    </w:p>
    <w:p w14:paraId="2222E24E" w14:textId="77777777" w:rsidR="00D93493" w:rsidRDefault="00B50BB9" w:rsidP="00D93493">
      <w:pPr>
        <w:spacing w:line="480" w:lineRule="auto"/>
        <w:ind w:left="720" w:hanging="720"/>
        <w:jc w:val="both"/>
        <w:rPr>
          <w:rFonts w:ascii="Arial" w:hAnsi="Arial" w:cs="Arial"/>
        </w:rPr>
      </w:pPr>
      <w:r w:rsidRPr="00B50BB9">
        <w:rPr>
          <w:rFonts w:ascii="Arial" w:hAnsi="Arial" w:cs="Arial"/>
        </w:rPr>
        <w:t xml:space="preserve">Weetman, P. (2016). </w:t>
      </w:r>
      <w:r w:rsidRPr="00D93493">
        <w:rPr>
          <w:rFonts w:ascii="Arial" w:hAnsi="Arial" w:cs="Arial"/>
          <w:i/>
          <w:iCs/>
        </w:rPr>
        <w:t>Financial accounting: An introduction</w:t>
      </w:r>
      <w:r w:rsidRPr="00B50BB9">
        <w:rPr>
          <w:rFonts w:ascii="Arial" w:hAnsi="Arial" w:cs="Arial"/>
        </w:rPr>
        <w:t>. 7th ed. Harlow: Pearson.</w:t>
      </w:r>
    </w:p>
    <w:p w14:paraId="0FA575CB" w14:textId="139DA72B"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Weigel, C. and </w:t>
      </w:r>
      <w:proofErr w:type="spellStart"/>
      <w:r w:rsidRPr="00B50BB9">
        <w:rPr>
          <w:rFonts w:ascii="Arial" w:hAnsi="Arial" w:cs="Arial"/>
        </w:rPr>
        <w:t>Hiebl</w:t>
      </w:r>
      <w:proofErr w:type="spellEnd"/>
      <w:r w:rsidRPr="00B50BB9">
        <w:rPr>
          <w:rFonts w:ascii="Arial" w:hAnsi="Arial" w:cs="Arial"/>
        </w:rPr>
        <w:t xml:space="preserve">, M.R. (2023). Accountants and small businesses: toward a resource-based view. </w:t>
      </w:r>
      <w:r w:rsidRPr="00D93493">
        <w:rPr>
          <w:rFonts w:ascii="Arial" w:hAnsi="Arial" w:cs="Arial"/>
          <w:i/>
          <w:iCs/>
        </w:rPr>
        <w:t>Journal of Accounting and Organizational Change, 19</w:t>
      </w:r>
      <w:r w:rsidRPr="00B50BB9">
        <w:rPr>
          <w:rFonts w:ascii="Arial" w:hAnsi="Arial" w:cs="Arial"/>
        </w:rPr>
        <w:t>(5), pp.642–666.</w:t>
      </w:r>
    </w:p>
    <w:p w14:paraId="1B39212B" w14:textId="77777777" w:rsidR="00B50BB9" w:rsidRPr="00B50BB9" w:rsidRDefault="00B50BB9" w:rsidP="00D93493">
      <w:pPr>
        <w:spacing w:line="480" w:lineRule="auto"/>
        <w:ind w:left="720" w:hanging="720"/>
        <w:jc w:val="both"/>
        <w:rPr>
          <w:rFonts w:ascii="Arial" w:hAnsi="Arial" w:cs="Arial"/>
        </w:rPr>
      </w:pPr>
      <w:r w:rsidRPr="00B50BB9">
        <w:rPr>
          <w:rFonts w:ascii="Arial" w:hAnsi="Arial" w:cs="Arial"/>
        </w:rPr>
        <w:t xml:space="preserve">Weygandt, J.J., Kimmel, P.D., </w:t>
      </w:r>
      <w:proofErr w:type="spellStart"/>
      <w:r w:rsidRPr="00B50BB9">
        <w:rPr>
          <w:rFonts w:ascii="Arial" w:hAnsi="Arial" w:cs="Arial"/>
        </w:rPr>
        <w:t>Kieso</w:t>
      </w:r>
      <w:proofErr w:type="spellEnd"/>
      <w:r w:rsidRPr="00B50BB9">
        <w:rPr>
          <w:rFonts w:ascii="Arial" w:hAnsi="Arial" w:cs="Arial"/>
        </w:rPr>
        <w:t xml:space="preserve">, D.E. and Aly, I.M. (2018). </w:t>
      </w:r>
      <w:r w:rsidRPr="00D93493">
        <w:rPr>
          <w:rFonts w:ascii="Arial" w:hAnsi="Arial" w:cs="Arial"/>
          <w:i/>
          <w:iCs/>
        </w:rPr>
        <w:t>Managerial accounting: Tools for business decision-making.</w:t>
      </w:r>
      <w:r w:rsidRPr="00B50BB9">
        <w:rPr>
          <w:rFonts w:ascii="Arial" w:hAnsi="Arial" w:cs="Arial"/>
        </w:rPr>
        <w:t xml:space="preserve"> Hoboken, NJ: John Wiley and Sons.</w:t>
      </w:r>
    </w:p>
    <w:p w14:paraId="79BA20AC" w14:textId="33C93B9A" w:rsidR="00B50BB9" w:rsidRDefault="00D93493" w:rsidP="00D93493">
      <w:pPr>
        <w:spacing w:line="480" w:lineRule="auto"/>
        <w:ind w:left="720" w:hanging="720"/>
        <w:jc w:val="both"/>
        <w:rPr>
          <w:rFonts w:ascii="Arial" w:hAnsi="Arial" w:cs="Arial"/>
        </w:rPr>
      </w:pPr>
      <w:hyperlink r:id="rId8" w:history="1">
        <w:r w:rsidRPr="00B033DB">
          <w:rPr>
            <w:rStyle w:val="Hyperlink"/>
            <w:rFonts w:ascii="Arial" w:hAnsi="Arial" w:cs="Arial"/>
          </w:rPr>
          <w:t>https://www.ncvo.org.uk/help-and-guidance/running-a-charity/financial-management/planning-and-budgeting/budgeting-cashflows/defining-budgets-and-cashflow-forecasts-and-writing-a-budget/</w:t>
        </w:r>
      </w:hyperlink>
      <w:r>
        <w:rPr>
          <w:rFonts w:ascii="Arial" w:hAnsi="Arial" w:cs="Arial"/>
        </w:rPr>
        <w:t xml:space="preserve"> </w:t>
      </w:r>
    </w:p>
    <w:p w14:paraId="2F7837BB" w14:textId="75944049" w:rsidR="00D93493" w:rsidRDefault="00D93493" w:rsidP="00D93493">
      <w:pPr>
        <w:spacing w:line="480" w:lineRule="auto"/>
        <w:ind w:left="720" w:hanging="720"/>
        <w:jc w:val="both"/>
        <w:rPr>
          <w:rFonts w:ascii="Arial" w:hAnsi="Arial" w:cs="Arial"/>
        </w:rPr>
      </w:pPr>
      <w:hyperlink r:id="rId9" w:history="1">
        <w:r w:rsidRPr="00B033DB">
          <w:rPr>
            <w:rStyle w:val="Hyperlink"/>
            <w:rFonts w:ascii="Arial" w:hAnsi="Arial" w:cs="Arial"/>
          </w:rPr>
          <w:t>https://www.moneydonut.co.uk/accounting/budgeting-and-cost-control/essential-guide-to-budgeting</w:t>
        </w:r>
      </w:hyperlink>
      <w:r>
        <w:rPr>
          <w:rFonts w:ascii="Arial" w:hAnsi="Arial" w:cs="Arial"/>
        </w:rPr>
        <w:t xml:space="preserve"> </w:t>
      </w:r>
    </w:p>
    <w:p w14:paraId="485ACC37" w14:textId="77777777" w:rsidR="0079754C" w:rsidRDefault="0079754C" w:rsidP="00D93493">
      <w:pPr>
        <w:spacing w:line="480" w:lineRule="auto"/>
        <w:ind w:left="720" w:hanging="720"/>
        <w:jc w:val="both"/>
        <w:rPr>
          <w:rFonts w:ascii="Arial" w:hAnsi="Arial" w:cs="Arial"/>
        </w:rPr>
      </w:pPr>
    </w:p>
    <w:p w14:paraId="2164B719" w14:textId="77777777" w:rsidR="0079754C" w:rsidRDefault="0079754C" w:rsidP="00D93493">
      <w:pPr>
        <w:spacing w:line="480" w:lineRule="auto"/>
        <w:ind w:left="720" w:hanging="720"/>
        <w:jc w:val="both"/>
        <w:rPr>
          <w:rFonts w:ascii="Arial" w:hAnsi="Arial" w:cs="Arial"/>
        </w:rPr>
      </w:pPr>
    </w:p>
    <w:p w14:paraId="001BF742" w14:textId="77777777" w:rsidR="0079754C" w:rsidRDefault="0079754C" w:rsidP="00D93493">
      <w:pPr>
        <w:spacing w:line="480" w:lineRule="auto"/>
        <w:ind w:left="720" w:hanging="720"/>
        <w:jc w:val="both"/>
        <w:rPr>
          <w:rFonts w:ascii="Arial" w:hAnsi="Arial" w:cs="Arial"/>
        </w:rPr>
      </w:pPr>
    </w:p>
    <w:p w14:paraId="529F6BB5" w14:textId="77777777" w:rsidR="0079754C" w:rsidRDefault="0079754C" w:rsidP="00D93493">
      <w:pPr>
        <w:spacing w:line="480" w:lineRule="auto"/>
        <w:ind w:left="720" w:hanging="720"/>
        <w:jc w:val="both"/>
        <w:rPr>
          <w:rFonts w:ascii="Arial" w:hAnsi="Arial" w:cs="Arial"/>
        </w:rPr>
      </w:pPr>
    </w:p>
    <w:p w14:paraId="4FA63B6C" w14:textId="77777777" w:rsidR="0079754C" w:rsidRDefault="0079754C" w:rsidP="00D93493">
      <w:pPr>
        <w:spacing w:line="480" w:lineRule="auto"/>
        <w:ind w:left="720" w:hanging="720"/>
        <w:jc w:val="both"/>
        <w:rPr>
          <w:rFonts w:ascii="Arial" w:hAnsi="Arial" w:cs="Arial"/>
        </w:rPr>
      </w:pPr>
    </w:p>
    <w:p w14:paraId="0CEB383B" w14:textId="77777777" w:rsidR="0079754C" w:rsidRDefault="0079754C" w:rsidP="00D93493">
      <w:pPr>
        <w:spacing w:line="480" w:lineRule="auto"/>
        <w:ind w:left="720" w:hanging="720"/>
        <w:jc w:val="both"/>
        <w:rPr>
          <w:rFonts w:ascii="Arial" w:hAnsi="Arial" w:cs="Arial"/>
        </w:rPr>
      </w:pPr>
    </w:p>
    <w:p w14:paraId="3BCA7C31" w14:textId="77777777" w:rsidR="0079754C" w:rsidRDefault="0079754C" w:rsidP="00D93493">
      <w:pPr>
        <w:spacing w:line="480" w:lineRule="auto"/>
        <w:ind w:left="720" w:hanging="720"/>
        <w:jc w:val="both"/>
        <w:rPr>
          <w:rFonts w:ascii="Arial" w:hAnsi="Arial" w:cs="Arial"/>
        </w:rPr>
      </w:pPr>
    </w:p>
    <w:p w14:paraId="65F1FB1C" w14:textId="77777777" w:rsidR="0079754C" w:rsidRDefault="0079754C" w:rsidP="00D93493">
      <w:pPr>
        <w:spacing w:line="480" w:lineRule="auto"/>
        <w:ind w:left="720" w:hanging="720"/>
        <w:jc w:val="both"/>
        <w:rPr>
          <w:rFonts w:ascii="Arial" w:hAnsi="Arial" w:cs="Arial"/>
        </w:rPr>
      </w:pPr>
    </w:p>
    <w:p w14:paraId="6ED7EDCF" w14:textId="77777777" w:rsidR="0079754C" w:rsidRDefault="0079754C" w:rsidP="00D93493">
      <w:pPr>
        <w:spacing w:line="480" w:lineRule="auto"/>
        <w:ind w:left="720" w:hanging="720"/>
        <w:jc w:val="both"/>
        <w:rPr>
          <w:rFonts w:ascii="Arial" w:hAnsi="Arial" w:cs="Arial"/>
        </w:rPr>
      </w:pPr>
    </w:p>
    <w:p w14:paraId="479F2410" w14:textId="77777777" w:rsidR="0079754C" w:rsidRDefault="0079754C" w:rsidP="00D93493">
      <w:pPr>
        <w:spacing w:line="480" w:lineRule="auto"/>
        <w:ind w:left="720" w:hanging="720"/>
        <w:jc w:val="both"/>
        <w:rPr>
          <w:rFonts w:ascii="Arial" w:hAnsi="Arial" w:cs="Arial"/>
        </w:rPr>
      </w:pPr>
    </w:p>
    <w:p w14:paraId="463B1A3D" w14:textId="77777777" w:rsidR="0079754C" w:rsidRDefault="0079754C" w:rsidP="00D93493">
      <w:pPr>
        <w:spacing w:line="480" w:lineRule="auto"/>
        <w:ind w:left="720" w:hanging="720"/>
        <w:jc w:val="both"/>
        <w:rPr>
          <w:rFonts w:ascii="Arial" w:hAnsi="Arial" w:cs="Arial"/>
        </w:rPr>
      </w:pPr>
    </w:p>
    <w:p w14:paraId="64402BAF" w14:textId="77777777" w:rsidR="0079754C" w:rsidRDefault="0079754C" w:rsidP="00D93493">
      <w:pPr>
        <w:spacing w:line="480" w:lineRule="auto"/>
        <w:ind w:left="720" w:hanging="720"/>
        <w:jc w:val="both"/>
        <w:rPr>
          <w:rFonts w:ascii="Arial" w:hAnsi="Arial" w:cs="Arial"/>
        </w:rPr>
      </w:pPr>
    </w:p>
    <w:p w14:paraId="746EAE11" w14:textId="77777777" w:rsidR="0079754C" w:rsidRDefault="0079754C" w:rsidP="00D93493">
      <w:pPr>
        <w:spacing w:line="480" w:lineRule="auto"/>
        <w:ind w:left="720" w:hanging="720"/>
        <w:jc w:val="both"/>
        <w:rPr>
          <w:rFonts w:ascii="Arial" w:hAnsi="Arial" w:cs="Arial"/>
        </w:rPr>
      </w:pPr>
    </w:p>
    <w:p w14:paraId="320E132D" w14:textId="77777777" w:rsidR="0079754C" w:rsidRDefault="0079754C" w:rsidP="00D93493">
      <w:pPr>
        <w:spacing w:line="480" w:lineRule="auto"/>
        <w:ind w:left="720" w:hanging="720"/>
        <w:jc w:val="both"/>
        <w:rPr>
          <w:rFonts w:ascii="Arial" w:hAnsi="Arial" w:cs="Arial"/>
        </w:rPr>
      </w:pPr>
    </w:p>
    <w:p w14:paraId="35EA9C3A" w14:textId="77777777" w:rsidR="0079754C" w:rsidRDefault="0079754C" w:rsidP="00D93493">
      <w:pPr>
        <w:spacing w:line="480" w:lineRule="auto"/>
        <w:ind w:left="720" w:hanging="720"/>
        <w:jc w:val="both"/>
        <w:rPr>
          <w:rFonts w:ascii="Arial" w:hAnsi="Arial" w:cs="Arial"/>
        </w:rPr>
      </w:pPr>
    </w:p>
    <w:p w14:paraId="0F2DA4DE" w14:textId="77777777" w:rsidR="0079754C" w:rsidRDefault="0079754C" w:rsidP="00D93493">
      <w:pPr>
        <w:spacing w:line="480" w:lineRule="auto"/>
        <w:ind w:left="720" w:hanging="720"/>
        <w:jc w:val="both"/>
        <w:rPr>
          <w:rFonts w:ascii="Arial" w:hAnsi="Arial" w:cs="Arial"/>
        </w:rPr>
      </w:pPr>
    </w:p>
    <w:p w14:paraId="48644371" w14:textId="77777777" w:rsidR="0079754C" w:rsidRDefault="0079754C" w:rsidP="00D93493">
      <w:pPr>
        <w:spacing w:line="480" w:lineRule="auto"/>
        <w:ind w:left="720" w:hanging="720"/>
        <w:jc w:val="both"/>
        <w:rPr>
          <w:rFonts w:ascii="Arial" w:hAnsi="Arial" w:cs="Arial"/>
        </w:rPr>
      </w:pPr>
    </w:p>
    <w:p w14:paraId="38EBEA7E" w14:textId="77777777" w:rsidR="0079754C" w:rsidRDefault="0079754C" w:rsidP="00D93493">
      <w:pPr>
        <w:spacing w:line="480" w:lineRule="auto"/>
        <w:ind w:left="720" w:hanging="720"/>
        <w:jc w:val="both"/>
        <w:rPr>
          <w:rFonts w:ascii="Arial" w:hAnsi="Arial" w:cs="Arial"/>
        </w:rPr>
      </w:pPr>
    </w:p>
    <w:p w14:paraId="3644E852" w14:textId="0F2AF1BB" w:rsidR="0079754C" w:rsidRPr="0079754C" w:rsidRDefault="0079754C" w:rsidP="0079754C">
      <w:pPr>
        <w:spacing w:line="480" w:lineRule="auto"/>
        <w:ind w:left="720" w:hanging="720"/>
        <w:jc w:val="both"/>
        <w:rPr>
          <w:rFonts w:ascii="Arial Black" w:hAnsi="Arial Black" w:cs="Arial"/>
        </w:rPr>
      </w:pPr>
      <w:r w:rsidRPr="0079754C">
        <w:rPr>
          <w:rFonts w:ascii="Arial Black" w:hAnsi="Arial Black" w:cs="Arial"/>
        </w:rPr>
        <w:lastRenderedPageBreak/>
        <w:t>Appendix</w:t>
      </w:r>
    </w:p>
    <w:p w14:paraId="74844D35" w14:textId="43A77B76" w:rsidR="00B50BB9" w:rsidRPr="00B50BB9" w:rsidRDefault="00FE0977" w:rsidP="00B50BB9">
      <w:pPr>
        <w:spacing w:line="480" w:lineRule="auto"/>
        <w:jc w:val="both"/>
        <w:rPr>
          <w:rFonts w:ascii="Arial" w:hAnsi="Arial" w:cs="Arial"/>
        </w:rPr>
      </w:pPr>
      <w:r>
        <w:rPr>
          <w:rFonts w:ascii="Arial" w:hAnsi="Arial" w:cs="Arial"/>
        </w:rPr>
        <w:object w:dxaOrig="1149" w:dyaOrig="747" w14:anchorId="6BB9AC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57pt;height:51.75pt" o:ole="">
            <v:imagedata r:id="rId10" o:title=""/>
          </v:shape>
          <o:OLEObject Type="Embed" ProgID="Excel.Sheet.12" ShapeID="_x0000_i1032" DrawAspect="Icon" ObjectID="_1812286092" r:id="rId11"/>
        </w:object>
      </w:r>
    </w:p>
    <w:p w14:paraId="1292EBA8" w14:textId="77777777" w:rsidR="00B50BB9" w:rsidRPr="00B50BB9" w:rsidRDefault="00B50BB9" w:rsidP="00B50BB9">
      <w:pPr>
        <w:spacing w:line="480" w:lineRule="auto"/>
        <w:jc w:val="both"/>
        <w:rPr>
          <w:rFonts w:ascii="Arial" w:hAnsi="Arial" w:cs="Arial"/>
        </w:rPr>
      </w:pPr>
    </w:p>
    <w:p w14:paraId="29675A2F" w14:textId="77777777" w:rsidR="00B50BB9" w:rsidRPr="00B50BB9" w:rsidRDefault="00B50BB9" w:rsidP="00B50BB9">
      <w:pPr>
        <w:spacing w:line="480" w:lineRule="auto"/>
        <w:jc w:val="both"/>
        <w:rPr>
          <w:rFonts w:ascii="Arial" w:hAnsi="Arial" w:cs="Arial"/>
        </w:rPr>
      </w:pPr>
    </w:p>
    <w:p w14:paraId="7CFB81DB" w14:textId="77777777" w:rsidR="00B50BB9" w:rsidRPr="00B50BB9" w:rsidRDefault="00B50BB9" w:rsidP="00B50BB9">
      <w:pPr>
        <w:spacing w:line="480" w:lineRule="auto"/>
        <w:jc w:val="both"/>
        <w:rPr>
          <w:rFonts w:ascii="Arial" w:hAnsi="Arial" w:cs="Arial"/>
        </w:rPr>
      </w:pPr>
    </w:p>
    <w:p w14:paraId="57B1A505" w14:textId="77777777" w:rsidR="00B50BB9" w:rsidRPr="00B50BB9" w:rsidRDefault="00B50BB9" w:rsidP="00B50BB9">
      <w:pPr>
        <w:spacing w:line="480" w:lineRule="auto"/>
        <w:jc w:val="both"/>
        <w:rPr>
          <w:rFonts w:ascii="Arial" w:hAnsi="Arial" w:cs="Arial"/>
        </w:rPr>
      </w:pPr>
    </w:p>
    <w:p w14:paraId="55149166" w14:textId="77777777" w:rsidR="00B50BB9" w:rsidRPr="00B50BB9" w:rsidRDefault="00B50BB9" w:rsidP="00B50BB9">
      <w:pPr>
        <w:spacing w:line="480" w:lineRule="auto"/>
        <w:jc w:val="both"/>
        <w:rPr>
          <w:rFonts w:ascii="Arial" w:hAnsi="Arial" w:cs="Arial"/>
        </w:rPr>
      </w:pPr>
    </w:p>
    <w:p w14:paraId="111AD511" w14:textId="77777777" w:rsidR="00B50BB9" w:rsidRPr="00B50BB9" w:rsidRDefault="00B50BB9" w:rsidP="00B50BB9">
      <w:pPr>
        <w:spacing w:line="480" w:lineRule="auto"/>
        <w:jc w:val="both"/>
        <w:rPr>
          <w:rFonts w:ascii="Arial" w:hAnsi="Arial" w:cs="Arial"/>
        </w:rPr>
      </w:pPr>
    </w:p>
    <w:p w14:paraId="4E195A00" w14:textId="77777777" w:rsidR="00B50BB9" w:rsidRDefault="00B50BB9" w:rsidP="008C209C">
      <w:pPr>
        <w:spacing w:line="480" w:lineRule="auto"/>
        <w:jc w:val="both"/>
        <w:rPr>
          <w:rFonts w:ascii="Arial" w:hAnsi="Arial" w:cs="Arial"/>
        </w:rPr>
      </w:pPr>
    </w:p>
    <w:p w14:paraId="3D5BB4DE" w14:textId="795660A5" w:rsidR="000B20B0" w:rsidRPr="000B20B0" w:rsidRDefault="000B20B0" w:rsidP="000B20B0">
      <w:pPr>
        <w:spacing w:line="480" w:lineRule="auto"/>
        <w:jc w:val="both"/>
        <w:rPr>
          <w:rFonts w:ascii="Arial" w:hAnsi="Arial" w:cs="Arial"/>
        </w:rPr>
      </w:pPr>
    </w:p>
    <w:sectPr w:rsidR="000B20B0" w:rsidRPr="000B20B0" w:rsidSect="0079754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6C99D" w14:textId="77777777" w:rsidR="009918BA" w:rsidRDefault="009918BA" w:rsidP="00D93493">
      <w:pPr>
        <w:spacing w:after="0" w:line="240" w:lineRule="auto"/>
      </w:pPr>
      <w:r>
        <w:separator/>
      </w:r>
    </w:p>
  </w:endnote>
  <w:endnote w:type="continuationSeparator" w:id="0">
    <w:p w14:paraId="1E622AF0" w14:textId="77777777" w:rsidR="009918BA" w:rsidRDefault="009918BA" w:rsidP="00D9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7869461"/>
      <w:docPartObj>
        <w:docPartGallery w:val="Page Numbers (Bottom of Page)"/>
        <w:docPartUnique/>
      </w:docPartObj>
    </w:sdtPr>
    <w:sdtEndPr>
      <w:rPr>
        <w:noProof/>
      </w:rPr>
    </w:sdtEndPr>
    <w:sdtContent>
      <w:p w14:paraId="26A73E59" w14:textId="24DDA189" w:rsidR="00D93493" w:rsidRDefault="00D934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2140D3" w14:textId="77777777" w:rsidR="00D93493" w:rsidRDefault="00D9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A17D2" w14:textId="77777777" w:rsidR="009918BA" w:rsidRDefault="009918BA" w:rsidP="00D93493">
      <w:pPr>
        <w:spacing w:after="0" w:line="240" w:lineRule="auto"/>
      </w:pPr>
      <w:r>
        <w:separator/>
      </w:r>
    </w:p>
  </w:footnote>
  <w:footnote w:type="continuationSeparator" w:id="0">
    <w:p w14:paraId="4EAA9DC3" w14:textId="77777777" w:rsidR="009918BA" w:rsidRDefault="009918BA" w:rsidP="00D93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63176"/>
    <w:multiLevelType w:val="hybridMultilevel"/>
    <w:tmpl w:val="1E2259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835FD"/>
    <w:multiLevelType w:val="hybridMultilevel"/>
    <w:tmpl w:val="B2BC7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7D184D"/>
    <w:multiLevelType w:val="hybridMultilevel"/>
    <w:tmpl w:val="087A7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56B12"/>
    <w:multiLevelType w:val="hybridMultilevel"/>
    <w:tmpl w:val="BFF22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95FA5"/>
    <w:multiLevelType w:val="hybridMultilevel"/>
    <w:tmpl w:val="F3B8A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A36362"/>
    <w:multiLevelType w:val="hybridMultilevel"/>
    <w:tmpl w:val="DE1ED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0B33AB"/>
    <w:multiLevelType w:val="hybridMultilevel"/>
    <w:tmpl w:val="C2E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F43C99"/>
    <w:multiLevelType w:val="hybridMultilevel"/>
    <w:tmpl w:val="0882C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3C5056"/>
    <w:multiLevelType w:val="hybridMultilevel"/>
    <w:tmpl w:val="6B3C4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556C17"/>
    <w:multiLevelType w:val="hybridMultilevel"/>
    <w:tmpl w:val="ED08E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D320C1"/>
    <w:multiLevelType w:val="hybridMultilevel"/>
    <w:tmpl w:val="906AD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9603A5"/>
    <w:multiLevelType w:val="hybridMultilevel"/>
    <w:tmpl w:val="15861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EE38CE"/>
    <w:multiLevelType w:val="hybridMultilevel"/>
    <w:tmpl w:val="ED94C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145AB1"/>
    <w:multiLevelType w:val="hybridMultilevel"/>
    <w:tmpl w:val="A1F00D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8D772F"/>
    <w:multiLevelType w:val="hybridMultilevel"/>
    <w:tmpl w:val="53F087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0014459">
    <w:abstractNumId w:val="10"/>
  </w:num>
  <w:num w:numId="2" w16cid:durableId="1993675637">
    <w:abstractNumId w:val="5"/>
  </w:num>
  <w:num w:numId="3" w16cid:durableId="927496626">
    <w:abstractNumId w:val="7"/>
  </w:num>
  <w:num w:numId="4" w16cid:durableId="1829134441">
    <w:abstractNumId w:val="1"/>
  </w:num>
  <w:num w:numId="5" w16cid:durableId="1627850059">
    <w:abstractNumId w:val="11"/>
  </w:num>
  <w:num w:numId="6" w16cid:durableId="1418356988">
    <w:abstractNumId w:val="13"/>
  </w:num>
  <w:num w:numId="7" w16cid:durableId="154687593">
    <w:abstractNumId w:val="0"/>
  </w:num>
  <w:num w:numId="8" w16cid:durableId="134489744">
    <w:abstractNumId w:val="14"/>
  </w:num>
  <w:num w:numId="9" w16cid:durableId="1479418756">
    <w:abstractNumId w:val="9"/>
  </w:num>
  <w:num w:numId="10" w16cid:durableId="1879857685">
    <w:abstractNumId w:val="4"/>
  </w:num>
  <w:num w:numId="11" w16cid:durableId="2055229277">
    <w:abstractNumId w:val="12"/>
  </w:num>
  <w:num w:numId="12" w16cid:durableId="679042434">
    <w:abstractNumId w:val="2"/>
  </w:num>
  <w:num w:numId="13" w16cid:durableId="736636034">
    <w:abstractNumId w:val="6"/>
  </w:num>
  <w:num w:numId="14" w16cid:durableId="336229377">
    <w:abstractNumId w:val="3"/>
  </w:num>
  <w:num w:numId="15" w16cid:durableId="15525737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0B0"/>
    <w:rsid w:val="00010385"/>
    <w:rsid w:val="000B20B0"/>
    <w:rsid w:val="00122CC3"/>
    <w:rsid w:val="00190E25"/>
    <w:rsid w:val="001D7B3C"/>
    <w:rsid w:val="00477E69"/>
    <w:rsid w:val="004A6194"/>
    <w:rsid w:val="00642EF0"/>
    <w:rsid w:val="00746D35"/>
    <w:rsid w:val="007906E5"/>
    <w:rsid w:val="0079754C"/>
    <w:rsid w:val="007D4977"/>
    <w:rsid w:val="008C209C"/>
    <w:rsid w:val="009918BA"/>
    <w:rsid w:val="009A6203"/>
    <w:rsid w:val="009F347E"/>
    <w:rsid w:val="00A15F7C"/>
    <w:rsid w:val="00B342E3"/>
    <w:rsid w:val="00B50BB9"/>
    <w:rsid w:val="00BF5FB4"/>
    <w:rsid w:val="00D923AE"/>
    <w:rsid w:val="00D93493"/>
    <w:rsid w:val="00F77E2A"/>
    <w:rsid w:val="00F93491"/>
    <w:rsid w:val="00FE0977"/>
    <w:rsid w:val="00FF4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E73F3"/>
  <w15:chartTrackingRefBased/>
  <w15:docId w15:val="{F5DF7573-86F6-4900-997A-ACAA885AB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0B0"/>
    <w:rPr>
      <w:rFonts w:eastAsiaTheme="majorEastAsia" w:cstheme="majorBidi"/>
      <w:color w:val="272727" w:themeColor="text1" w:themeTint="D8"/>
    </w:rPr>
  </w:style>
  <w:style w:type="paragraph" w:styleId="Title">
    <w:name w:val="Title"/>
    <w:basedOn w:val="Normal"/>
    <w:next w:val="Normal"/>
    <w:link w:val="TitleChar"/>
    <w:uiPriority w:val="10"/>
    <w:qFormat/>
    <w:rsid w:val="000B2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0B0"/>
    <w:pPr>
      <w:spacing w:before="160"/>
      <w:jc w:val="center"/>
    </w:pPr>
    <w:rPr>
      <w:i/>
      <w:iCs/>
      <w:color w:val="404040" w:themeColor="text1" w:themeTint="BF"/>
    </w:rPr>
  </w:style>
  <w:style w:type="character" w:customStyle="1" w:styleId="QuoteChar">
    <w:name w:val="Quote Char"/>
    <w:basedOn w:val="DefaultParagraphFont"/>
    <w:link w:val="Quote"/>
    <w:uiPriority w:val="29"/>
    <w:rsid w:val="000B20B0"/>
    <w:rPr>
      <w:i/>
      <w:iCs/>
      <w:color w:val="404040" w:themeColor="text1" w:themeTint="BF"/>
    </w:rPr>
  </w:style>
  <w:style w:type="paragraph" w:styleId="ListParagraph">
    <w:name w:val="List Paragraph"/>
    <w:basedOn w:val="Normal"/>
    <w:uiPriority w:val="34"/>
    <w:qFormat/>
    <w:rsid w:val="000B20B0"/>
    <w:pPr>
      <w:ind w:left="720"/>
      <w:contextualSpacing/>
    </w:pPr>
  </w:style>
  <w:style w:type="character" w:styleId="IntenseEmphasis">
    <w:name w:val="Intense Emphasis"/>
    <w:basedOn w:val="DefaultParagraphFont"/>
    <w:uiPriority w:val="21"/>
    <w:qFormat/>
    <w:rsid w:val="000B20B0"/>
    <w:rPr>
      <w:i/>
      <w:iCs/>
      <w:color w:val="0F4761" w:themeColor="accent1" w:themeShade="BF"/>
    </w:rPr>
  </w:style>
  <w:style w:type="paragraph" w:styleId="IntenseQuote">
    <w:name w:val="Intense Quote"/>
    <w:basedOn w:val="Normal"/>
    <w:next w:val="Normal"/>
    <w:link w:val="IntenseQuoteChar"/>
    <w:uiPriority w:val="30"/>
    <w:qFormat/>
    <w:rsid w:val="000B2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0B0"/>
    <w:rPr>
      <w:i/>
      <w:iCs/>
      <w:color w:val="0F4761" w:themeColor="accent1" w:themeShade="BF"/>
    </w:rPr>
  </w:style>
  <w:style w:type="character" w:styleId="IntenseReference">
    <w:name w:val="Intense Reference"/>
    <w:basedOn w:val="DefaultParagraphFont"/>
    <w:uiPriority w:val="32"/>
    <w:qFormat/>
    <w:rsid w:val="000B20B0"/>
    <w:rPr>
      <w:b/>
      <w:bCs/>
      <w:smallCaps/>
      <w:color w:val="0F4761" w:themeColor="accent1" w:themeShade="BF"/>
      <w:spacing w:val="5"/>
    </w:rPr>
  </w:style>
  <w:style w:type="character" w:styleId="Hyperlink">
    <w:name w:val="Hyperlink"/>
    <w:basedOn w:val="DefaultParagraphFont"/>
    <w:uiPriority w:val="99"/>
    <w:unhideWhenUsed/>
    <w:rsid w:val="00D93493"/>
    <w:rPr>
      <w:color w:val="467886" w:themeColor="hyperlink"/>
      <w:u w:val="single"/>
    </w:rPr>
  </w:style>
  <w:style w:type="character" w:styleId="UnresolvedMention">
    <w:name w:val="Unresolved Mention"/>
    <w:basedOn w:val="DefaultParagraphFont"/>
    <w:uiPriority w:val="99"/>
    <w:semiHidden/>
    <w:unhideWhenUsed/>
    <w:rsid w:val="00D93493"/>
    <w:rPr>
      <w:color w:val="605E5C"/>
      <w:shd w:val="clear" w:color="auto" w:fill="E1DFDD"/>
    </w:rPr>
  </w:style>
  <w:style w:type="paragraph" w:styleId="Header">
    <w:name w:val="header"/>
    <w:basedOn w:val="Normal"/>
    <w:link w:val="HeaderChar"/>
    <w:uiPriority w:val="99"/>
    <w:unhideWhenUsed/>
    <w:rsid w:val="00D93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493"/>
  </w:style>
  <w:style w:type="paragraph" w:styleId="Footer">
    <w:name w:val="footer"/>
    <w:basedOn w:val="Normal"/>
    <w:link w:val="FooterChar"/>
    <w:uiPriority w:val="99"/>
    <w:unhideWhenUsed/>
    <w:rsid w:val="00D93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493"/>
  </w:style>
  <w:style w:type="paragraph" w:styleId="NoSpacing">
    <w:name w:val="No Spacing"/>
    <w:link w:val="NoSpacingChar"/>
    <w:uiPriority w:val="1"/>
    <w:qFormat/>
    <w:rsid w:val="007975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9754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vo.org.uk/help-and-guidance/running-a-charity/financial-management/planning-and-budgeting/budgeting-cashflows/defining-budgets-and-cashflow-forecasts-and-writing-a-budg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Excel_Worksheet.xlsx"/><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www.moneydonut.co.uk/accounting/budgeting-and-cost-control/essential-guide-to-budge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23</Pages>
  <Words>4769</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
  <dc:creator>Mirabela Voican (1907947)</dc:creator>
  <cp:keywords/>
  <dc:description/>
  <cp:lastModifiedBy>Ioanaaa 7</cp:lastModifiedBy>
  <cp:revision>3</cp:revision>
  <dcterms:created xsi:type="dcterms:W3CDTF">2025-06-24T14:57:00Z</dcterms:created>
  <dcterms:modified xsi:type="dcterms:W3CDTF">2025-06-24T15:02:00Z</dcterms:modified>
</cp:coreProperties>
</file>