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7420F" w:rsidRPr="00136B17" w:rsidRDefault="0077420F">
      <w:pPr>
        <w:jc w:val="center"/>
        <w:rPr>
          <w:b/>
          <w:sz w:val="32"/>
          <w:szCs w:val="32"/>
          <w:lang w:val="en-GB"/>
        </w:rPr>
      </w:pPr>
    </w:p>
    <w:p w14:paraId="00000002" w14:textId="77777777" w:rsidR="0077420F" w:rsidRPr="00136B17" w:rsidRDefault="0077420F">
      <w:pPr>
        <w:jc w:val="center"/>
        <w:rPr>
          <w:b/>
          <w:sz w:val="32"/>
          <w:szCs w:val="32"/>
          <w:lang w:val="en-GB"/>
        </w:rPr>
      </w:pPr>
    </w:p>
    <w:p w14:paraId="00000003" w14:textId="77777777" w:rsidR="0077420F" w:rsidRPr="00136B17" w:rsidRDefault="0077420F">
      <w:pPr>
        <w:jc w:val="center"/>
        <w:rPr>
          <w:b/>
          <w:sz w:val="32"/>
          <w:szCs w:val="32"/>
          <w:lang w:val="en-GB"/>
        </w:rPr>
      </w:pPr>
    </w:p>
    <w:p w14:paraId="00000004" w14:textId="77777777" w:rsidR="0077420F" w:rsidRPr="00136B17" w:rsidRDefault="0077420F">
      <w:pPr>
        <w:jc w:val="center"/>
        <w:rPr>
          <w:b/>
          <w:sz w:val="32"/>
          <w:szCs w:val="32"/>
          <w:lang w:val="en-GB"/>
        </w:rPr>
      </w:pPr>
    </w:p>
    <w:p w14:paraId="00000005" w14:textId="77777777" w:rsidR="0077420F" w:rsidRPr="00136B17" w:rsidRDefault="0077420F">
      <w:pPr>
        <w:jc w:val="center"/>
        <w:rPr>
          <w:b/>
          <w:sz w:val="32"/>
          <w:szCs w:val="32"/>
          <w:lang w:val="en-GB"/>
        </w:rPr>
      </w:pPr>
    </w:p>
    <w:p w14:paraId="00000006" w14:textId="77777777" w:rsidR="0077420F" w:rsidRPr="00136B17" w:rsidRDefault="0077420F">
      <w:pPr>
        <w:jc w:val="center"/>
        <w:rPr>
          <w:b/>
          <w:sz w:val="32"/>
          <w:szCs w:val="32"/>
          <w:lang w:val="en-GB"/>
        </w:rPr>
      </w:pPr>
    </w:p>
    <w:p w14:paraId="00000007" w14:textId="77777777" w:rsidR="0077420F" w:rsidRPr="00136B17" w:rsidRDefault="0077420F">
      <w:pPr>
        <w:jc w:val="center"/>
        <w:rPr>
          <w:b/>
          <w:sz w:val="32"/>
          <w:szCs w:val="32"/>
          <w:lang w:val="en-GB"/>
        </w:rPr>
      </w:pPr>
    </w:p>
    <w:p w14:paraId="00000008" w14:textId="77777777" w:rsidR="0077420F" w:rsidRPr="00136B17" w:rsidRDefault="0077420F">
      <w:pPr>
        <w:jc w:val="center"/>
        <w:rPr>
          <w:b/>
          <w:sz w:val="32"/>
          <w:szCs w:val="32"/>
          <w:lang w:val="en-GB"/>
        </w:rPr>
      </w:pPr>
    </w:p>
    <w:p w14:paraId="00000009" w14:textId="77777777" w:rsidR="0077420F" w:rsidRPr="00136B17" w:rsidRDefault="002B62D3">
      <w:pPr>
        <w:jc w:val="center"/>
        <w:rPr>
          <w:b/>
          <w:sz w:val="32"/>
          <w:szCs w:val="32"/>
          <w:lang w:val="en-GB"/>
        </w:rPr>
      </w:pPr>
      <w:r w:rsidRPr="00136B17">
        <w:rPr>
          <w:b/>
          <w:sz w:val="32"/>
          <w:szCs w:val="32"/>
          <w:lang w:val="en-GB"/>
        </w:rPr>
        <w:t>How to engage employees throughout the employee lifecycle</w:t>
      </w:r>
    </w:p>
    <w:p w14:paraId="0000000A" w14:textId="77777777" w:rsidR="0077420F" w:rsidRPr="00136B17" w:rsidRDefault="002B62D3">
      <w:pPr>
        <w:jc w:val="center"/>
        <w:rPr>
          <w:b/>
          <w:sz w:val="32"/>
          <w:szCs w:val="32"/>
          <w:lang w:val="en-GB"/>
        </w:rPr>
      </w:pPr>
      <w:r w:rsidRPr="00136B17">
        <w:rPr>
          <w:b/>
          <w:sz w:val="32"/>
          <w:szCs w:val="32"/>
          <w:lang w:val="en-GB"/>
        </w:rPr>
        <w:t>BMIH5005</w:t>
      </w:r>
    </w:p>
    <w:p w14:paraId="0000000B" w14:textId="77777777" w:rsidR="0077420F" w:rsidRPr="00136B17" w:rsidRDefault="002B62D3">
      <w:pPr>
        <w:jc w:val="center"/>
        <w:rPr>
          <w:b/>
          <w:sz w:val="32"/>
          <w:szCs w:val="32"/>
          <w:lang w:val="en-GB"/>
        </w:rPr>
      </w:pPr>
      <w:r w:rsidRPr="00136B17">
        <w:rPr>
          <w:b/>
          <w:sz w:val="32"/>
          <w:szCs w:val="32"/>
          <w:lang w:val="en-GB"/>
        </w:rPr>
        <w:t>Personnel Resourcing and Development</w:t>
      </w:r>
    </w:p>
    <w:p w14:paraId="0000000C" w14:textId="689EC4CA" w:rsidR="0077420F" w:rsidRPr="00136B17" w:rsidRDefault="002B62D3">
      <w:pPr>
        <w:rPr>
          <w:b/>
          <w:sz w:val="32"/>
          <w:szCs w:val="32"/>
          <w:lang w:val="en-GB"/>
        </w:rPr>
      </w:pPr>
      <w:r w:rsidRPr="00136B17">
        <w:rPr>
          <w:b/>
          <w:sz w:val="32"/>
          <w:szCs w:val="32"/>
          <w:lang w:val="en-GB"/>
        </w:rPr>
        <w:t>Student Name:</w:t>
      </w:r>
      <w:r w:rsidR="00604C96">
        <w:rPr>
          <w:b/>
          <w:sz w:val="32"/>
          <w:szCs w:val="32"/>
          <w:lang w:val="en-GB"/>
        </w:rPr>
        <w:t xml:space="preserve"> Ioana </w:t>
      </w:r>
      <w:proofErr w:type="spellStart"/>
      <w:r w:rsidR="00604C96">
        <w:rPr>
          <w:b/>
          <w:sz w:val="32"/>
          <w:szCs w:val="32"/>
          <w:lang w:val="en-GB"/>
        </w:rPr>
        <w:t>Mihailov</w:t>
      </w:r>
      <w:proofErr w:type="spellEnd"/>
    </w:p>
    <w:p w14:paraId="0000000D" w14:textId="0E95C76B" w:rsidR="0077420F" w:rsidRPr="00136B17" w:rsidRDefault="002B62D3">
      <w:pPr>
        <w:rPr>
          <w:b/>
          <w:sz w:val="32"/>
          <w:szCs w:val="32"/>
          <w:lang w:val="en-GB"/>
        </w:rPr>
      </w:pPr>
      <w:r w:rsidRPr="00136B17">
        <w:rPr>
          <w:b/>
          <w:sz w:val="32"/>
          <w:szCs w:val="32"/>
          <w:lang w:val="en-GB"/>
        </w:rPr>
        <w:t>Student ID:</w:t>
      </w:r>
      <w:r w:rsidR="00604C96">
        <w:rPr>
          <w:b/>
          <w:sz w:val="32"/>
          <w:szCs w:val="32"/>
          <w:lang w:val="en-GB"/>
        </w:rPr>
        <w:t xml:space="preserve"> 2122611</w:t>
      </w:r>
    </w:p>
    <w:p w14:paraId="0000000E" w14:textId="77777777" w:rsidR="0077420F" w:rsidRPr="00136B17" w:rsidRDefault="002B62D3">
      <w:pPr>
        <w:jc w:val="center"/>
        <w:rPr>
          <w:lang w:val="en-GB"/>
        </w:rPr>
      </w:pPr>
      <w:r w:rsidRPr="00136B17">
        <w:rPr>
          <w:lang w:val="en-GB"/>
        </w:rPr>
        <w:br w:type="page"/>
      </w:r>
    </w:p>
    <w:bookmarkStart w:id="0" w:name="_qt6wmzwh6434" w:colFirst="0" w:colLast="0" w:displacedByCustomXml="next"/>
    <w:bookmarkEnd w:id="0" w:displacedByCustomXml="next"/>
    <w:sdt>
      <w:sdtPr>
        <w:rPr>
          <w:rFonts w:ascii="Arial" w:eastAsia="Arial" w:hAnsi="Arial" w:cs="Arial"/>
          <w:color w:val="auto"/>
          <w:sz w:val="24"/>
          <w:szCs w:val="24"/>
          <w:highlight w:val="white"/>
          <w:lang w:val="en-GB"/>
        </w:rPr>
        <w:id w:val="504482654"/>
        <w:docPartObj>
          <w:docPartGallery w:val="Table of Contents"/>
          <w:docPartUnique/>
        </w:docPartObj>
      </w:sdtPr>
      <w:sdtEndPr>
        <w:rPr>
          <w:b/>
          <w:bCs/>
          <w:noProof/>
        </w:rPr>
      </w:sdtEndPr>
      <w:sdtContent>
        <w:p w14:paraId="0F09E84F" w14:textId="790835C4" w:rsidR="00136B17" w:rsidRPr="00136B17" w:rsidRDefault="00136B17" w:rsidP="00136B17">
          <w:pPr>
            <w:pStyle w:val="TOCHeading"/>
            <w:jc w:val="center"/>
            <w:rPr>
              <w:rFonts w:ascii="Arial" w:hAnsi="Arial" w:cs="Arial"/>
              <w:b/>
              <w:color w:val="auto"/>
              <w:lang w:val="en-GB"/>
            </w:rPr>
          </w:pPr>
          <w:r w:rsidRPr="00136B17">
            <w:rPr>
              <w:rFonts w:ascii="Arial" w:hAnsi="Arial" w:cs="Arial"/>
              <w:b/>
              <w:color w:val="auto"/>
              <w:lang w:val="en-GB"/>
            </w:rPr>
            <w:t>Table of Contents</w:t>
          </w:r>
        </w:p>
        <w:p w14:paraId="0C9D97E3" w14:textId="0572EFB9" w:rsidR="00136B17" w:rsidRPr="00136B17" w:rsidRDefault="00136B17">
          <w:pPr>
            <w:pStyle w:val="TOC1"/>
            <w:tabs>
              <w:tab w:val="right" w:leader="dot" w:pos="9350"/>
            </w:tabs>
            <w:rPr>
              <w:noProof/>
              <w:lang w:val="en-GB"/>
            </w:rPr>
          </w:pPr>
          <w:r w:rsidRPr="00136B17">
            <w:rPr>
              <w:lang w:val="en-GB"/>
            </w:rPr>
            <w:fldChar w:fldCharType="begin"/>
          </w:r>
          <w:r w:rsidRPr="00136B17">
            <w:rPr>
              <w:lang w:val="en-GB"/>
            </w:rPr>
            <w:instrText xml:space="preserve"> TOC \o "1-3" \h \z \u </w:instrText>
          </w:r>
          <w:r w:rsidRPr="00136B17">
            <w:rPr>
              <w:lang w:val="en-GB"/>
            </w:rPr>
            <w:fldChar w:fldCharType="separate"/>
          </w:r>
          <w:hyperlink w:anchor="_Toc126957299" w:history="1">
            <w:r w:rsidRPr="00136B17">
              <w:rPr>
                <w:rStyle w:val="Hyperlink"/>
                <w:noProof/>
                <w:lang w:val="en-GB"/>
              </w:rPr>
              <w:t>Introduction</w:t>
            </w:r>
            <w:r w:rsidRPr="00136B17">
              <w:rPr>
                <w:noProof/>
                <w:webHidden/>
                <w:lang w:val="en-GB"/>
              </w:rPr>
              <w:tab/>
            </w:r>
            <w:r w:rsidRPr="00136B17">
              <w:rPr>
                <w:noProof/>
                <w:webHidden/>
                <w:lang w:val="en-GB"/>
              </w:rPr>
              <w:fldChar w:fldCharType="begin"/>
            </w:r>
            <w:r w:rsidRPr="00136B17">
              <w:rPr>
                <w:noProof/>
                <w:webHidden/>
                <w:lang w:val="en-GB"/>
              </w:rPr>
              <w:instrText xml:space="preserve"> PAGEREF _Toc126957299 \h </w:instrText>
            </w:r>
            <w:r w:rsidRPr="00136B17">
              <w:rPr>
                <w:noProof/>
                <w:webHidden/>
                <w:lang w:val="en-GB"/>
              </w:rPr>
            </w:r>
            <w:r w:rsidRPr="00136B17">
              <w:rPr>
                <w:noProof/>
                <w:webHidden/>
                <w:lang w:val="en-GB"/>
              </w:rPr>
              <w:fldChar w:fldCharType="separate"/>
            </w:r>
            <w:r w:rsidRPr="00136B17">
              <w:rPr>
                <w:noProof/>
                <w:webHidden/>
                <w:lang w:val="en-GB"/>
              </w:rPr>
              <w:t>3</w:t>
            </w:r>
            <w:r w:rsidRPr="00136B17">
              <w:rPr>
                <w:noProof/>
                <w:webHidden/>
                <w:lang w:val="en-GB"/>
              </w:rPr>
              <w:fldChar w:fldCharType="end"/>
            </w:r>
          </w:hyperlink>
        </w:p>
        <w:p w14:paraId="14D8A3F4" w14:textId="63AFA5DC" w:rsidR="00136B17" w:rsidRPr="00136B17" w:rsidRDefault="00000000">
          <w:pPr>
            <w:pStyle w:val="TOC1"/>
            <w:tabs>
              <w:tab w:val="right" w:leader="dot" w:pos="9350"/>
            </w:tabs>
            <w:rPr>
              <w:noProof/>
              <w:lang w:val="en-GB"/>
            </w:rPr>
          </w:pPr>
          <w:hyperlink w:anchor="_Toc126957300" w:history="1">
            <w:r w:rsidR="00136B17" w:rsidRPr="00136B17">
              <w:rPr>
                <w:rStyle w:val="Hyperlink"/>
                <w:noProof/>
                <w:lang w:val="en-GB"/>
              </w:rPr>
              <w:t>Discussion</w:t>
            </w:r>
            <w:r w:rsidR="00136B17" w:rsidRPr="00136B17">
              <w:rPr>
                <w:noProof/>
                <w:webHidden/>
                <w:lang w:val="en-GB"/>
              </w:rPr>
              <w:tab/>
            </w:r>
            <w:r w:rsidR="00136B17" w:rsidRPr="00136B17">
              <w:rPr>
                <w:noProof/>
                <w:webHidden/>
                <w:lang w:val="en-GB"/>
              </w:rPr>
              <w:fldChar w:fldCharType="begin"/>
            </w:r>
            <w:r w:rsidR="00136B17" w:rsidRPr="00136B17">
              <w:rPr>
                <w:noProof/>
                <w:webHidden/>
                <w:lang w:val="en-GB"/>
              </w:rPr>
              <w:instrText xml:space="preserve"> PAGEREF _Toc126957300 \h </w:instrText>
            </w:r>
            <w:r w:rsidR="00136B17" w:rsidRPr="00136B17">
              <w:rPr>
                <w:noProof/>
                <w:webHidden/>
                <w:lang w:val="en-GB"/>
              </w:rPr>
            </w:r>
            <w:r w:rsidR="00136B17" w:rsidRPr="00136B17">
              <w:rPr>
                <w:noProof/>
                <w:webHidden/>
                <w:lang w:val="en-GB"/>
              </w:rPr>
              <w:fldChar w:fldCharType="separate"/>
            </w:r>
            <w:r w:rsidR="00136B17" w:rsidRPr="00136B17">
              <w:rPr>
                <w:noProof/>
                <w:webHidden/>
                <w:lang w:val="en-GB"/>
              </w:rPr>
              <w:t>3</w:t>
            </w:r>
            <w:r w:rsidR="00136B17" w:rsidRPr="00136B17">
              <w:rPr>
                <w:noProof/>
                <w:webHidden/>
                <w:lang w:val="en-GB"/>
              </w:rPr>
              <w:fldChar w:fldCharType="end"/>
            </w:r>
          </w:hyperlink>
        </w:p>
        <w:p w14:paraId="56167BDD" w14:textId="4C815B35" w:rsidR="00136B17" w:rsidRPr="00136B17" w:rsidRDefault="00000000">
          <w:pPr>
            <w:pStyle w:val="TOC1"/>
            <w:tabs>
              <w:tab w:val="right" w:leader="dot" w:pos="9350"/>
            </w:tabs>
            <w:rPr>
              <w:noProof/>
              <w:lang w:val="en-GB"/>
            </w:rPr>
          </w:pPr>
          <w:hyperlink w:anchor="_Toc126957301" w:history="1">
            <w:r w:rsidR="00136B17" w:rsidRPr="00136B17">
              <w:rPr>
                <w:rStyle w:val="Hyperlink"/>
                <w:noProof/>
                <w:lang w:val="en-GB"/>
              </w:rPr>
              <w:t>Conclusion</w:t>
            </w:r>
            <w:r w:rsidR="00136B17" w:rsidRPr="00136B17">
              <w:rPr>
                <w:noProof/>
                <w:webHidden/>
                <w:lang w:val="en-GB"/>
              </w:rPr>
              <w:tab/>
            </w:r>
            <w:r w:rsidR="00136B17" w:rsidRPr="00136B17">
              <w:rPr>
                <w:noProof/>
                <w:webHidden/>
                <w:lang w:val="en-GB"/>
              </w:rPr>
              <w:fldChar w:fldCharType="begin"/>
            </w:r>
            <w:r w:rsidR="00136B17" w:rsidRPr="00136B17">
              <w:rPr>
                <w:noProof/>
                <w:webHidden/>
                <w:lang w:val="en-GB"/>
              </w:rPr>
              <w:instrText xml:space="preserve"> PAGEREF _Toc126957301 \h </w:instrText>
            </w:r>
            <w:r w:rsidR="00136B17" w:rsidRPr="00136B17">
              <w:rPr>
                <w:noProof/>
                <w:webHidden/>
                <w:lang w:val="en-GB"/>
              </w:rPr>
            </w:r>
            <w:r w:rsidR="00136B17" w:rsidRPr="00136B17">
              <w:rPr>
                <w:noProof/>
                <w:webHidden/>
                <w:lang w:val="en-GB"/>
              </w:rPr>
              <w:fldChar w:fldCharType="separate"/>
            </w:r>
            <w:r w:rsidR="00136B17" w:rsidRPr="00136B17">
              <w:rPr>
                <w:noProof/>
                <w:webHidden/>
                <w:lang w:val="en-GB"/>
              </w:rPr>
              <w:t>8</w:t>
            </w:r>
            <w:r w:rsidR="00136B17" w:rsidRPr="00136B17">
              <w:rPr>
                <w:noProof/>
                <w:webHidden/>
                <w:lang w:val="en-GB"/>
              </w:rPr>
              <w:fldChar w:fldCharType="end"/>
            </w:r>
          </w:hyperlink>
        </w:p>
        <w:p w14:paraId="379ABE47" w14:textId="16C3F8E1" w:rsidR="00136B17" w:rsidRPr="00136B17" w:rsidRDefault="00000000">
          <w:pPr>
            <w:pStyle w:val="TOC1"/>
            <w:tabs>
              <w:tab w:val="right" w:leader="dot" w:pos="9350"/>
            </w:tabs>
            <w:rPr>
              <w:noProof/>
              <w:lang w:val="en-GB"/>
            </w:rPr>
          </w:pPr>
          <w:hyperlink w:anchor="_Toc126957302" w:history="1">
            <w:r w:rsidR="00136B17" w:rsidRPr="00136B17">
              <w:rPr>
                <w:rStyle w:val="Hyperlink"/>
                <w:noProof/>
                <w:lang w:val="en-GB"/>
              </w:rPr>
              <w:t>References</w:t>
            </w:r>
            <w:r w:rsidR="00136B17" w:rsidRPr="00136B17">
              <w:rPr>
                <w:noProof/>
                <w:webHidden/>
                <w:lang w:val="en-GB"/>
              </w:rPr>
              <w:tab/>
            </w:r>
            <w:r w:rsidR="00136B17" w:rsidRPr="00136B17">
              <w:rPr>
                <w:noProof/>
                <w:webHidden/>
                <w:lang w:val="en-GB"/>
              </w:rPr>
              <w:fldChar w:fldCharType="begin"/>
            </w:r>
            <w:r w:rsidR="00136B17" w:rsidRPr="00136B17">
              <w:rPr>
                <w:noProof/>
                <w:webHidden/>
                <w:lang w:val="en-GB"/>
              </w:rPr>
              <w:instrText xml:space="preserve"> PAGEREF _Toc126957302 \h </w:instrText>
            </w:r>
            <w:r w:rsidR="00136B17" w:rsidRPr="00136B17">
              <w:rPr>
                <w:noProof/>
                <w:webHidden/>
                <w:lang w:val="en-GB"/>
              </w:rPr>
            </w:r>
            <w:r w:rsidR="00136B17" w:rsidRPr="00136B17">
              <w:rPr>
                <w:noProof/>
                <w:webHidden/>
                <w:lang w:val="en-GB"/>
              </w:rPr>
              <w:fldChar w:fldCharType="separate"/>
            </w:r>
            <w:r w:rsidR="00136B17" w:rsidRPr="00136B17">
              <w:rPr>
                <w:noProof/>
                <w:webHidden/>
                <w:lang w:val="en-GB"/>
              </w:rPr>
              <w:t>9</w:t>
            </w:r>
            <w:r w:rsidR="00136B17" w:rsidRPr="00136B17">
              <w:rPr>
                <w:noProof/>
                <w:webHidden/>
                <w:lang w:val="en-GB"/>
              </w:rPr>
              <w:fldChar w:fldCharType="end"/>
            </w:r>
          </w:hyperlink>
        </w:p>
        <w:p w14:paraId="0A21D04E" w14:textId="772F9F89" w:rsidR="00136B17" w:rsidRPr="00136B17" w:rsidRDefault="00136B17">
          <w:pPr>
            <w:rPr>
              <w:lang w:val="en-GB"/>
            </w:rPr>
          </w:pPr>
          <w:r w:rsidRPr="00136B17">
            <w:rPr>
              <w:b/>
              <w:bCs/>
              <w:noProof/>
              <w:lang w:val="en-GB"/>
            </w:rPr>
            <w:fldChar w:fldCharType="end"/>
          </w:r>
        </w:p>
      </w:sdtContent>
    </w:sdt>
    <w:p w14:paraId="751C646F" w14:textId="77777777" w:rsidR="00136B17" w:rsidRPr="00136B17" w:rsidRDefault="00136B17">
      <w:pPr>
        <w:rPr>
          <w:b/>
          <w:sz w:val="32"/>
          <w:szCs w:val="32"/>
          <w:lang w:val="en-GB"/>
        </w:rPr>
      </w:pPr>
      <w:r w:rsidRPr="00136B17">
        <w:rPr>
          <w:lang w:val="en-GB"/>
        </w:rPr>
        <w:br w:type="page"/>
      </w:r>
    </w:p>
    <w:p w14:paraId="0000000F" w14:textId="05BB14DF" w:rsidR="0077420F" w:rsidRPr="00136B17" w:rsidRDefault="002B62D3">
      <w:pPr>
        <w:pStyle w:val="Heading1"/>
        <w:rPr>
          <w:lang w:val="en-GB"/>
        </w:rPr>
      </w:pPr>
      <w:bookmarkStart w:id="1" w:name="_Toc126957299"/>
      <w:r w:rsidRPr="00136B17">
        <w:rPr>
          <w:lang w:val="en-GB"/>
        </w:rPr>
        <w:lastRenderedPageBreak/>
        <w:t>Introduction</w:t>
      </w:r>
      <w:bookmarkEnd w:id="1"/>
    </w:p>
    <w:p w14:paraId="00000010" w14:textId="77777777" w:rsidR="0077420F" w:rsidRPr="00136B17" w:rsidRDefault="002B62D3">
      <w:pPr>
        <w:rPr>
          <w:lang w:val="en-GB"/>
        </w:rPr>
      </w:pPr>
      <w:r w:rsidRPr="00136B17">
        <w:rPr>
          <w:lang w:val="en-GB"/>
        </w:rPr>
        <w:t>The human resource (HR) department in a large hotel plays a crucial role in engaging employees throughout the employee lifecycle within the company. To engage employees effectively, the HR department must employ several strategies and practices, including onboarding, retention, development, attraction and recruitment (</w:t>
      </w:r>
      <w:r w:rsidRPr="00136B17">
        <w:rPr>
          <w:color w:val="222222"/>
          <w:lang w:val="en-GB"/>
        </w:rPr>
        <w:t>Armstrong and Taylor, 2020)</w:t>
      </w:r>
      <w:r w:rsidRPr="00136B17">
        <w:rPr>
          <w:lang w:val="en-GB"/>
        </w:rPr>
        <w:t>. Employee engagement is a critical factor in determining the success of an organisation. It refers to the level of enthusiasm and commitment employees have towards their work and the organisation they work for. An engaged workforce is essential for driving productivity, reducing turnover, and improving customer satisfaction (</w:t>
      </w:r>
      <w:r w:rsidRPr="00136B17">
        <w:rPr>
          <w:color w:val="222222"/>
          <w:lang w:val="en-GB"/>
        </w:rPr>
        <w:t xml:space="preserve">Torrington </w:t>
      </w:r>
      <w:r w:rsidRPr="00136B17">
        <w:rPr>
          <w:i/>
          <w:color w:val="222222"/>
          <w:lang w:val="en-GB"/>
        </w:rPr>
        <w:t xml:space="preserve">et al., </w:t>
      </w:r>
      <w:r w:rsidRPr="00136B17">
        <w:rPr>
          <w:color w:val="222222"/>
          <w:lang w:val="en-GB"/>
        </w:rPr>
        <w:t>2020)</w:t>
      </w:r>
      <w:r w:rsidRPr="00136B17">
        <w:rPr>
          <w:lang w:val="en-GB"/>
        </w:rPr>
        <w:t>. This essay will discuss an employee engagement model and outline the steps organisations can take to engage and retain employees throughout the employee lifecycle. By focusing on both motivators and hygiene factors, and by involving employees in the process, organisations can create a work environment that supports employee engagement and fosters a sense of commitment and motivation among employees.</w:t>
      </w:r>
    </w:p>
    <w:p w14:paraId="00000011" w14:textId="77777777" w:rsidR="0077420F" w:rsidRPr="00136B17" w:rsidRDefault="002B62D3">
      <w:pPr>
        <w:pStyle w:val="Heading1"/>
        <w:rPr>
          <w:lang w:val="en-GB"/>
        </w:rPr>
      </w:pPr>
      <w:bookmarkStart w:id="2" w:name="_k86nzvcs0jqu" w:colFirst="0" w:colLast="0"/>
      <w:bookmarkStart w:id="3" w:name="_Toc126957300"/>
      <w:bookmarkEnd w:id="2"/>
      <w:r w:rsidRPr="00136B17">
        <w:rPr>
          <w:lang w:val="en-GB"/>
        </w:rPr>
        <w:t>Discussion</w:t>
      </w:r>
      <w:bookmarkEnd w:id="3"/>
    </w:p>
    <w:p w14:paraId="00000012" w14:textId="77777777" w:rsidR="0077420F" w:rsidRPr="00136B17" w:rsidRDefault="002B62D3">
      <w:pPr>
        <w:rPr>
          <w:lang w:val="en-GB"/>
        </w:rPr>
      </w:pPr>
      <w:r w:rsidRPr="00136B17">
        <w:rPr>
          <w:lang w:val="en-GB"/>
        </w:rPr>
        <w:t>A comprehensive onboarding program helps new hires to feel welcomed and supported as they transition into their new roles. The HR department should provide new employees with an orientation program that includes an introduction to the company's culture, values, policies, and procedures, as well as training on the hotel's products, services, and customer service expectations. Providing new employees with a clear understanding of their roles, responsibilities, and how they fit into the larger organisation is crucial to engaging employees from the start (</w:t>
      </w:r>
      <w:r w:rsidRPr="00136B17">
        <w:rPr>
          <w:color w:val="222222"/>
          <w:lang w:val="en-GB"/>
        </w:rPr>
        <w:t>Gallagher, 2016)</w:t>
      </w:r>
      <w:r w:rsidRPr="00136B17">
        <w:rPr>
          <w:lang w:val="en-GB"/>
        </w:rPr>
        <w:t xml:space="preserve">. The Ritz London is known for its comprehensive onboarding program that helps new hires feel welcome and supported from day one. The program includes a thorough orientation, an introduction to the hotel's culture, values, and policies, as well as training on the hotel's products, services, and customer service expectations (Boon </w:t>
      </w:r>
      <w:r w:rsidRPr="00136B17">
        <w:rPr>
          <w:i/>
          <w:lang w:val="en-GB"/>
        </w:rPr>
        <w:t xml:space="preserve">et al., </w:t>
      </w:r>
      <w:r w:rsidRPr="00136B17">
        <w:rPr>
          <w:lang w:val="en-GB"/>
        </w:rPr>
        <w:t>2019).</w:t>
      </w:r>
    </w:p>
    <w:p w14:paraId="00000013" w14:textId="77777777" w:rsidR="0077420F" w:rsidRPr="00136B17" w:rsidRDefault="002B62D3">
      <w:pPr>
        <w:rPr>
          <w:lang w:val="en-GB"/>
        </w:rPr>
      </w:pPr>
      <w:r w:rsidRPr="00136B17">
        <w:rPr>
          <w:lang w:val="en-GB"/>
        </w:rPr>
        <w:t xml:space="preserve">The first step in engaging employees is attracting the right people to the organisation. The HR department must ensure that job descriptions, recruitment processes, and onboarding programs are designed to attract candidates who are a good fit for the hotel's culture and </w:t>
      </w:r>
      <w:r w:rsidRPr="00136B17">
        <w:rPr>
          <w:lang w:val="en-GB"/>
        </w:rPr>
        <w:lastRenderedPageBreak/>
        <w:t>values. This can help to increase employee satisfaction and engagement from the start (</w:t>
      </w:r>
      <w:r w:rsidRPr="00136B17">
        <w:rPr>
          <w:color w:val="222222"/>
          <w:lang w:val="en-GB"/>
        </w:rPr>
        <w:t>Armstrong and Taylor, 2020)</w:t>
      </w:r>
      <w:r w:rsidRPr="00136B17">
        <w:rPr>
          <w:lang w:val="en-GB"/>
        </w:rPr>
        <w:t>. Providing opportunities for employees to develop their skills and advance their careers can help to increase engagement and motivation (</w:t>
      </w:r>
      <w:r w:rsidRPr="00136B17">
        <w:rPr>
          <w:color w:val="222222"/>
          <w:lang w:val="en-GB"/>
        </w:rPr>
        <w:t xml:space="preserve">Torrington </w:t>
      </w:r>
      <w:r w:rsidRPr="00136B17">
        <w:rPr>
          <w:i/>
          <w:color w:val="222222"/>
          <w:lang w:val="en-GB"/>
        </w:rPr>
        <w:t xml:space="preserve">et al., </w:t>
      </w:r>
      <w:r w:rsidRPr="00136B17">
        <w:rPr>
          <w:color w:val="222222"/>
          <w:lang w:val="en-GB"/>
        </w:rPr>
        <w:t>2020)</w:t>
      </w:r>
      <w:r w:rsidRPr="00136B17">
        <w:rPr>
          <w:lang w:val="en-GB"/>
        </w:rPr>
        <w:t>. The HR department must work with managers to identify employee development needs and provide appropriate training and support (</w:t>
      </w:r>
      <w:r w:rsidRPr="00136B17">
        <w:rPr>
          <w:color w:val="222222"/>
          <w:lang w:val="en-GB"/>
        </w:rPr>
        <w:t xml:space="preserve">Macke and </w:t>
      </w:r>
      <w:proofErr w:type="spellStart"/>
      <w:r w:rsidRPr="00136B17">
        <w:rPr>
          <w:color w:val="222222"/>
          <w:lang w:val="en-GB"/>
        </w:rPr>
        <w:t>Genari</w:t>
      </w:r>
      <w:proofErr w:type="spellEnd"/>
      <w:r w:rsidRPr="00136B17">
        <w:rPr>
          <w:color w:val="222222"/>
          <w:lang w:val="en-GB"/>
        </w:rPr>
        <w:t>, 2019)</w:t>
      </w:r>
      <w:r w:rsidRPr="00136B17">
        <w:rPr>
          <w:lang w:val="en-GB"/>
        </w:rPr>
        <w:t>. Regular performance feedback and recognition can help employees to feel valued and motivated. The HR department must ensure that performance management processes are transparent, fair, and supportive (</w:t>
      </w:r>
      <w:r w:rsidRPr="00136B17">
        <w:rPr>
          <w:color w:val="222222"/>
          <w:lang w:val="en-GB"/>
        </w:rPr>
        <w:t>Armstrong and Taylor, 2020)</w:t>
      </w:r>
      <w:r w:rsidRPr="00136B17">
        <w:rPr>
          <w:lang w:val="en-GB"/>
        </w:rPr>
        <w:t>.</w:t>
      </w:r>
    </w:p>
    <w:p w14:paraId="00000014" w14:textId="77777777" w:rsidR="0077420F" w:rsidRPr="00136B17" w:rsidRDefault="002B62D3">
      <w:pPr>
        <w:rPr>
          <w:lang w:val="en-GB"/>
        </w:rPr>
      </w:pPr>
      <w:r w:rsidRPr="00136B17">
        <w:rPr>
          <w:lang w:val="en-GB"/>
        </w:rPr>
        <w:t>The HR department should establish open lines of communication with employees to ensure they feel valued and heard. Regular one-on-one meetings, employee surveys, and suggestion boxes are all ways to encourage employees to share their thoughts and ideas (</w:t>
      </w:r>
      <w:proofErr w:type="spellStart"/>
      <w:r w:rsidRPr="00136B17">
        <w:rPr>
          <w:color w:val="222222"/>
          <w:lang w:val="en-GB"/>
        </w:rPr>
        <w:t>Chyhryn</w:t>
      </w:r>
      <w:proofErr w:type="spellEnd"/>
      <w:r w:rsidRPr="00136B17">
        <w:rPr>
          <w:color w:val="222222"/>
          <w:lang w:val="en-GB"/>
        </w:rPr>
        <w:t xml:space="preserve"> </w:t>
      </w:r>
      <w:r w:rsidRPr="00136B17">
        <w:rPr>
          <w:i/>
          <w:color w:val="222222"/>
          <w:lang w:val="en-GB"/>
        </w:rPr>
        <w:t xml:space="preserve">et al., </w:t>
      </w:r>
      <w:r w:rsidRPr="00136B17">
        <w:rPr>
          <w:color w:val="222222"/>
          <w:lang w:val="en-GB"/>
        </w:rPr>
        <w:t>2019)</w:t>
      </w:r>
      <w:r w:rsidRPr="00136B17">
        <w:rPr>
          <w:lang w:val="en-GB"/>
        </w:rPr>
        <w:t>. Additionally, the HR department should ensure that employees are kept informed about company news and updates through regular newsletters, employee events, and all-hands meetings (</w:t>
      </w:r>
      <w:r w:rsidRPr="00136B17">
        <w:rPr>
          <w:color w:val="222222"/>
          <w:lang w:val="en-GB"/>
        </w:rPr>
        <w:t xml:space="preserve">Torrington </w:t>
      </w:r>
      <w:r w:rsidRPr="00136B17">
        <w:rPr>
          <w:i/>
          <w:color w:val="222222"/>
          <w:lang w:val="en-GB"/>
        </w:rPr>
        <w:t xml:space="preserve">et al., </w:t>
      </w:r>
      <w:r w:rsidRPr="00136B17">
        <w:rPr>
          <w:color w:val="222222"/>
          <w:lang w:val="en-GB"/>
        </w:rPr>
        <w:t>2020)</w:t>
      </w:r>
      <w:r w:rsidRPr="00136B17">
        <w:rPr>
          <w:lang w:val="en-GB"/>
        </w:rPr>
        <w:t>. Premier Inn, a UK-based hotel chain, has an open-door policy where employees are encouraged to share their thoughts and ideas with their managers (</w:t>
      </w:r>
      <w:r w:rsidRPr="00136B17">
        <w:rPr>
          <w:color w:val="222222"/>
          <w:lang w:val="en-GB"/>
        </w:rPr>
        <w:t>Anwar and Abdullah, 2021)</w:t>
      </w:r>
      <w:r w:rsidRPr="00136B17">
        <w:rPr>
          <w:lang w:val="en-GB"/>
        </w:rPr>
        <w:t>. The company also conducts regular employee surveys to gather feedback and ensures that employees are kept informed about company news and updates through regular newsletters and all-hands meetings (</w:t>
      </w:r>
      <w:r w:rsidRPr="00136B17">
        <w:rPr>
          <w:color w:val="222222"/>
          <w:lang w:val="en-GB"/>
        </w:rPr>
        <w:t>Armstrong and Taylor, 2020)</w:t>
      </w:r>
      <w:r w:rsidRPr="00136B17">
        <w:rPr>
          <w:lang w:val="en-GB"/>
        </w:rPr>
        <w:t>.</w:t>
      </w:r>
    </w:p>
    <w:p w14:paraId="00000015" w14:textId="77777777" w:rsidR="0077420F" w:rsidRPr="00136B17" w:rsidRDefault="002B62D3">
      <w:pPr>
        <w:rPr>
          <w:lang w:val="en-GB"/>
        </w:rPr>
      </w:pPr>
      <w:r w:rsidRPr="00136B17">
        <w:rPr>
          <w:lang w:val="en-GB"/>
        </w:rPr>
        <w:t xml:space="preserve">A recognition and rewards program </w:t>
      </w:r>
      <w:proofErr w:type="gramStart"/>
      <w:r w:rsidRPr="00136B17">
        <w:rPr>
          <w:lang w:val="en-GB"/>
        </w:rPr>
        <w:t>is</w:t>
      </w:r>
      <w:proofErr w:type="gramEnd"/>
      <w:r w:rsidRPr="00136B17">
        <w:rPr>
          <w:lang w:val="en-GB"/>
        </w:rPr>
        <w:t xml:space="preserve"> an effective way to engage employees and show them that their efforts are appreciated (</w:t>
      </w:r>
      <w:r w:rsidRPr="00136B17">
        <w:rPr>
          <w:color w:val="222222"/>
          <w:lang w:val="en-GB"/>
        </w:rPr>
        <w:t>Armstrong and Taylor, 2020)</w:t>
      </w:r>
      <w:r w:rsidRPr="00136B17">
        <w:rPr>
          <w:lang w:val="en-GB"/>
        </w:rPr>
        <w:t>. The HR department should develop a recognition program that acknowledges employees' contributions and achievements, such as employee of the month or a service award program (</w:t>
      </w:r>
      <w:r w:rsidRPr="00136B17">
        <w:rPr>
          <w:color w:val="222222"/>
          <w:lang w:val="en-GB"/>
        </w:rPr>
        <w:t xml:space="preserve">Torrington </w:t>
      </w:r>
      <w:r w:rsidRPr="00136B17">
        <w:rPr>
          <w:i/>
          <w:color w:val="222222"/>
          <w:lang w:val="en-GB"/>
        </w:rPr>
        <w:t xml:space="preserve">et al., </w:t>
      </w:r>
      <w:r w:rsidRPr="00136B17">
        <w:rPr>
          <w:color w:val="222222"/>
          <w:lang w:val="en-GB"/>
        </w:rPr>
        <w:t>2020)</w:t>
      </w:r>
      <w:r w:rsidRPr="00136B17">
        <w:rPr>
          <w:lang w:val="en-GB"/>
        </w:rPr>
        <w:t>. Rewarding employees for their hard work and achievements can help to increase employee engagement and morale (</w:t>
      </w:r>
      <w:proofErr w:type="spellStart"/>
      <w:r w:rsidRPr="00136B17">
        <w:rPr>
          <w:color w:val="222222"/>
          <w:lang w:val="en-GB"/>
        </w:rPr>
        <w:t>Strohmeier</w:t>
      </w:r>
      <w:proofErr w:type="spellEnd"/>
      <w:r w:rsidRPr="00136B17">
        <w:rPr>
          <w:color w:val="222222"/>
          <w:lang w:val="en-GB"/>
        </w:rPr>
        <w:t>, 2020)</w:t>
      </w:r>
      <w:r w:rsidRPr="00136B17">
        <w:rPr>
          <w:lang w:val="en-GB"/>
        </w:rPr>
        <w:t>. InterContinental London Park Lane provides its employees with opportunities for growth and development through a range of professional development programs and workshops. The hotel also offers a mentor program that pairs experienced employees with newer hires to help them learn the ropes and achieve their career goals (</w:t>
      </w:r>
      <w:r w:rsidRPr="00136B17">
        <w:rPr>
          <w:color w:val="222222"/>
          <w:lang w:val="en-GB"/>
        </w:rPr>
        <w:t>Armstrong and Taylor, 2020)</w:t>
      </w:r>
      <w:r w:rsidRPr="00136B17">
        <w:rPr>
          <w:lang w:val="en-GB"/>
        </w:rPr>
        <w:t xml:space="preserve">. Hilton UK and Ireland, a subsidiary of Hilton Worldwide, has a recognition and rewards program that </w:t>
      </w:r>
      <w:r w:rsidRPr="00136B17">
        <w:rPr>
          <w:lang w:val="en-GB"/>
        </w:rPr>
        <w:lastRenderedPageBreak/>
        <w:t>acknowledges employees' contributions and achievements (</w:t>
      </w:r>
      <w:r w:rsidRPr="00136B17">
        <w:rPr>
          <w:color w:val="222222"/>
          <w:lang w:val="en-GB"/>
        </w:rPr>
        <w:t xml:space="preserve">Fenech </w:t>
      </w:r>
      <w:r w:rsidRPr="00136B17">
        <w:rPr>
          <w:i/>
          <w:color w:val="222222"/>
          <w:lang w:val="en-GB"/>
        </w:rPr>
        <w:t xml:space="preserve">et al., </w:t>
      </w:r>
      <w:r w:rsidRPr="00136B17">
        <w:rPr>
          <w:color w:val="222222"/>
          <w:lang w:val="en-GB"/>
        </w:rPr>
        <w:t>2019)</w:t>
      </w:r>
      <w:r w:rsidRPr="00136B17">
        <w:rPr>
          <w:lang w:val="en-GB"/>
        </w:rPr>
        <w:t>. The program includes an employee of the month award and a service award program that rewards employees for their dedication and commitment to the hotel (</w:t>
      </w:r>
      <w:r w:rsidRPr="00136B17">
        <w:rPr>
          <w:color w:val="222222"/>
          <w:lang w:val="en-GB"/>
        </w:rPr>
        <w:t>Armstrong and Taylor, 2020)</w:t>
      </w:r>
      <w:r w:rsidRPr="00136B17">
        <w:rPr>
          <w:lang w:val="en-GB"/>
        </w:rPr>
        <w:t>.</w:t>
      </w:r>
    </w:p>
    <w:p w14:paraId="00000016" w14:textId="77777777" w:rsidR="0077420F" w:rsidRPr="00136B17" w:rsidRDefault="002B62D3">
      <w:pPr>
        <w:rPr>
          <w:lang w:val="en-GB"/>
        </w:rPr>
      </w:pPr>
      <w:r w:rsidRPr="00136B17">
        <w:rPr>
          <w:lang w:val="en-GB"/>
        </w:rPr>
        <w:t>A healthy and engaged workforce is crucial to the success of any hotel. The HR department should promote employee wellness by offering resources such as employee assistance programs, stress management workshops, and health and wellness initiatives (</w:t>
      </w:r>
      <w:proofErr w:type="spellStart"/>
      <w:r w:rsidRPr="00136B17">
        <w:rPr>
          <w:color w:val="222222"/>
          <w:lang w:val="en-GB"/>
        </w:rPr>
        <w:t>Zeebaree</w:t>
      </w:r>
      <w:proofErr w:type="spellEnd"/>
      <w:r w:rsidRPr="00136B17">
        <w:rPr>
          <w:color w:val="222222"/>
          <w:lang w:val="en-GB"/>
        </w:rPr>
        <w:t xml:space="preserve"> </w:t>
      </w:r>
      <w:r w:rsidRPr="00136B17">
        <w:rPr>
          <w:i/>
          <w:color w:val="222222"/>
          <w:lang w:val="en-GB"/>
        </w:rPr>
        <w:t xml:space="preserve">et al., </w:t>
      </w:r>
      <w:r w:rsidRPr="00136B17">
        <w:rPr>
          <w:color w:val="222222"/>
          <w:lang w:val="en-GB"/>
        </w:rPr>
        <w:t>2019)</w:t>
      </w:r>
      <w:r w:rsidRPr="00136B17">
        <w:rPr>
          <w:lang w:val="en-GB"/>
        </w:rPr>
        <w:t>. Providing employees with resources to help manage their health and well-being not only engages employees but also helps to improve overall productivity and reduce absenteeism (</w:t>
      </w:r>
      <w:r w:rsidRPr="00136B17">
        <w:rPr>
          <w:color w:val="222222"/>
          <w:lang w:val="en-GB"/>
        </w:rPr>
        <w:t xml:space="preserve">Torrington </w:t>
      </w:r>
      <w:r w:rsidRPr="00136B17">
        <w:rPr>
          <w:i/>
          <w:color w:val="222222"/>
          <w:lang w:val="en-GB"/>
        </w:rPr>
        <w:t xml:space="preserve">et al., </w:t>
      </w:r>
      <w:r w:rsidRPr="00136B17">
        <w:rPr>
          <w:color w:val="222222"/>
          <w:lang w:val="en-GB"/>
        </w:rPr>
        <w:t>2020)</w:t>
      </w:r>
      <w:r w:rsidRPr="00136B17">
        <w:rPr>
          <w:lang w:val="en-GB"/>
        </w:rPr>
        <w:t>. The Four Seasons Hotel London at Park Lane places a strong emphasis on employee wellness and offers resources such as employee assistance programs, stress management workshops, and health and wellness initiatives (</w:t>
      </w:r>
      <w:proofErr w:type="spellStart"/>
      <w:r w:rsidRPr="00136B17">
        <w:rPr>
          <w:color w:val="222222"/>
          <w:lang w:val="en-GB"/>
        </w:rPr>
        <w:t>Ahammad</w:t>
      </w:r>
      <w:proofErr w:type="spellEnd"/>
      <w:r w:rsidRPr="00136B17">
        <w:rPr>
          <w:color w:val="222222"/>
          <w:lang w:val="en-GB"/>
        </w:rPr>
        <w:t xml:space="preserve"> </w:t>
      </w:r>
      <w:r w:rsidRPr="00136B17">
        <w:rPr>
          <w:i/>
          <w:color w:val="222222"/>
          <w:lang w:val="en-GB"/>
        </w:rPr>
        <w:t xml:space="preserve">et al., </w:t>
      </w:r>
      <w:r w:rsidRPr="00136B17">
        <w:rPr>
          <w:color w:val="222222"/>
          <w:lang w:val="en-GB"/>
        </w:rPr>
        <w:t>2020)</w:t>
      </w:r>
      <w:r w:rsidRPr="00136B17">
        <w:rPr>
          <w:lang w:val="en-GB"/>
        </w:rPr>
        <w:t>. The hotel also has an on-site gym and provides employees with healthy food options in the staff canteen.</w:t>
      </w:r>
    </w:p>
    <w:p w14:paraId="00000017" w14:textId="77777777" w:rsidR="0077420F" w:rsidRPr="00136B17" w:rsidRDefault="002B62D3">
      <w:pPr>
        <w:rPr>
          <w:lang w:val="en-GB"/>
        </w:rPr>
      </w:pPr>
      <w:r w:rsidRPr="00136B17">
        <w:rPr>
          <w:lang w:val="en-GB"/>
        </w:rPr>
        <w:t>Engaging a team is crucial for organisations that want to foster a positive work environment and improve the overall performance and productivity of their employees (</w:t>
      </w:r>
      <w:r w:rsidRPr="00136B17">
        <w:rPr>
          <w:color w:val="222222"/>
          <w:lang w:val="en-GB"/>
        </w:rPr>
        <w:t>Armstrong and Taylor, 2020)</w:t>
      </w:r>
      <w:r w:rsidRPr="00136B17">
        <w:rPr>
          <w:lang w:val="en-GB"/>
        </w:rPr>
        <w:t>. Engagement refers to the level of involvement and commitment that employees have to their work and their organisation (</w:t>
      </w:r>
      <w:r w:rsidRPr="00136B17">
        <w:rPr>
          <w:color w:val="222222"/>
          <w:lang w:val="en-GB"/>
        </w:rPr>
        <w:t>Stewart and Brown, 2019)</w:t>
      </w:r>
      <w:r w:rsidRPr="00136B17">
        <w:rPr>
          <w:lang w:val="en-GB"/>
        </w:rPr>
        <w:t>. Engaging a team requires a combination of strategies and practices that create a supportive and motivating work environment (</w:t>
      </w:r>
      <w:r w:rsidRPr="00136B17">
        <w:rPr>
          <w:color w:val="222222"/>
          <w:lang w:val="en-GB"/>
        </w:rPr>
        <w:t>Armstrong and Taylor, 2020)</w:t>
      </w:r>
      <w:r w:rsidRPr="00136B17">
        <w:rPr>
          <w:lang w:val="en-GB"/>
        </w:rPr>
        <w:t>.</w:t>
      </w:r>
    </w:p>
    <w:p w14:paraId="00000018" w14:textId="77777777" w:rsidR="0077420F" w:rsidRPr="00136B17" w:rsidRDefault="002B62D3">
      <w:pPr>
        <w:rPr>
          <w:lang w:val="en-GB"/>
        </w:rPr>
      </w:pPr>
      <w:r w:rsidRPr="00136B17">
        <w:rPr>
          <w:lang w:val="en-GB"/>
        </w:rPr>
        <w:t>One of the key strategies for engaging a team is to provide clear direction and purpose. This involves communicating the organisation's mission, goals, and values to employees, and ensuring that employees understand their role in achieving these objectives (</w:t>
      </w:r>
      <w:r w:rsidRPr="00136B17">
        <w:rPr>
          <w:color w:val="222222"/>
          <w:lang w:val="en-GB"/>
        </w:rPr>
        <w:t xml:space="preserve">Bratton </w:t>
      </w:r>
      <w:r w:rsidRPr="00136B17">
        <w:rPr>
          <w:i/>
          <w:color w:val="222222"/>
          <w:lang w:val="en-GB"/>
        </w:rPr>
        <w:t xml:space="preserve">et al., </w:t>
      </w:r>
      <w:r w:rsidRPr="00136B17">
        <w:rPr>
          <w:color w:val="222222"/>
          <w:lang w:val="en-GB"/>
        </w:rPr>
        <w:t>2021)</w:t>
      </w:r>
      <w:r w:rsidRPr="00136B17">
        <w:rPr>
          <w:lang w:val="en-GB"/>
        </w:rPr>
        <w:t>. When employees understand the bigger picture and their place in it, they are more likely to feel motivated and committed to their work (</w:t>
      </w:r>
      <w:r w:rsidRPr="00136B17">
        <w:rPr>
          <w:color w:val="222222"/>
          <w:lang w:val="en-GB"/>
        </w:rPr>
        <w:t>Armstrong and Taylor, 2020)</w:t>
      </w:r>
      <w:r w:rsidRPr="00136B17">
        <w:rPr>
          <w:lang w:val="en-GB"/>
        </w:rPr>
        <w:t>.</w:t>
      </w:r>
    </w:p>
    <w:p w14:paraId="00000019" w14:textId="77777777" w:rsidR="0077420F" w:rsidRPr="00136B17" w:rsidRDefault="002B62D3">
      <w:pPr>
        <w:rPr>
          <w:lang w:val="en-GB"/>
        </w:rPr>
      </w:pPr>
      <w:r w:rsidRPr="00136B17">
        <w:rPr>
          <w:lang w:val="en-GB"/>
        </w:rPr>
        <w:t>Another important strategy for engaging a team is to provide opportunities for growth and development (</w:t>
      </w:r>
      <w:r w:rsidRPr="00136B17">
        <w:rPr>
          <w:color w:val="222222"/>
          <w:lang w:val="en-GB"/>
        </w:rPr>
        <w:t>Collins, 2021)</w:t>
      </w:r>
      <w:r w:rsidRPr="00136B17">
        <w:rPr>
          <w:lang w:val="en-GB"/>
        </w:rPr>
        <w:t>. This involves offering training and development programs, mentorship opportunities, and regular feedback to employees. By investing in their development, organisations can help employees improve their skills and increase their job satisfaction (</w:t>
      </w:r>
      <w:r w:rsidRPr="00136B17">
        <w:rPr>
          <w:color w:val="222222"/>
          <w:lang w:val="en-GB"/>
        </w:rPr>
        <w:t xml:space="preserve">Torrington </w:t>
      </w:r>
      <w:r w:rsidRPr="00136B17">
        <w:rPr>
          <w:i/>
          <w:color w:val="222222"/>
          <w:lang w:val="en-GB"/>
        </w:rPr>
        <w:t xml:space="preserve">et al., </w:t>
      </w:r>
      <w:r w:rsidRPr="00136B17">
        <w:rPr>
          <w:color w:val="222222"/>
          <w:lang w:val="en-GB"/>
        </w:rPr>
        <w:t>2020)</w:t>
      </w:r>
      <w:r w:rsidRPr="00136B17">
        <w:rPr>
          <w:lang w:val="en-GB"/>
        </w:rPr>
        <w:t xml:space="preserve">. Additionally, organisations that offer growth and </w:t>
      </w:r>
      <w:r w:rsidRPr="00136B17">
        <w:rPr>
          <w:lang w:val="en-GB"/>
        </w:rPr>
        <w:lastRenderedPageBreak/>
        <w:t>development opportunities are more likely to retain their employees, reducing turnover and related costs (</w:t>
      </w:r>
      <w:r w:rsidRPr="00136B17">
        <w:rPr>
          <w:color w:val="222222"/>
          <w:lang w:val="en-GB"/>
        </w:rPr>
        <w:t>Armstrong and Taylor, 2020)</w:t>
      </w:r>
      <w:r w:rsidRPr="00136B17">
        <w:rPr>
          <w:lang w:val="en-GB"/>
        </w:rPr>
        <w:t>.</w:t>
      </w:r>
    </w:p>
    <w:p w14:paraId="0000001A" w14:textId="6AC5B82D" w:rsidR="0077420F" w:rsidRPr="00136B17" w:rsidRDefault="002B62D3">
      <w:pPr>
        <w:rPr>
          <w:lang w:val="en-GB"/>
        </w:rPr>
      </w:pPr>
      <w:r w:rsidRPr="00136B17">
        <w:rPr>
          <w:lang w:val="en-GB"/>
        </w:rPr>
        <w:t xml:space="preserve">Recognition and rewards are also critical for engaging a team. This involves acknowledging and celebrating employees' contributions and </w:t>
      </w:r>
      <w:r w:rsidR="0059454B" w:rsidRPr="00136B17">
        <w:rPr>
          <w:lang w:val="en-GB"/>
        </w:rPr>
        <w:t>achievements and</w:t>
      </w:r>
      <w:r w:rsidRPr="00136B17">
        <w:rPr>
          <w:lang w:val="en-GB"/>
        </w:rPr>
        <w:t xml:space="preserve"> recognizing their hard work and dedication (</w:t>
      </w:r>
      <w:r w:rsidRPr="00136B17">
        <w:rPr>
          <w:color w:val="222222"/>
          <w:lang w:val="en-GB"/>
        </w:rPr>
        <w:t xml:space="preserve">Torrington </w:t>
      </w:r>
      <w:r w:rsidRPr="00136B17">
        <w:rPr>
          <w:i/>
          <w:color w:val="222222"/>
          <w:lang w:val="en-GB"/>
        </w:rPr>
        <w:t xml:space="preserve">et al., </w:t>
      </w:r>
      <w:r w:rsidRPr="00136B17">
        <w:rPr>
          <w:color w:val="222222"/>
          <w:lang w:val="en-GB"/>
        </w:rPr>
        <w:t>2020)</w:t>
      </w:r>
      <w:r w:rsidRPr="00136B17">
        <w:rPr>
          <w:lang w:val="en-GB"/>
        </w:rPr>
        <w:t>. When employees feel valued and appreciated for their contributions, they are more likely to be motivated and committed to their work (</w:t>
      </w:r>
      <w:r w:rsidRPr="00136B17">
        <w:rPr>
          <w:color w:val="222222"/>
          <w:lang w:val="en-GB"/>
        </w:rPr>
        <w:t>Armstrong and Taylor, 2020)</w:t>
      </w:r>
      <w:r w:rsidRPr="00136B17">
        <w:rPr>
          <w:lang w:val="en-GB"/>
        </w:rPr>
        <w:t>.</w:t>
      </w:r>
    </w:p>
    <w:p w14:paraId="0000001B" w14:textId="77777777" w:rsidR="0077420F" w:rsidRPr="00136B17" w:rsidRDefault="002B62D3">
      <w:pPr>
        <w:rPr>
          <w:lang w:val="en-GB"/>
        </w:rPr>
      </w:pPr>
      <w:r w:rsidRPr="00136B17">
        <w:rPr>
          <w:lang w:val="en-GB"/>
        </w:rPr>
        <w:t>Finally, promoting a positive work-life balance is essential for engaging a team. This involves creating a supportive and flexible work environment that allows employees to manage their work and personal lives in a way that is manageable and sustainable (</w:t>
      </w:r>
      <w:r w:rsidRPr="00136B17">
        <w:rPr>
          <w:color w:val="222222"/>
          <w:lang w:val="en-GB"/>
        </w:rPr>
        <w:t>Boxall and Purcell, 2022)</w:t>
      </w:r>
      <w:r w:rsidRPr="00136B17">
        <w:rPr>
          <w:lang w:val="en-GB"/>
        </w:rPr>
        <w:t>. When employees feel supported in balancing their work and personal lives, they are more likely to be satisfied with their job and more engaged in their work.</w:t>
      </w:r>
    </w:p>
    <w:p w14:paraId="0000001C" w14:textId="77777777" w:rsidR="0077420F" w:rsidRPr="00136B17" w:rsidRDefault="002B62D3">
      <w:pPr>
        <w:rPr>
          <w:lang w:val="en-GB"/>
        </w:rPr>
      </w:pPr>
      <w:r w:rsidRPr="00136B17">
        <w:rPr>
          <w:lang w:val="en-GB"/>
        </w:rPr>
        <w:t>There are many benefits of engaging a team, including improved employee satisfaction, increased productivity, reduced turnover, and higher levels of customer satisfaction. An engaged team is also more likely to be motivated and committed to their work, which leads to better results for the organisation (</w:t>
      </w:r>
      <w:proofErr w:type="spellStart"/>
      <w:r w:rsidRPr="00136B17">
        <w:rPr>
          <w:color w:val="222222"/>
          <w:lang w:val="en-GB"/>
        </w:rPr>
        <w:t>Mahapatro</w:t>
      </w:r>
      <w:proofErr w:type="spellEnd"/>
      <w:r w:rsidRPr="00136B17">
        <w:rPr>
          <w:color w:val="222222"/>
          <w:lang w:val="en-GB"/>
        </w:rPr>
        <w:t>, 2022)</w:t>
      </w:r>
      <w:r w:rsidRPr="00136B17">
        <w:rPr>
          <w:lang w:val="en-GB"/>
        </w:rPr>
        <w:t>. By implementing the strategies outlined above, organisations can create a positive and supportive work environment that engages employees and supports the success of the organisation (</w:t>
      </w:r>
      <w:r w:rsidRPr="00136B17">
        <w:rPr>
          <w:color w:val="222222"/>
          <w:lang w:val="en-GB"/>
        </w:rPr>
        <w:t xml:space="preserve">Torrington </w:t>
      </w:r>
      <w:r w:rsidRPr="00136B17">
        <w:rPr>
          <w:i/>
          <w:color w:val="222222"/>
          <w:lang w:val="en-GB"/>
        </w:rPr>
        <w:t xml:space="preserve">et al., </w:t>
      </w:r>
      <w:r w:rsidRPr="00136B17">
        <w:rPr>
          <w:color w:val="222222"/>
          <w:lang w:val="en-GB"/>
        </w:rPr>
        <w:t>2020)</w:t>
      </w:r>
      <w:r w:rsidRPr="00136B17">
        <w:rPr>
          <w:lang w:val="en-GB"/>
        </w:rPr>
        <w:t>. The advantages of engaging a team are numerous and include heightened worker satisfaction, increased efficiency, reduced staff turnover, and elevated customer satisfaction (</w:t>
      </w:r>
      <w:r w:rsidRPr="00136B17">
        <w:rPr>
          <w:color w:val="222222"/>
          <w:lang w:val="en-GB"/>
        </w:rPr>
        <w:t>Armstrong and Taylor, 2020)</w:t>
      </w:r>
      <w:r w:rsidRPr="00136B17">
        <w:rPr>
          <w:lang w:val="en-GB"/>
        </w:rPr>
        <w:t>. A team that is engaged is more likely to exhibit motivation and dedication to their tasks, resulting in better outcomes for the company (</w:t>
      </w:r>
      <w:r w:rsidRPr="00136B17">
        <w:rPr>
          <w:color w:val="222222"/>
          <w:lang w:val="en-GB"/>
        </w:rPr>
        <w:t xml:space="preserve">Pak </w:t>
      </w:r>
      <w:r w:rsidRPr="00136B17">
        <w:rPr>
          <w:i/>
          <w:color w:val="222222"/>
          <w:lang w:val="en-GB"/>
        </w:rPr>
        <w:t xml:space="preserve">et al., </w:t>
      </w:r>
      <w:r w:rsidRPr="00136B17">
        <w:rPr>
          <w:color w:val="222222"/>
          <w:lang w:val="en-GB"/>
        </w:rPr>
        <w:t>2019)</w:t>
      </w:r>
      <w:r w:rsidRPr="00136B17">
        <w:rPr>
          <w:lang w:val="en-GB"/>
        </w:rPr>
        <w:t>. By utilizing the methods mentioned above, organisations can establish a constructive and supportive work atmosphere that engages employees and contributes to the success of the organisation (</w:t>
      </w:r>
      <w:r w:rsidRPr="00136B17">
        <w:rPr>
          <w:color w:val="222222"/>
          <w:lang w:val="en-GB"/>
        </w:rPr>
        <w:t>Armstrong and Taylor, 2020)</w:t>
      </w:r>
      <w:r w:rsidRPr="00136B17">
        <w:rPr>
          <w:lang w:val="en-GB"/>
        </w:rPr>
        <w:t>.</w:t>
      </w:r>
    </w:p>
    <w:p w14:paraId="0000001D" w14:textId="7144C2D5" w:rsidR="0077420F" w:rsidRPr="00136B17" w:rsidRDefault="002B62D3">
      <w:pPr>
        <w:rPr>
          <w:lang w:val="en-GB"/>
        </w:rPr>
      </w:pPr>
      <w:r w:rsidRPr="00136B17">
        <w:rPr>
          <w:lang w:val="en-GB"/>
        </w:rPr>
        <w:t xml:space="preserve">I could have engaged my team by holding regular performance reviews to provide feedback on what employees are doing well and areas for improvement. I could also recognize employees for their hard work and accomplishments, either in one-on-one meetings or in team meetings. I would have fostered an open and transparent work environment where employees feel comfortable sharing their opinions and ideas. Hold regular team meetings to encourage open communication, and make sure everyone </w:t>
      </w:r>
      <w:proofErr w:type="gramStart"/>
      <w:r w:rsidRPr="00136B17">
        <w:rPr>
          <w:lang w:val="en-GB"/>
        </w:rPr>
        <w:t xml:space="preserve">has </w:t>
      </w:r>
      <w:r w:rsidRPr="00136B17">
        <w:rPr>
          <w:lang w:val="en-GB"/>
        </w:rPr>
        <w:lastRenderedPageBreak/>
        <w:t>the opportunity to</w:t>
      </w:r>
      <w:proofErr w:type="gramEnd"/>
      <w:r w:rsidRPr="00136B17">
        <w:rPr>
          <w:lang w:val="en-GB"/>
        </w:rPr>
        <w:t xml:space="preserve"> share their thoughts and ideas. I would have invested in the growth and development of my team by offering training, mentorship, and career advancement opportunities. I will also encourage employees to take advantage of these opportunities and support their career goals. I will offer flexible work arrangements, such as flexible hours or the option to work from home, to support employees' work-life balance. Fostering a positive work environment by promoting collaboration and </w:t>
      </w:r>
      <w:r w:rsidR="0059454B" w:rsidRPr="00136B17">
        <w:rPr>
          <w:lang w:val="en-GB"/>
        </w:rPr>
        <w:t>teamwork and</w:t>
      </w:r>
      <w:r w:rsidRPr="00136B17">
        <w:rPr>
          <w:lang w:val="en-GB"/>
        </w:rPr>
        <w:t xml:space="preserve"> encouraging employees to have fun can build a sense of community among team members. Clearly communicate the organisation's mission, goals, and values, and make sure employees understand their role in achieving these objectives. This will help employees feel motivated and committed to their work. By implementing these strategies, I can create a supportive and motivating work environment that engages my team and supports the success of my organisation.</w:t>
      </w:r>
    </w:p>
    <w:p w14:paraId="0000001E" w14:textId="77777777" w:rsidR="0077420F" w:rsidRPr="00136B17" w:rsidRDefault="002B62D3">
      <w:pPr>
        <w:rPr>
          <w:lang w:val="en-GB"/>
        </w:rPr>
      </w:pPr>
      <w:r w:rsidRPr="00136B17">
        <w:rPr>
          <w:lang w:val="en-GB"/>
        </w:rPr>
        <w:t>An employee engagement model is a framework that outlines the steps organisations can take to engage and retain employees (</w:t>
      </w:r>
      <w:r w:rsidRPr="00136B17">
        <w:rPr>
          <w:color w:val="222222"/>
          <w:lang w:val="en-GB"/>
        </w:rPr>
        <w:t>Armstrong and Taylor, 2020)</w:t>
      </w:r>
      <w:r w:rsidRPr="00136B17">
        <w:rPr>
          <w:lang w:val="en-GB"/>
        </w:rPr>
        <w:t>. One such model is the dual-factor theory, also known as the motivation-hygiene theory, which suggests that employee engagement is driven by two factors: motivators and hygiene factors (</w:t>
      </w:r>
      <w:r w:rsidRPr="00136B17">
        <w:rPr>
          <w:color w:val="222222"/>
          <w:lang w:val="en-GB"/>
        </w:rPr>
        <w:t xml:space="preserve">Torrington </w:t>
      </w:r>
      <w:r w:rsidRPr="00136B17">
        <w:rPr>
          <w:i/>
          <w:color w:val="222222"/>
          <w:lang w:val="en-GB"/>
        </w:rPr>
        <w:t xml:space="preserve">et al., </w:t>
      </w:r>
      <w:r w:rsidRPr="00136B17">
        <w:rPr>
          <w:color w:val="222222"/>
          <w:lang w:val="en-GB"/>
        </w:rPr>
        <w:t>2020)</w:t>
      </w:r>
      <w:r w:rsidRPr="00136B17">
        <w:rPr>
          <w:lang w:val="en-GB"/>
        </w:rPr>
        <w:t>.</w:t>
      </w:r>
    </w:p>
    <w:p w14:paraId="0000001F" w14:textId="77777777" w:rsidR="0077420F" w:rsidRPr="00136B17" w:rsidRDefault="002B62D3">
      <w:pPr>
        <w:rPr>
          <w:lang w:val="en-GB"/>
        </w:rPr>
      </w:pPr>
      <w:r w:rsidRPr="00136B17">
        <w:rPr>
          <w:lang w:val="en-GB"/>
        </w:rPr>
        <w:t>Motivators refer to the factors that drive employees to perform well and be committed to their work, such as recognition, meaningful work, and opportunities for growth and development (</w:t>
      </w:r>
      <w:proofErr w:type="spellStart"/>
      <w:r w:rsidRPr="00136B17">
        <w:rPr>
          <w:color w:val="222222"/>
          <w:lang w:val="en-GB"/>
        </w:rPr>
        <w:t>Ozkeser</w:t>
      </w:r>
      <w:proofErr w:type="spellEnd"/>
      <w:r w:rsidRPr="00136B17">
        <w:rPr>
          <w:color w:val="222222"/>
          <w:lang w:val="en-GB"/>
        </w:rPr>
        <w:t>, 2019)</w:t>
      </w:r>
      <w:r w:rsidRPr="00136B17">
        <w:rPr>
          <w:lang w:val="en-GB"/>
        </w:rPr>
        <w:t>. Hygiene factors refer to the minimum conditions that employees need in order to be satisfied in their work, such as job security, fair pay, and good working conditions (</w:t>
      </w:r>
      <w:r w:rsidRPr="00136B17">
        <w:rPr>
          <w:color w:val="222222"/>
          <w:lang w:val="en-GB"/>
        </w:rPr>
        <w:t>Armstrong and Taylor, 2020)</w:t>
      </w:r>
      <w:r w:rsidRPr="00136B17">
        <w:rPr>
          <w:lang w:val="en-GB"/>
        </w:rPr>
        <w:t>.</w:t>
      </w:r>
    </w:p>
    <w:p w14:paraId="00000020" w14:textId="77777777" w:rsidR="0077420F" w:rsidRPr="00136B17" w:rsidRDefault="002B62D3">
      <w:pPr>
        <w:rPr>
          <w:lang w:val="en-GB"/>
        </w:rPr>
      </w:pPr>
      <w:r w:rsidRPr="00136B17">
        <w:rPr>
          <w:lang w:val="en-GB"/>
        </w:rPr>
        <w:t>To implement this model, organisations need to focus on both motivators and hygiene factors. They can start by conducting regular surveys or focus groups to understand employees' needs and concerns (</w:t>
      </w:r>
      <w:r w:rsidRPr="00136B17">
        <w:rPr>
          <w:color w:val="222222"/>
          <w:lang w:val="en-GB"/>
        </w:rPr>
        <w:t xml:space="preserve">Torrington </w:t>
      </w:r>
      <w:r w:rsidRPr="00136B17">
        <w:rPr>
          <w:i/>
          <w:color w:val="222222"/>
          <w:lang w:val="en-GB"/>
        </w:rPr>
        <w:t xml:space="preserve">et al., </w:t>
      </w:r>
      <w:r w:rsidRPr="00136B17">
        <w:rPr>
          <w:color w:val="222222"/>
          <w:lang w:val="en-GB"/>
        </w:rPr>
        <w:t>2020)</w:t>
      </w:r>
      <w:r w:rsidRPr="00136B17">
        <w:rPr>
          <w:lang w:val="en-GB"/>
        </w:rPr>
        <w:t>. This information can then be used to create action plans to address any areas of dissatisfaction and to enhance motivators.</w:t>
      </w:r>
    </w:p>
    <w:p w14:paraId="00000021" w14:textId="77777777" w:rsidR="0077420F" w:rsidRPr="00136B17" w:rsidRDefault="002B62D3">
      <w:pPr>
        <w:rPr>
          <w:lang w:val="en-GB"/>
        </w:rPr>
      </w:pPr>
      <w:r w:rsidRPr="00136B17">
        <w:rPr>
          <w:lang w:val="en-GB"/>
        </w:rPr>
        <w:t>For example, if the surveys indicate that employees feel undervalued and unappreciated, the organisation could implement a recognition program, such as an employee of the month award or a peer recognition program, to increase employee motivation (</w:t>
      </w:r>
      <w:proofErr w:type="spellStart"/>
      <w:r w:rsidRPr="00136B17">
        <w:rPr>
          <w:color w:val="222222"/>
          <w:lang w:val="en-GB"/>
        </w:rPr>
        <w:t>Pattanayak</w:t>
      </w:r>
      <w:proofErr w:type="spellEnd"/>
      <w:r w:rsidRPr="00136B17">
        <w:rPr>
          <w:color w:val="222222"/>
          <w:lang w:val="en-GB"/>
        </w:rPr>
        <w:t>, 2020)</w:t>
      </w:r>
      <w:r w:rsidRPr="00136B17">
        <w:rPr>
          <w:lang w:val="en-GB"/>
        </w:rPr>
        <w:t xml:space="preserve">. If the surveys indicate that employees feel overwhelmed and </w:t>
      </w:r>
      <w:r w:rsidRPr="00136B17">
        <w:rPr>
          <w:lang w:val="en-GB"/>
        </w:rPr>
        <w:lastRenderedPageBreak/>
        <w:t>overworked, the organisation could offer flexible work arrangements or encourage employees to take breaks, to improve hygiene factors.</w:t>
      </w:r>
    </w:p>
    <w:p w14:paraId="00000022" w14:textId="77777777" w:rsidR="0077420F" w:rsidRPr="00136B17" w:rsidRDefault="002B62D3">
      <w:pPr>
        <w:rPr>
          <w:lang w:val="en-GB"/>
        </w:rPr>
      </w:pPr>
      <w:r w:rsidRPr="00136B17">
        <w:rPr>
          <w:lang w:val="en-GB"/>
        </w:rPr>
        <w:t>It is also important to involve employees in the implementation process, as this helps to build trust and commitment (</w:t>
      </w:r>
      <w:r w:rsidRPr="00136B17">
        <w:rPr>
          <w:color w:val="222222"/>
          <w:lang w:val="en-GB"/>
        </w:rPr>
        <w:t>Armstrong and Taylor, 2020)</w:t>
      </w:r>
      <w:r w:rsidRPr="00136B17">
        <w:rPr>
          <w:lang w:val="en-GB"/>
        </w:rPr>
        <w:t>. For example, organisations could form employee engagement committees, which include representatives from different departments, to help design and implement engagement initiatives.</w:t>
      </w:r>
    </w:p>
    <w:p w14:paraId="00000023" w14:textId="77777777" w:rsidR="0077420F" w:rsidRPr="00136B17" w:rsidRDefault="002B62D3">
      <w:pPr>
        <w:rPr>
          <w:lang w:val="en-GB"/>
        </w:rPr>
      </w:pPr>
      <w:r w:rsidRPr="00136B17">
        <w:rPr>
          <w:lang w:val="en-GB"/>
        </w:rPr>
        <w:t>In summary, by focusing on both motivators and hygiene factors, and by involving employees in the process, organisations can create a work environment that supports employee engagement and fosters a sense of commitment and motivation among employees.</w:t>
      </w:r>
    </w:p>
    <w:p w14:paraId="00000024" w14:textId="77777777" w:rsidR="0077420F" w:rsidRPr="00136B17" w:rsidRDefault="002B62D3">
      <w:pPr>
        <w:pStyle w:val="Heading1"/>
        <w:rPr>
          <w:lang w:val="en-GB"/>
        </w:rPr>
      </w:pPr>
      <w:bookmarkStart w:id="4" w:name="_czin8r6thpp0" w:colFirst="0" w:colLast="0"/>
      <w:bookmarkStart w:id="5" w:name="_Toc126957301"/>
      <w:bookmarkEnd w:id="4"/>
      <w:r w:rsidRPr="00136B17">
        <w:rPr>
          <w:lang w:val="en-GB"/>
        </w:rPr>
        <w:t>Conclusion</w:t>
      </w:r>
      <w:bookmarkEnd w:id="5"/>
    </w:p>
    <w:p w14:paraId="00000025" w14:textId="77777777" w:rsidR="0077420F" w:rsidRPr="00136B17" w:rsidRDefault="002B62D3">
      <w:pPr>
        <w:rPr>
          <w:lang w:val="en-GB"/>
        </w:rPr>
      </w:pPr>
      <w:r w:rsidRPr="00136B17">
        <w:rPr>
          <w:lang w:val="en-GB"/>
        </w:rPr>
        <w:t>Employee engagement is a key factor in driving organisational success. The dual-factor theory provides a useful framework for organisations to understand the factors that drive employee engagement. By focusing on both motivators and hygiene factors, and by involving employees in the process, organisations can create a supportive work environment that fosters commitment and motivation. However, it is important to note that employee engagement is an ongoing process, and organisations need to continuously monitor and respond to the changing needs and expectations of employees. With a focus on engagement, organisations can build a strong, motivated, and productive workforce that drives success in the long term.</w:t>
      </w:r>
      <w:r w:rsidRPr="00136B17">
        <w:rPr>
          <w:lang w:val="en-GB"/>
        </w:rPr>
        <w:br w:type="page"/>
      </w:r>
    </w:p>
    <w:p w14:paraId="00000026" w14:textId="77777777" w:rsidR="0077420F" w:rsidRPr="00136B17" w:rsidRDefault="002B62D3">
      <w:pPr>
        <w:pStyle w:val="Heading1"/>
        <w:rPr>
          <w:lang w:val="en-GB"/>
        </w:rPr>
      </w:pPr>
      <w:bookmarkStart w:id="6" w:name="_6f9erlb5gk7l" w:colFirst="0" w:colLast="0"/>
      <w:bookmarkStart w:id="7" w:name="_Toc126957302"/>
      <w:bookmarkEnd w:id="6"/>
      <w:r w:rsidRPr="00136B17">
        <w:rPr>
          <w:lang w:val="en-GB"/>
        </w:rPr>
        <w:lastRenderedPageBreak/>
        <w:t>References</w:t>
      </w:r>
      <w:bookmarkEnd w:id="7"/>
    </w:p>
    <w:p w14:paraId="3309B522" w14:textId="77777777" w:rsidR="00136B17" w:rsidRPr="00136B17" w:rsidRDefault="00136B17">
      <w:pPr>
        <w:rPr>
          <w:color w:val="222222"/>
          <w:lang w:val="en-GB"/>
        </w:rPr>
      </w:pPr>
      <w:proofErr w:type="spellStart"/>
      <w:r w:rsidRPr="00136B17">
        <w:rPr>
          <w:color w:val="222222"/>
          <w:lang w:val="en-GB"/>
        </w:rPr>
        <w:t>Ahammad</w:t>
      </w:r>
      <w:proofErr w:type="spellEnd"/>
      <w:r w:rsidRPr="00136B17">
        <w:rPr>
          <w:color w:val="222222"/>
          <w:lang w:val="en-GB"/>
        </w:rPr>
        <w:t xml:space="preserve">, M.F., </w:t>
      </w:r>
      <w:proofErr w:type="spellStart"/>
      <w:r w:rsidRPr="00136B17">
        <w:rPr>
          <w:color w:val="222222"/>
          <w:lang w:val="en-GB"/>
        </w:rPr>
        <w:t>Glaister</w:t>
      </w:r>
      <w:proofErr w:type="spellEnd"/>
      <w:r w:rsidRPr="00136B17">
        <w:rPr>
          <w:color w:val="222222"/>
          <w:lang w:val="en-GB"/>
        </w:rPr>
        <w:t xml:space="preserve">, K.W. and Gomes, E., 2020. Strategic agility and human resource management. </w:t>
      </w:r>
      <w:r w:rsidRPr="00136B17">
        <w:rPr>
          <w:i/>
          <w:color w:val="222222"/>
          <w:lang w:val="en-GB"/>
        </w:rPr>
        <w:t>Human Resource Management Review</w:t>
      </w:r>
      <w:r w:rsidRPr="00136B17">
        <w:rPr>
          <w:color w:val="222222"/>
          <w:lang w:val="en-GB"/>
        </w:rPr>
        <w:t xml:space="preserve">, </w:t>
      </w:r>
      <w:r w:rsidRPr="00136B17">
        <w:rPr>
          <w:i/>
          <w:color w:val="222222"/>
          <w:lang w:val="en-GB"/>
        </w:rPr>
        <w:t>30</w:t>
      </w:r>
      <w:r w:rsidRPr="00136B17">
        <w:rPr>
          <w:color w:val="222222"/>
          <w:lang w:val="en-GB"/>
        </w:rPr>
        <w:t>(1), p.100700.</w:t>
      </w:r>
    </w:p>
    <w:p w14:paraId="1676BAFC" w14:textId="77777777" w:rsidR="00136B17" w:rsidRPr="00136B17" w:rsidRDefault="00136B17">
      <w:pPr>
        <w:rPr>
          <w:color w:val="222222"/>
          <w:lang w:val="en-GB"/>
        </w:rPr>
      </w:pPr>
      <w:r w:rsidRPr="00136B17">
        <w:rPr>
          <w:color w:val="222222"/>
          <w:lang w:val="en-GB"/>
        </w:rPr>
        <w:t xml:space="preserve">Anwar, G. and Abdullah, N.N., 2021. The impact of Human resource management practice on Organizational performance. </w:t>
      </w:r>
      <w:r w:rsidRPr="00136B17">
        <w:rPr>
          <w:i/>
          <w:color w:val="222222"/>
          <w:lang w:val="en-GB"/>
        </w:rPr>
        <w:t>International journal of Engineering, Business and Management (IJEBM)</w:t>
      </w:r>
      <w:r w:rsidRPr="00136B17">
        <w:rPr>
          <w:color w:val="222222"/>
          <w:lang w:val="en-GB"/>
        </w:rPr>
        <w:t xml:space="preserve">, </w:t>
      </w:r>
      <w:r w:rsidRPr="00136B17">
        <w:rPr>
          <w:i/>
          <w:color w:val="222222"/>
          <w:lang w:val="en-GB"/>
        </w:rPr>
        <w:t>5</w:t>
      </w:r>
      <w:r w:rsidRPr="00136B17">
        <w:rPr>
          <w:color w:val="222222"/>
          <w:lang w:val="en-GB"/>
        </w:rPr>
        <w:t>.</w:t>
      </w:r>
    </w:p>
    <w:p w14:paraId="63F02305" w14:textId="77777777" w:rsidR="00136B17" w:rsidRPr="00136B17" w:rsidRDefault="00136B17">
      <w:pPr>
        <w:rPr>
          <w:color w:val="222222"/>
          <w:lang w:val="en-GB"/>
        </w:rPr>
      </w:pPr>
      <w:r w:rsidRPr="00136B17">
        <w:rPr>
          <w:color w:val="222222"/>
          <w:lang w:val="en-GB"/>
        </w:rPr>
        <w:t xml:space="preserve">Armstrong, M. and Taylor, S., 2020. </w:t>
      </w:r>
      <w:r w:rsidRPr="00136B17">
        <w:rPr>
          <w:i/>
          <w:color w:val="222222"/>
          <w:lang w:val="en-GB"/>
        </w:rPr>
        <w:t>Armstrong's handbook of human resource management practice</w:t>
      </w:r>
      <w:r w:rsidRPr="00136B17">
        <w:rPr>
          <w:color w:val="222222"/>
          <w:lang w:val="en-GB"/>
        </w:rPr>
        <w:t>. Kogan Page Publishers.</w:t>
      </w:r>
    </w:p>
    <w:p w14:paraId="0E7C6FFB" w14:textId="77777777" w:rsidR="00136B17" w:rsidRPr="00136B17" w:rsidRDefault="00136B17">
      <w:pPr>
        <w:rPr>
          <w:color w:val="222222"/>
          <w:lang w:val="en-GB"/>
        </w:rPr>
      </w:pPr>
      <w:r w:rsidRPr="00136B17">
        <w:rPr>
          <w:color w:val="222222"/>
          <w:lang w:val="en-GB"/>
        </w:rPr>
        <w:t xml:space="preserve">Boon, C., Den Hartog, D.N. and </w:t>
      </w:r>
      <w:proofErr w:type="spellStart"/>
      <w:r w:rsidRPr="00136B17">
        <w:rPr>
          <w:color w:val="222222"/>
          <w:lang w:val="en-GB"/>
        </w:rPr>
        <w:t>Lepak</w:t>
      </w:r>
      <w:proofErr w:type="spellEnd"/>
      <w:r w:rsidRPr="00136B17">
        <w:rPr>
          <w:color w:val="222222"/>
          <w:lang w:val="en-GB"/>
        </w:rPr>
        <w:t xml:space="preserve">, D.P., 2019. A systematic review of human resource management systems and their measurement. </w:t>
      </w:r>
      <w:r w:rsidRPr="00136B17">
        <w:rPr>
          <w:i/>
          <w:color w:val="222222"/>
          <w:lang w:val="en-GB"/>
        </w:rPr>
        <w:t>Journal of management</w:t>
      </w:r>
      <w:r w:rsidRPr="00136B17">
        <w:rPr>
          <w:color w:val="222222"/>
          <w:lang w:val="en-GB"/>
        </w:rPr>
        <w:t xml:space="preserve">, </w:t>
      </w:r>
      <w:r w:rsidRPr="00136B17">
        <w:rPr>
          <w:i/>
          <w:color w:val="222222"/>
          <w:lang w:val="en-GB"/>
        </w:rPr>
        <w:t>45</w:t>
      </w:r>
      <w:r w:rsidRPr="00136B17">
        <w:rPr>
          <w:color w:val="222222"/>
          <w:lang w:val="en-GB"/>
        </w:rPr>
        <w:t>(6), pp.2498-2537.</w:t>
      </w:r>
    </w:p>
    <w:p w14:paraId="56E098A5" w14:textId="77777777" w:rsidR="00136B17" w:rsidRPr="00136B17" w:rsidRDefault="00136B17">
      <w:pPr>
        <w:rPr>
          <w:color w:val="222222"/>
          <w:lang w:val="en-GB"/>
        </w:rPr>
      </w:pPr>
      <w:r w:rsidRPr="00136B17">
        <w:rPr>
          <w:color w:val="222222"/>
          <w:lang w:val="en-GB"/>
        </w:rPr>
        <w:t xml:space="preserve">Boxall, P. and Purcell, J., 2022. </w:t>
      </w:r>
      <w:r w:rsidRPr="00136B17">
        <w:rPr>
          <w:i/>
          <w:color w:val="222222"/>
          <w:lang w:val="en-GB"/>
        </w:rPr>
        <w:t>Strategy and human resource management</w:t>
      </w:r>
      <w:r w:rsidRPr="00136B17">
        <w:rPr>
          <w:color w:val="222222"/>
          <w:lang w:val="en-GB"/>
        </w:rPr>
        <w:t>. Bloomsbury Publishing.</w:t>
      </w:r>
    </w:p>
    <w:p w14:paraId="014CCF15" w14:textId="77777777" w:rsidR="00136B17" w:rsidRPr="00136B17" w:rsidRDefault="00136B17">
      <w:pPr>
        <w:rPr>
          <w:color w:val="222222"/>
          <w:lang w:val="en-GB"/>
        </w:rPr>
      </w:pPr>
      <w:r w:rsidRPr="00136B17">
        <w:rPr>
          <w:color w:val="222222"/>
          <w:lang w:val="en-GB"/>
        </w:rPr>
        <w:t xml:space="preserve">Bratton, J., Gold, J., Bratton, A. and Steele, L., 2021. </w:t>
      </w:r>
      <w:r w:rsidRPr="00136B17">
        <w:rPr>
          <w:i/>
          <w:color w:val="222222"/>
          <w:lang w:val="en-GB"/>
        </w:rPr>
        <w:t>Human resource management</w:t>
      </w:r>
      <w:r w:rsidRPr="00136B17">
        <w:rPr>
          <w:color w:val="222222"/>
          <w:lang w:val="en-GB"/>
        </w:rPr>
        <w:t>. Bloomsbury Publishing.</w:t>
      </w:r>
    </w:p>
    <w:p w14:paraId="7AB103A2" w14:textId="77777777" w:rsidR="00136B17" w:rsidRPr="00136B17" w:rsidRDefault="00136B17">
      <w:pPr>
        <w:rPr>
          <w:color w:val="222222"/>
          <w:lang w:val="en-GB"/>
        </w:rPr>
      </w:pPr>
      <w:proofErr w:type="spellStart"/>
      <w:r w:rsidRPr="00136B17">
        <w:rPr>
          <w:color w:val="222222"/>
          <w:lang w:val="en-GB"/>
        </w:rPr>
        <w:t>Chyhryn</w:t>
      </w:r>
      <w:proofErr w:type="spellEnd"/>
      <w:r w:rsidRPr="00136B17">
        <w:rPr>
          <w:color w:val="222222"/>
          <w:lang w:val="en-GB"/>
        </w:rPr>
        <w:t xml:space="preserve">, O.Y., </w:t>
      </w:r>
      <w:proofErr w:type="spellStart"/>
      <w:r w:rsidRPr="00136B17">
        <w:rPr>
          <w:color w:val="222222"/>
          <w:lang w:val="en-GB"/>
        </w:rPr>
        <w:t>Karintseva</w:t>
      </w:r>
      <w:proofErr w:type="spellEnd"/>
      <w:r w:rsidRPr="00136B17">
        <w:rPr>
          <w:color w:val="222222"/>
          <w:lang w:val="en-GB"/>
        </w:rPr>
        <w:t>, O.I., Kozlova, D.D. and Kovaleva, A.V., 2019. HR management in the digital age: The main trends assessment and stakeholders.</w:t>
      </w:r>
    </w:p>
    <w:p w14:paraId="73E56818" w14:textId="77777777" w:rsidR="00136B17" w:rsidRPr="00136B17" w:rsidRDefault="00136B17">
      <w:pPr>
        <w:rPr>
          <w:color w:val="222222"/>
          <w:lang w:val="en-GB"/>
        </w:rPr>
      </w:pPr>
      <w:r w:rsidRPr="00136B17">
        <w:rPr>
          <w:color w:val="222222"/>
          <w:lang w:val="en-GB"/>
        </w:rPr>
        <w:t xml:space="preserve">Collins, C.J., 2021. Expanding the </w:t>
      </w:r>
      <w:proofErr w:type="gramStart"/>
      <w:r w:rsidRPr="00136B17">
        <w:rPr>
          <w:color w:val="222222"/>
          <w:lang w:val="en-GB"/>
        </w:rPr>
        <w:t>resource based</w:t>
      </w:r>
      <w:proofErr w:type="gramEnd"/>
      <w:r w:rsidRPr="00136B17">
        <w:rPr>
          <w:color w:val="222222"/>
          <w:lang w:val="en-GB"/>
        </w:rPr>
        <w:t xml:space="preserve"> view model of strategic human resource management. </w:t>
      </w:r>
      <w:r w:rsidRPr="00136B17">
        <w:rPr>
          <w:i/>
          <w:color w:val="222222"/>
          <w:lang w:val="en-GB"/>
        </w:rPr>
        <w:t>The International Journal of Human Resource Management</w:t>
      </w:r>
      <w:r w:rsidRPr="00136B17">
        <w:rPr>
          <w:color w:val="222222"/>
          <w:lang w:val="en-GB"/>
        </w:rPr>
        <w:t xml:space="preserve">, </w:t>
      </w:r>
      <w:r w:rsidRPr="00136B17">
        <w:rPr>
          <w:i/>
          <w:color w:val="222222"/>
          <w:lang w:val="en-GB"/>
        </w:rPr>
        <w:t>32</w:t>
      </w:r>
      <w:r w:rsidRPr="00136B17">
        <w:rPr>
          <w:color w:val="222222"/>
          <w:lang w:val="en-GB"/>
        </w:rPr>
        <w:t>(2), pp.331-358.</w:t>
      </w:r>
    </w:p>
    <w:p w14:paraId="42D74B0B" w14:textId="77777777" w:rsidR="00136B17" w:rsidRPr="00136B17" w:rsidRDefault="00136B17">
      <w:pPr>
        <w:rPr>
          <w:color w:val="222222"/>
          <w:lang w:val="en-GB"/>
        </w:rPr>
      </w:pPr>
      <w:r w:rsidRPr="00136B17">
        <w:rPr>
          <w:color w:val="222222"/>
          <w:lang w:val="en-GB"/>
        </w:rPr>
        <w:t xml:space="preserve">Fenech, R., </w:t>
      </w:r>
      <w:proofErr w:type="spellStart"/>
      <w:r w:rsidRPr="00136B17">
        <w:rPr>
          <w:color w:val="222222"/>
          <w:lang w:val="en-GB"/>
        </w:rPr>
        <w:t>Baguant</w:t>
      </w:r>
      <w:proofErr w:type="spellEnd"/>
      <w:r w:rsidRPr="00136B17">
        <w:rPr>
          <w:color w:val="222222"/>
          <w:lang w:val="en-GB"/>
        </w:rPr>
        <w:t xml:space="preserve">, P. and Ivanov, D., 2019. The changing role of human resource management in an era of digital transformation. </w:t>
      </w:r>
      <w:r w:rsidRPr="00136B17">
        <w:rPr>
          <w:i/>
          <w:color w:val="222222"/>
          <w:lang w:val="en-GB"/>
        </w:rPr>
        <w:t>Journal of Management Information &amp; Decision Sciences</w:t>
      </w:r>
      <w:r w:rsidRPr="00136B17">
        <w:rPr>
          <w:color w:val="222222"/>
          <w:lang w:val="en-GB"/>
        </w:rPr>
        <w:t xml:space="preserve">, </w:t>
      </w:r>
      <w:r w:rsidRPr="00136B17">
        <w:rPr>
          <w:i/>
          <w:color w:val="222222"/>
          <w:lang w:val="en-GB"/>
        </w:rPr>
        <w:t>22</w:t>
      </w:r>
      <w:r w:rsidRPr="00136B17">
        <w:rPr>
          <w:color w:val="222222"/>
          <w:lang w:val="en-GB"/>
        </w:rPr>
        <w:t>(2).</w:t>
      </w:r>
    </w:p>
    <w:p w14:paraId="5866B53E" w14:textId="77777777" w:rsidR="00136B17" w:rsidRPr="00136B17" w:rsidRDefault="00136B17">
      <w:pPr>
        <w:rPr>
          <w:color w:val="222222"/>
          <w:lang w:val="en-GB"/>
        </w:rPr>
      </w:pPr>
      <w:r w:rsidRPr="00136B17">
        <w:rPr>
          <w:color w:val="222222"/>
          <w:lang w:val="en-GB"/>
        </w:rPr>
        <w:t xml:space="preserve">Gallagher, K., 2016. </w:t>
      </w:r>
      <w:r w:rsidRPr="00136B17">
        <w:rPr>
          <w:i/>
          <w:color w:val="222222"/>
          <w:lang w:val="en-GB"/>
        </w:rPr>
        <w:t>Essential study and employment skills for business and management students</w:t>
      </w:r>
      <w:r w:rsidRPr="00136B17">
        <w:rPr>
          <w:color w:val="222222"/>
          <w:lang w:val="en-GB"/>
        </w:rPr>
        <w:t>. Oxford University Press.</w:t>
      </w:r>
    </w:p>
    <w:p w14:paraId="7743F9F7" w14:textId="77777777" w:rsidR="00136B17" w:rsidRPr="00136B17" w:rsidRDefault="00136B17">
      <w:pPr>
        <w:rPr>
          <w:color w:val="222222"/>
          <w:lang w:val="en-GB"/>
        </w:rPr>
      </w:pPr>
      <w:r w:rsidRPr="00136B17">
        <w:rPr>
          <w:color w:val="222222"/>
          <w:lang w:val="en-GB"/>
        </w:rPr>
        <w:t xml:space="preserve">Macke, J. and </w:t>
      </w:r>
      <w:proofErr w:type="spellStart"/>
      <w:r w:rsidRPr="00136B17">
        <w:rPr>
          <w:color w:val="222222"/>
          <w:lang w:val="en-GB"/>
        </w:rPr>
        <w:t>Genari</w:t>
      </w:r>
      <w:proofErr w:type="spellEnd"/>
      <w:r w:rsidRPr="00136B17">
        <w:rPr>
          <w:color w:val="222222"/>
          <w:lang w:val="en-GB"/>
        </w:rPr>
        <w:t xml:space="preserve">, D., 2019. Systematic literature review on sustainable human resource management. </w:t>
      </w:r>
      <w:r w:rsidRPr="00136B17">
        <w:rPr>
          <w:i/>
          <w:color w:val="222222"/>
          <w:lang w:val="en-GB"/>
        </w:rPr>
        <w:t>Journal of cleaner production</w:t>
      </w:r>
      <w:r w:rsidRPr="00136B17">
        <w:rPr>
          <w:color w:val="222222"/>
          <w:lang w:val="en-GB"/>
        </w:rPr>
        <w:t xml:space="preserve">, </w:t>
      </w:r>
      <w:r w:rsidRPr="00136B17">
        <w:rPr>
          <w:i/>
          <w:color w:val="222222"/>
          <w:lang w:val="en-GB"/>
        </w:rPr>
        <w:t>208</w:t>
      </w:r>
      <w:r w:rsidRPr="00136B17">
        <w:rPr>
          <w:color w:val="222222"/>
          <w:lang w:val="en-GB"/>
        </w:rPr>
        <w:t>, pp.806-815.</w:t>
      </w:r>
    </w:p>
    <w:p w14:paraId="05D96EE5" w14:textId="77777777" w:rsidR="00136B17" w:rsidRPr="00136B17" w:rsidRDefault="00136B17">
      <w:pPr>
        <w:rPr>
          <w:color w:val="222222"/>
          <w:lang w:val="en-GB"/>
        </w:rPr>
      </w:pPr>
      <w:proofErr w:type="spellStart"/>
      <w:r w:rsidRPr="00136B17">
        <w:rPr>
          <w:color w:val="222222"/>
          <w:lang w:val="en-GB"/>
        </w:rPr>
        <w:t>Mahapatro</w:t>
      </w:r>
      <w:proofErr w:type="spellEnd"/>
      <w:r w:rsidRPr="00136B17">
        <w:rPr>
          <w:color w:val="222222"/>
          <w:lang w:val="en-GB"/>
        </w:rPr>
        <w:t xml:space="preserve">, B.B., 2022. </w:t>
      </w:r>
      <w:r w:rsidRPr="00136B17">
        <w:rPr>
          <w:i/>
          <w:color w:val="222222"/>
          <w:lang w:val="en-GB"/>
        </w:rPr>
        <w:t>Human resource management</w:t>
      </w:r>
      <w:r w:rsidRPr="00136B17">
        <w:rPr>
          <w:color w:val="222222"/>
          <w:lang w:val="en-GB"/>
        </w:rPr>
        <w:t>. PG Department of Business Management.</w:t>
      </w:r>
    </w:p>
    <w:p w14:paraId="01800BE8" w14:textId="77777777" w:rsidR="00136B17" w:rsidRPr="00136B17" w:rsidRDefault="00136B17">
      <w:pPr>
        <w:rPr>
          <w:color w:val="222222"/>
          <w:lang w:val="en-GB"/>
        </w:rPr>
      </w:pPr>
      <w:proofErr w:type="spellStart"/>
      <w:r w:rsidRPr="00136B17">
        <w:rPr>
          <w:color w:val="222222"/>
          <w:lang w:val="en-GB"/>
        </w:rPr>
        <w:t>Ozkeser</w:t>
      </w:r>
      <w:proofErr w:type="spellEnd"/>
      <w:r w:rsidRPr="00136B17">
        <w:rPr>
          <w:color w:val="222222"/>
          <w:lang w:val="en-GB"/>
        </w:rPr>
        <w:t xml:space="preserve">, B., 2019. Impact of training on employee motivation in human resources management. </w:t>
      </w:r>
      <w:r w:rsidRPr="00136B17">
        <w:rPr>
          <w:i/>
          <w:color w:val="222222"/>
          <w:lang w:val="en-GB"/>
        </w:rPr>
        <w:t>Procedia Computer Science</w:t>
      </w:r>
      <w:r w:rsidRPr="00136B17">
        <w:rPr>
          <w:color w:val="222222"/>
          <w:lang w:val="en-GB"/>
        </w:rPr>
        <w:t xml:space="preserve">, </w:t>
      </w:r>
      <w:r w:rsidRPr="00136B17">
        <w:rPr>
          <w:i/>
          <w:color w:val="222222"/>
          <w:lang w:val="en-GB"/>
        </w:rPr>
        <w:t>158</w:t>
      </w:r>
      <w:r w:rsidRPr="00136B17">
        <w:rPr>
          <w:color w:val="222222"/>
          <w:lang w:val="en-GB"/>
        </w:rPr>
        <w:t>, pp.802-810.</w:t>
      </w:r>
    </w:p>
    <w:p w14:paraId="2855660D" w14:textId="77777777" w:rsidR="00136B17" w:rsidRPr="00136B17" w:rsidRDefault="00136B17">
      <w:pPr>
        <w:rPr>
          <w:color w:val="222222"/>
          <w:lang w:val="en-GB"/>
        </w:rPr>
      </w:pPr>
      <w:r w:rsidRPr="00136B17">
        <w:rPr>
          <w:color w:val="222222"/>
          <w:lang w:val="en-GB"/>
        </w:rPr>
        <w:lastRenderedPageBreak/>
        <w:t xml:space="preserve">Pak, K., </w:t>
      </w:r>
      <w:proofErr w:type="spellStart"/>
      <w:r w:rsidRPr="00136B17">
        <w:rPr>
          <w:color w:val="222222"/>
          <w:lang w:val="en-GB"/>
        </w:rPr>
        <w:t>Kooij</w:t>
      </w:r>
      <w:proofErr w:type="spellEnd"/>
      <w:r w:rsidRPr="00136B17">
        <w:rPr>
          <w:color w:val="222222"/>
          <w:lang w:val="en-GB"/>
        </w:rPr>
        <w:t xml:space="preserve">, D.T., De Lange, A.H. and Van </w:t>
      </w:r>
      <w:proofErr w:type="spellStart"/>
      <w:r w:rsidRPr="00136B17">
        <w:rPr>
          <w:color w:val="222222"/>
          <w:lang w:val="en-GB"/>
        </w:rPr>
        <w:t>Veldhoven</w:t>
      </w:r>
      <w:proofErr w:type="spellEnd"/>
      <w:r w:rsidRPr="00136B17">
        <w:rPr>
          <w:color w:val="222222"/>
          <w:lang w:val="en-GB"/>
        </w:rPr>
        <w:t xml:space="preserve">, M.J., 2019. Human Resource Management and the ability, motivation and opportunity to continue working: A review of quantitative studies. </w:t>
      </w:r>
      <w:r w:rsidRPr="00136B17">
        <w:rPr>
          <w:i/>
          <w:color w:val="222222"/>
          <w:lang w:val="en-GB"/>
        </w:rPr>
        <w:t>Human Resource Management Review</w:t>
      </w:r>
      <w:r w:rsidRPr="00136B17">
        <w:rPr>
          <w:color w:val="222222"/>
          <w:lang w:val="en-GB"/>
        </w:rPr>
        <w:t xml:space="preserve">, </w:t>
      </w:r>
      <w:r w:rsidRPr="00136B17">
        <w:rPr>
          <w:i/>
          <w:color w:val="222222"/>
          <w:lang w:val="en-GB"/>
        </w:rPr>
        <w:t>29</w:t>
      </w:r>
      <w:r w:rsidRPr="00136B17">
        <w:rPr>
          <w:color w:val="222222"/>
          <w:lang w:val="en-GB"/>
        </w:rPr>
        <w:t>(3), pp.336-352.</w:t>
      </w:r>
    </w:p>
    <w:p w14:paraId="6F38BEFD" w14:textId="77777777" w:rsidR="00136B17" w:rsidRPr="00136B17" w:rsidRDefault="00136B17">
      <w:pPr>
        <w:rPr>
          <w:color w:val="222222"/>
          <w:lang w:val="en-GB"/>
        </w:rPr>
      </w:pPr>
      <w:proofErr w:type="spellStart"/>
      <w:r w:rsidRPr="00136B17">
        <w:rPr>
          <w:color w:val="222222"/>
          <w:lang w:val="en-GB"/>
        </w:rPr>
        <w:t>Pattanayak</w:t>
      </w:r>
      <w:proofErr w:type="spellEnd"/>
      <w:r w:rsidRPr="00136B17">
        <w:rPr>
          <w:color w:val="222222"/>
          <w:lang w:val="en-GB"/>
        </w:rPr>
        <w:t xml:space="preserve">, B., 2020. </w:t>
      </w:r>
      <w:r w:rsidRPr="00136B17">
        <w:rPr>
          <w:i/>
          <w:color w:val="222222"/>
          <w:lang w:val="en-GB"/>
        </w:rPr>
        <w:t>Human resource management</w:t>
      </w:r>
      <w:r w:rsidRPr="00136B17">
        <w:rPr>
          <w:color w:val="222222"/>
          <w:lang w:val="en-GB"/>
        </w:rPr>
        <w:t xml:space="preserve">. PHI Learning </w:t>
      </w:r>
      <w:proofErr w:type="spellStart"/>
      <w:r w:rsidRPr="00136B17">
        <w:rPr>
          <w:color w:val="222222"/>
          <w:lang w:val="en-GB"/>
        </w:rPr>
        <w:t>Pvt.</w:t>
      </w:r>
      <w:proofErr w:type="spellEnd"/>
      <w:r w:rsidRPr="00136B17">
        <w:rPr>
          <w:color w:val="222222"/>
          <w:lang w:val="en-GB"/>
        </w:rPr>
        <w:t xml:space="preserve"> Ltd.</w:t>
      </w:r>
    </w:p>
    <w:p w14:paraId="6F03D313" w14:textId="77777777" w:rsidR="00136B17" w:rsidRPr="00136B17" w:rsidRDefault="00136B17">
      <w:pPr>
        <w:rPr>
          <w:color w:val="222222"/>
          <w:lang w:val="en-GB"/>
        </w:rPr>
      </w:pPr>
      <w:r w:rsidRPr="00136B17">
        <w:rPr>
          <w:color w:val="222222"/>
          <w:lang w:val="en-GB"/>
        </w:rPr>
        <w:t xml:space="preserve">Stewart, G.L. and Brown, K.G., 2019. </w:t>
      </w:r>
      <w:r w:rsidRPr="00136B17">
        <w:rPr>
          <w:i/>
          <w:color w:val="222222"/>
          <w:lang w:val="en-GB"/>
        </w:rPr>
        <w:t>Human resource management</w:t>
      </w:r>
      <w:r w:rsidRPr="00136B17">
        <w:rPr>
          <w:color w:val="222222"/>
          <w:lang w:val="en-GB"/>
        </w:rPr>
        <w:t>. John Wiley &amp; Sons.</w:t>
      </w:r>
    </w:p>
    <w:p w14:paraId="00C57C5D" w14:textId="77777777" w:rsidR="00136B17" w:rsidRPr="00136B17" w:rsidRDefault="00136B17">
      <w:pPr>
        <w:rPr>
          <w:color w:val="222222"/>
          <w:lang w:val="en-GB"/>
        </w:rPr>
      </w:pPr>
      <w:r w:rsidRPr="00136B17">
        <w:rPr>
          <w:color w:val="222222"/>
          <w:lang w:val="en-GB"/>
        </w:rPr>
        <w:t xml:space="preserve">Stone, R.J., Cox, A. and Gavin, M., 2020. </w:t>
      </w:r>
      <w:r w:rsidRPr="00136B17">
        <w:rPr>
          <w:i/>
          <w:color w:val="222222"/>
          <w:lang w:val="en-GB"/>
        </w:rPr>
        <w:t>Human resource management</w:t>
      </w:r>
      <w:r w:rsidRPr="00136B17">
        <w:rPr>
          <w:color w:val="222222"/>
          <w:lang w:val="en-GB"/>
        </w:rPr>
        <w:t>. John Wiley &amp; Sons.</w:t>
      </w:r>
    </w:p>
    <w:p w14:paraId="3340A406" w14:textId="77777777" w:rsidR="00136B17" w:rsidRPr="00136B17" w:rsidRDefault="00136B17">
      <w:pPr>
        <w:rPr>
          <w:color w:val="222222"/>
          <w:lang w:val="en-GB"/>
        </w:rPr>
      </w:pPr>
      <w:proofErr w:type="spellStart"/>
      <w:r w:rsidRPr="00136B17">
        <w:rPr>
          <w:color w:val="222222"/>
          <w:lang w:val="en-GB"/>
        </w:rPr>
        <w:t>Strohmeier</w:t>
      </w:r>
      <w:proofErr w:type="spellEnd"/>
      <w:r w:rsidRPr="00136B17">
        <w:rPr>
          <w:color w:val="222222"/>
          <w:lang w:val="en-GB"/>
        </w:rPr>
        <w:t xml:space="preserve">, S., 2020. Digital human resource management: A conceptual clarification. </w:t>
      </w:r>
      <w:r w:rsidRPr="00136B17">
        <w:rPr>
          <w:i/>
          <w:color w:val="222222"/>
          <w:lang w:val="en-GB"/>
        </w:rPr>
        <w:t>German Journal of Human Resource Management</w:t>
      </w:r>
      <w:r w:rsidRPr="00136B17">
        <w:rPr>
          <w:color w:val="222222"/>
          <w:lang w:val="en-GB"/>
        </w:rPr>
        <w:t xml:space="preserve">, </w:t>
      </w:r>
      <w:r w:rsidRPr="00136B17">
        <w:rPr>
          <w:i/>
          <w:color w:val="222222"/>
          <w:lang w:val="en-GB"/>
        </w:rPr>
        <w:t>34</w:t>
      </w:r>
      <w:r w:rsidRPr="00136B17">
        <w:rPr>
          <w:color w:val="222222"/>
          <w:lang w:val="en-GB"/>
        </w:rPr>
        <w:t>(3), pp.345-365.</w:t>
      </w:r>
    </w:p>
    <w:p w14:paraId="51E14269" w14:textId="77777777" w:rsidR="00136B17" w:rsidRPr="00136B17" w:rsidRDefault="00136B17">
      <w:pPr>
        <w:rPr>
          <w:color w:val="222222"/>
          <w:lang w:val="en-GB"/>
        </w:rPr>
      </w:pPr>
      <w:r w:rsidRPr="00136B17">
        <w:rPr>
          <w:color w:val="222222"/>
          <w:lang w:val="en-GB"/>
        </w:rPr>
        <w:t>Torrington, D, Hall, L, Atkinson, C. and Taylor, S., 2020,</w:t>
      </w:r>
      <w:r w:rsidRPr="00136B17">
        <w:rPr>
          <w:i/>
          <w:color w:val="222222"/>
          <w:lang w:val="en-GB"/>
        </w:rPr>
        <w:t xml:space="preserve"> Human Resource Management. </w:t>
      </w:r>
      <w:r w:rsidRPr="00136B17">
        <w:rPr>
          <w:color w:val="222222"/>
          <w:lang w:val="en-GB"/>
        </w:rPr>
        <w:t>Pearson Education.</w:t>
      </w:r>
    </w:p>
    <w:p w14:paraId="49BD9F62" w14:textId="77777777" w:rsidR="00136B17" w:rsidRPr="00136B17" w:rsidRDefault="00136B17">
      <w:pPr>
        <w:rPr>
          <w:color w:val="222222"/>
          <w:lang w:val="en-GB"/>
        </w:rPr>
      </w:pPr>
      <w:proofErr w:type="spellStart"/>
      <w:r w:rsidRPr="00136B17">
        <w:rPr>
          <w:color w:val="222222"/>
          <w:lang w:val="en-GB"/>
        </w:rPr>
        <w:t>Zeebaree</w:t>
      </w:r>
      <w:proofErr w:type="spellEnd"/>
      <w:r w:rsidRPr="00136B17">
        <w:rPr>
          <w:color w:val="222222"/>
          <w:lang w:val="en-GB"/>
        </w:rPr>
        <w:t xml:space="preserve">, S.R., </w:t>
      </w:r>
      <w:proofErr w:type="spellStart"/>
      <w:r w:rsidRPr="00136B17">
        <w:rPr>
          <w:color w:val="222222"/>
          <w:lang w:val="en-GB"/>
        </w:rPr>
        <w:t>Shukur</w:t>
      </w:r>
      <w:proofErr w:type="spellEnd"/>
      <w:r w:rsidRPr="00136B17">
        <w:rPr>
          <w:color w:val="222222"/>
          <w:lang w:val="en-GB"/>
        </w:rPr>
        <w:t xml:space="preserve">, H.M. and </w:t>
      </w:r>
      <w:proofErr w:type="spellStart"/>
      <w:r w:rsidRPr="00136B17">
        <w:rPr>
          <w:color w:val="222222"/>
          <w:lang w:val="en-GB"/>
        </w:rPr>
        <w:t>Hussan</w:t>
      </w:r>
      <w:proofErr w:type="spellEnd"/>
      <w:r w:rsidRPr="00136B17">
        <w:rPr>
          <w:color w:val="222222"/>
          <w:lang w:val="en-GB"/>
        </w:rPr>
        <w:t xml:space="preserve">, B.K., 2019. Human resource management systems for enterprise organizations: A review. </w:t>
      </w:r>
      <w:r w:rsidRPr="00136B17">
        <w:rPr>
          <w:i/>
          <w:color w:val="222222"/>
          <w:lang w:val="en-GB"/>
        </w:rPr>
        <w:t>Periodicals of Engineering and Natural Sciences</w:t>
      </w:r>
      <w:r w:rsidRPr="00136B17">
        <w:rPr>
          <w:color w:val="222222"/>
          <w:lang w:val="en-GB"/>
        </w:rPr>
        <w:t xml:space="preserve">, </w:t>
      </w:r>
      <w:r w:rsidRPr="00136B17">
        <w:rPr>
          <w:i/>
          <w:color w:val="222222"/>
          <w:lang w:val="en-GB"/>
        </w:rPr>
        <w:t>7</w:t>
      </w:r>
      <w:r w:rsidRPr="00136B17">
        <w:rPr>
          <w:color w:val="222222"/>
          <w:lang w:val="en-GB"/>
        </w:rPr>
        <w:t>(2), pp.660-669.</w:t>
      </w:r>
    </w:p>
    <w:p w14:paraId="0000003B" w14:textId="77777777" w:rsidR="0077420F" w:rsidRPr="00136B17" w:rsidRDefault="0077420F">
      <w:pPr>
        <w:rPr>
          <w:color w:val="222222"/>
          <w:sz w:val="20"/>
          <w:szCs w:val="20"/>
          <w:lang w:val="en-GB"/>
        </w:rPr>
      </w:pPr>
    </w:p>
    <w:p w14:paraId="0000003C" w14:textId="77777777" w:rsidR="0077420F" w:rsidRPr="00136B17" w:rsidRDefault="0077420F">
      <w:pPr>
        <w:rPr>
          <w:rFonts w:ascii="Roboto" w:eastAsia="Roboto" w:hAnsi="Roboto" w:cs="Roboto"/>
          <w:color w:val="374151"/>
          <w:shd w:val="clear" w:color="auto" w:fill="F7F7F8"/>
          <w:lang w:val="en-GB"/>
        </w:rPr>
      </w:pPr>
    </w:p>
    <w:p w14:paraId="0000003D" w14:textId="77777777" w:rsidR="0077420F" w:rsidRPr="00136B17" w:rsidRDefault="0077420F">
      <w:pPr>
        <w:rPr>
          <w:rFonts w:ascii="Roboto" w:eastAsia="Roboto" w:hAnsi="Roboto" w:cs="Roboto"/>
          <w:color w:val="374151"/>
          <w:shd w:val="clear" w:color="auto" w:fill="F7F7F8"/>
          <w:lang w:val="en-GB"/>
        </w:rPr>
      </w:pPr>
    </w:p>
    <w:sectPr w:rsidR="0077420F" w:rsidRPr="00136B17">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55701" w14:textId="77777777" w:rsidR="00874C1D" w:rsidRDefault="00874C1D" w:rsidP="00136B17">
      <w:pPr>
        <w:spacing w:line="240" w:lineRule="auto"/>
      </w:pPr>
      <w:r>
        <w:separator/>
      </w:r>
    </w:p>
  </w:endnote>
  <w:endnote w:type="continuationSeparator" w:id="0">
    <w:p w14:paraId="7FD2CB7C" w14:textId="77777777" w:rsidR="00874C1D" w:rsidRDefault="00874C1D" w:rsidP="00136B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970589"/>
      <w:docPartObj>
        <w:docPartGallery w:val="Page Numbers (Bottom of Page)"/>
        <w:docPartUnique/>
      </w:docPartObj>
    </w:sdtPr>
    <w:sdtEndPr>
      <w:rPr>
        <w:noProof/>
      </w:rPr>
    </w:sdtEndPr>
    <w:sdtContent>
      <w:p w14:paraId="0C957C1E" w14:textId="69A6448D" w:rsidR="00136B17" w:rsidRDefault="00136B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43B580" w14:textId="77777777" w:rsidR="00136B17" w:rsidRDefault="00136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78FC7" w14:textId="77777777" w:rsidR="00874C1D" w:rsidRDefault="00874C1D" w:rsidP="00136B17">
      <w:pPr>
        <w:spacing w:line="240" w:lineRule="auto"/>
      </w:pPr>
      <w:r>
        <w:separator/>
      </w:r>
    </w:p>
  </w:footnote>
  <w:footnote w:type="continuationSeparator" w:id="0">
    <w:p w14:paraId="36808BCE" w14:textId="77777777" w:rsidR="00874C1D" w:rsidRDefault="00874C1D" w:rsidP="00136B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20F"/>
    <w:rsid w:val="00067949"/>
    <w:rsid w:val="00136B17"/>
    <w:rsid w:val="002B62D3"/>
    <w:rsid w:val="00506A3D"/>
    <w:rsid w:val="0059454B"/>
    <w:rsid w:val="00604C96"/>
    <w:rsid w:val="00723591"/>
    <w:rsid w:val="0077420F"/>
    <w:rsid w:val="00874C1D"/>
    <w:rsid w:val="00B67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ED99"/>
  <w15:docId w15:val="{BFB031CF-E99D-44D8-8102-6B297025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highlight w:val="white"/>
        <w:lang w:val="en" w:eastAsia="en-US" w:bidi="ar-SA"/>
      </w:rPr>
    </w:rPrDefault>
    <w:pPrDefault>
      <w:pPr>
        <w:shd w:val="clear" w:color="auto" w:fill="FFFFFF"/>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136B17"/>
    <w:pP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highlight w:val="none"/>
      <w:lang w:val="en-US"/>
    </w:rPr>
  </w:style>
  <w:style w:type="paragraph" w:styleId="TOC1">
    <w:name w:val="toc 1"/>
    <w:basedOn w:val="Normal"/>
    <w:next w:val="Normal"/>
    <w:autoRedefine/>
    <w:uiPriority w:val="39"/>
    <w:unhideWhenUsed/>
    <w:rsid w:val="00136B17"/>
    <w:pPr>
      <w:spacing w:after="100"/>
    </w:pPr>
  </w:style>
  <w:style w:type="character" w:styleId="Hyperlink">
    <w:name w:val="Hyperlink"/>
    <w:basedOn w:val="DefaultParagraphFont"/>
    <w:uiPriority w:val="99"/>
    <w:unhideWhenUsed/>
    <w:rsid w:val="00136B17"/>
    <w:rPr>
      <w:color w:val="0000FF" w:themeColor="hyperlink"/>
      <w:u w:val="single"/>
    </w:rPr>
  </w:style>
  <w:style w:type="paragraph" w:styleId="Header">
    <w:name w:val="header"/>
    <w:basedOn w:val="Normal"/>
    <w:link w:val="HeaderChar"/>
    <w:uiPriority w:val="99"/>
    <w:unhideWhenUsed/>
    <w:rsid w:val="00136B17"/>
    <w:pPr>
      <w:tabs>
        <w:tab w:val="center" w:pos="4680"/>
        <w:tab w:val="right" w:pos="9360"/>
      </w:tabs>
      <w:spacing w:line="240" w:lineRule="auto"/>
    </w:pPr>
  </w:style>
  <w:style w:type="character" w:customStyle="1" w:styleId="HeaderChar">
    <w:name w:val="Header Char"/>
    <w:basedOn w:val="DefaultParagraphFont"/>
    <w:link w:val="Header"/>
    <w:uiPriority w:val="99"/>
    <w:rsid w:val="00136B17"/>
    <w:rPr>
      <w:shd w:val="clear" w:color="auto" w:fill="FFFFFF"/>
    </w:rPr>
  </w:style>
  <w:style w:type="paragraph" w:styleId="Footer">
    <w:name w:val="footer"/>
    <w:basedOn w:val="Normal"/>
    <w:link w:val="FooterChar"/>
    <w:uiPriority w:val="99"/>
    <w:unhideWhenUsed/>
    <w:rsid w:val="00136B17"/>
    <w:pPr>
      <w:tabs>
        <w:tab w:val="center" w:pos="4680"/>
        <w:tab w:val="right" w:pos="9360"/>
      </w:tabs>
      <w:spacing w:line="240" w:lineRule="auto"/>
    </w:pPr>
  </w:style>
  <w:style w:type="character" w:customStyle="1" w:styleId="FooterChar">
    <w:name w:val="Footer Char"/>
    <w:basedOn w:val="DefaultParagraphFont"/>
    <w:link w:val="Footer"/>
    <w:uiPriority w:val="99"/>
    <w:rsid w:val="00136B17"/>
    <w:rPr>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BC6BB-F204-4A07-9A49-069C56FA6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2534</Words>
  <Characters>14449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marius petraru</cp:lastModifiedBy>
  <cp:revision>2</cp:revision>
  <dcterms:created xsi:type="dcterms:W3CDTF">2023-02-11T17:46:00Z</dcterms:created>
  <dcterms:modified xsi:type="dcterms:W3CDTF">2023-02-11T17:46:00Z</dcterms:modified>
</cp:coreProperties>
</file>