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FFA679F" w14:textId="77777777" w:rsidR="000C2B4E" w:rsidRDefault="000C2B4E" w:rsidP="000C2B4E">
      <w:pPr>
        <w:pStyle w:val="Heading1"/>
        <w:rPr>
          <w:rFonts w:eastAsiaTheme="minorHAnsi"/>
        </w:rPr>
      </w:pPr>
    </w:p>
    <w:p w14:paraId="7C34F8D4" w14:textId="77777777" w:rsidR="000C2B4E" w:rsidRDefault="000C2B4E" w:rsidP="000C2B4E">
      <w:pPr>
        <w:pStyle w:val="Heading1"/>
        <w:rPr>
          <w:rFonts w:eastAsiaTheme="minorHAnsi"/>
        </w:rPr>
      </w:pPr>
    </w:p>
    <w:p w14:paraId="0AE1E161" w14:textId="24661B60" w:rsidR="000C2B4E" w:rsidRDefault="000C2B4E" w:rsidP="000C2B4E">
      <w:pPr>
        <w:pStyle w:val="Heading1"/>
        <w:spacing w:line="360" w:lineRule="auto"/>
        <w:rPr>
          <w:rFonts w:ascii="Arial" w:eastAsiaTheme="minorHAnsi" w:hAnsi="Arial" w:cs="Arial"/>
          <w:b/>
          <w:bCs w:val="0"/>
          <w:sz w:val="36"/>
          <w:szCs w:val="36"/>
        </w:rPr>
      </w:pPr>
      <w:r w:rsidRPr="000C2B4E">
        <w:rPr>
          <w:rFonts w:ascii="Arial" w:eastAsiaTheme="minorHAnsi" w:hAnsi="Arial" w:cs="Arial"/>
          <w:b/>
          <w:bCs w:val="0"/>
          <w:sz w:val="36"/>
          <w:szCs w:val="36"/>
        </w:rPr>
        <w:t xml:space="preserve">Comparison of the Financial Management of Marriott and Hilton </w:t>
      </w:r>
    </w:p>
    <w:p w14:paraId="69F1AF29" w14:textId="77777777" w:rsidR="000C2B4E" w:rsidRDefault="000C2B4E" w:rsidP="000C2B4E"/>
    <w:p w14:paraId="71A1807E" w14:textId="77777777" w:rsidR="000C2B4E" w:rsidRDefault="000C2B4E" w:rsidP="000C2B4E"/>
    <w:p w14:paraId="206434A5" w14:textId="77777777" w:rsidR="000C2B4E" w:rsidRDefault="000C2B4E" w:rsidP="000C2B4E"/>
    <w:p w14:paraId="3C83D591" w14:textId="77777777" w:rsidR="000C2B4E" w:rsidRDefault="000C2B4E" w:rsidP="000C2B4E"/>
    <w:p w14:paraId="5BBEF6E0" w14:textId="69FD766C" w:rsidR="000C2B4E" w:rsidRDefault="000C2B4E" w:rsidP="000C2B4E">
      <w:pPr>
        <w:rPr>
          <w:rFonts w:ascii="Arial" w:hAnsi="Arial" w:cs="Arial"/>
          <w:sz w:val="28"/>
          <w:szCs w:val="28"/>
        </w:rPr>
      </w:pPr>
      <w:r>
        <w:rPr>
          <w:rFonts w:ascii="Arial" w:hAnsi="Arial" w:cs="Arial"/>
          <w:sz w:val="28"/>
          <w:szCs w:val="28"/>
        </w:rPr>
        <w:t>Student name: Rodica Cornea</w:t>
      </w:r>
    </w:p>
    <w:p w14:paraId="26A14F1C" w14:textId="5A260DBE" w:rsidR="000C2B4E" w:rsidRDefault="000C2B4E" w:rsidP="000C2B4E">
      <w:pPr>
        <w:rPr>
          <w:rFonts w:ascii="Arial" w:hAnsi="Arial" w:cs="Arial"/>
          <w:sz w:val="28"/>
          <w:szCs w:val="28"/>
        </w:rPr>
      </w:pPr>
      <w:r>
        <w:rPr>
          <w:rFonts w:ascii="Arial" w:hAnsi="Arial" w:cs="Arial"/>
          <w:sz w:val="28"/>
          <w:szCs w:val="28"/>
        </w:rPr>
        <w:t xml:space="preserve">Student ID: </w:t>
      </w:r>
      <w:r w:rsidR="006F3841">
        <w:rPr>
          <w:rFonts w:ascii="Arial" w:hAnsi="Arial" w:cs="Arial"/>
          <w:sz w:val="28"/>
          <w:szCs w:val="28"/>
        </w:rPr>
        <w:t>2110386</w:t>
      </w:r>
    </w:p>
    <w:p w14:paraId="65DB8BFE" w14:textId="7D156C3D" w:rsidR="006F3841" w:rsidRDefault="006F3841" w:rsidP="000C2B4E">
      <w:pPr>
        <w:rPr>
          <w:rFonts w:ascii="Arial" w:hAnsi="Arial" w:cs="Arial"/>
          <w:sz w:val="28"/>
          <w:szCs w:val="28"/>
        </w:rPr>
      </w:pPr>
      <w:r>
        <w:rPr>
          <w:rFonts w:ascii="Arial" w:hAnsi="Arial" w:cs="Arial"/>
          <w:sz w:val="28"/>
          <w:szCs w:val="28"/>
        </w:rPr>
        <w:t>Module:</w:t>
      </w:r>
      <w:r w:rsidR="00D20197">
        <w:rPr>
          <w:rFonts w:ascii="Arial" w:hAnsi="Arial" w:cs="Arial"/>
          <w:sz w:val="28"/>
          <w:szCs w:val="28"/>
        </w:rPr>
        <w:t xml:space="preserve"> </w:t>
      </w:r>
      <w:r>
        <w:rPr>
          <w:rFonts w:ascii="Arial" w:hAnsi="Arial" w:cs="Arial"/>
          <w:sz w:val="28"/>
          <w:szCs w:val="28"/>
        </w:rPr>
        <w:t>Financial</w:t>
      </w:r>
      <w:r w:rsidR="00D20197">
        <w:rPr>
          <w:rFonts w:ascii="Arial" w:hAnsi="Arial" w:cs="Arial"/>
          <w:sz w:val="28"/>
          <w:szCs w:val="28"/>
        </w:rPr>
        <w:t xml:space="preserve"> Management</w:t>
      </w:r>
      <w:r w:rsidR="00233A6E">
        <w:rPr>
          <w:rFonts w:ascii="Arial" w:hAnsi="Arial" w:cs="Arial"/>
          <w:sz w:val="28"/>
          <w:szCs w:val="28"/>
        </w:rPr>
        <w:t xml:space="preserve"> for the Hotel Industry</w:t>
      </w:r>
      <w:r w:rsidR="00ED430B">
        <w:rPr>
          <w:rFonts w:ascii="Arial" w:hAnsi="Arial" w:cs="Arial"/>
          <w:sz w:val="28"/>
          <w:szCs w:val="28"/>
        </w:rPr>
        <w:t>(BMIH</w:t>
      </w:r>
      <w:r w:rsidR="0093052D">
        <w:rPr>
          <w:rFonts w:ascii="Arial" w:hAnsi="Arial" w:cs="Arial"/>
          <w:sz w:val="28"/>
          <w:szCs w:val="28"/>
        </w:rPr>
        <w:t>5007)</w:t>
      </w:r>
    </w:p>
    <w:p w14:paraId="625984BF" w14:textId="6F71D5A5" w:rsidR="006F3841" w:rsidRDefault="006F3841" w:rsidP="000C2B4E">
      <w:pPr>
        <w:rPr>
          <w:rFonts w:ascii="Arial" w:hAnsi="Arial" w:cs="Arial"/>
          <w:sz w:val="28"/>
          <w:szCs w:val="28"/>
        </w:rPr>
      </w:pPr>
      <w:r>
        <w:rPr>
          <w:rFonts w:ascii="Arial" w:hAnsi="Arial" w:cs="Arial"/>
          <w:sz w:val="28"/>
          <w:szCs w:val="28"/>
        </w:rPr>
        <w:t>Lecturer:</w:t>
      </w:r>
      <w:r w:rsidR="00AE05FD">
        <w:rPr>
          <w:rFonts w:ascii="Arial" w:hAnsi="Arial" w:cs="Arial"/>
          <w:sz w:val="28"/>
          <w:szCs w:val="28"/>
        </w:rPr>
        <w:t xml:space="preserve"> </w:t>
      </w:r>
      <w:r w:rsidR="00601E39">
        <w:rPr>
          <w:rFonts w:ascii="Arial" w:hAnsi="Arial" w:cs="Arial"/>
          <w:sz w:val="28"/>
          <w:szCs w:val="28"/>
        </w:rPr>
        <w:t>C</w:t>
      </w:r>
      <w:r w:rsidR="008E065E">
        <w:rPr>
          <w:rFonts w:ascii="Arial" w:hAnsi="Arial" w:cs="Arial"/>
          <w:sz w:val="28"/>
          <w:szCs w:val="28"/>
        </w:rPr>
        <w:t>hristopher Wilkin</w:t>
      </w:r>
    </w:p>
    <w:p w14:paraId="0554FF97" w14:textId="77777777" w:rsidR="008E065E" w:rsidRDefault="008E065E" w:rsidP="000C2B4E">
      <w:pPr>
        <w:rPr>
          <w:rFonts w:ascii="Arial" w:hAnsi="Arial" w:cs="Arial"/>
          <w:sz w:val="28"/>
          <w:szCs w:val="28"/>
        </w:rPr>
      </w:pPr>
    </w:p>
    <w:p w14:paraId="6809F6AB" w14:textId="77777777" w:rsidR="008E065E" w:rsidRDefault="008E065E" w:rsidP="000C2B4E">
      <w:pPr>
        <w:rPr>
          <w:rFonts w:ascii="Arial" w:hAnsi="Arial" w:cs="Arial"/>
          <w:sz w:val="28"/>
          <w:szCs w:val="28"/>
        </w:rPr>
      </w:pPr>
    </w:p>
    <w:p w14:paraId="445235DD" w14:textId="77777777" w:rsidR="008E065E" w:rsidRDefault="008E065E" w:rsidP="000C2B4E">
      <w:pPr>
        <w:rPr>
          <w:rFonts w:ascii="Arial" w:hAnsi="Arial" w:cs="Arial"/>
          <w:sz w:val="28"/>
          <w:szCs w:val="28"/>
        </w:rPr>
      </w:pPr>
    </w:p>
    <w:p w14:paraId="2F94830A" w14:textId="77777777" w:rsidR="008E065E" w:rsidRDefault="008E065E" w:rsidP="000C2B4E">
      <w:pPr>
        <w:rPr>
          <w:rFonts w:ascii="Arial" w:hAnsi="Arial" w:cs="Arial"/>
          <w:sz w:val="28"/>
          <w:szCs w:val="28"/>
        </w:rPr>
      </w:pPr>
    </w:p>
    <w:p w14:paraId="49E95127" w14:textId="77777777" w:rsidR="008E065E" w:rsidRDefault="008E065E" w:rsidP="000C2B4E">
      <w:pPr>
        <w:rPr>
          <w:rFonts w:ascii="Arial" w:hAnsi="Arial" w:cs="Arial"/>
          <w:sz w:val="28"/>
          <w:szCs w:val="28"/>
        </w:rPr>
      </w:pPr>
    </w:p>
    <w:p w14:paraId="6E21EE54" w14:textId="77777777" w:rsidR="008E065E" w:rsidRDefault="008E065E" w:rsidP="000C2B4E">
      <w:pPr>
        <w:rPr>
          <w:rFonts w:ascii="Arial" w:hAnsi="Arial" w:cs="Arial"/>
          <w:sz w:val="28"/>
          <w:szCs w:val="28"/>
        </w:rPr>
      </w:pPr>
    </w:p>
    <w:p w14:paraId="55851270" w14:textId="77777777" w:rsidR="008E065E" w:rsidRDefault="008E065E" w:rsidP="000C2B4E">
      <w:pPr>
        <w:rPr>
          <w:rFonts w:ascii="Arial" w:hAnsi="Arial" w:cs="Arial"/>
          <w:sz w:val="28"/>
          <w:szCs w:val="28"/>
        </w:rPr>
      </w:pPr>
    </w:p>
    <w:p w14:paraId="2CAD691B" w14:textId="77777777" w:rsidR="008E065E" w:rsidRDefault="008E065E" w:rsidP="000C2B4E">
      <w:pPr>
        <w:rPr>
          <w:rFonts w:ascii="Arial" w:hAnsi="Arial" w:cs="Arial"/>
          <w:sz w:val="28"/>
          <w:szCs w:val="28"/>
        </w:rPr>
      </w:pPr>
    </w:p>
    <w:p w14:paraId="5FFF817F" w14:textId="77777777" w:rsidR="008E065E" w:rsidRDefault="008E065E" w:rsidP="000C2B4E">
      <w:pPr>
        <w:rPr>
          <w:rFonts w:ascii="Arial" w:hAnsi="Arial" w:cs="Arial"/>
          <w:sz w:val="28"/>
          <w:szCs w:val="28"/>
        </w:rPr>
      </w:pPr>
    </w:p>
    <w:p w14:paraId="76A0D977" w14:textId="77777777" w:rsidR="008E065E" w:rsidRDefault="008E065E" w:rsidP="000C2B4E">
      <w:pPr>
        <w:rPr>
          <w:rFonts w:ascii="Arial" w:hAnsi="Arial" w:cs="Arial"/>
          <w:sz w:val="28"/>
          <w:szCs w:val="28"/>
        </w:rPr>
      </w:pPr>
    </w:p>
    <w:p w14:paraId="541DB9B1" w14:textId="77777777" w:rsidR="008E065E" w:rsidRDefault="008E065E" w:rsidP="000C2B4E">
      <w:pPr>
        <w:rPr>
          <w:rFonts w:ascii="Arial" w:hAnsi="Arial" w:cs="Arial"/>
          <w:sz w:val="28"/>
          <w:szCs w:val="28"/>
        </w:rPr>
      </w:pPr>
    </w:p>
    <w:p w14:paraId="5590EBFB" w14:textId="77777777" w:rsidR="008E065E" w:rsidRDefault="008E065E" w:rsidP="000C2B4E">
      <w:pPr>
        <w:rPr>
          <w:rFonts w:ascii="Arial" w:hAnsi="Arial" w:cs="Arial"/>
          <w:sz w:val="28"/>
          <w:szCs w:val="28"/>
        </w:rPr>
      </w:pPr>
    </w:p>
    <w:p w14:paraId="7C8DC7C0" w14:textId="77777777" w:rsidR="008E065E" w:rsidRDefault="008E065E" w:rsidP="000C2B4E">
      <w:pPr>
        <w:rPr>
          <w:rFonts w:ascii="Arial" w:hAnsi="Arial" w:cs="Arial"/>
          <w:sz w:val="28"/>
          <w:szCs w:val="28"/>
        </w:rPr>
      </w:pPr>
    </w:p>
    <w:p w14:paraId="216DAFBD" w14:textId="77777777" w:rsidR="006A6D28" w:rsidRDefault="006A6D28" w:rsidP="006A6D28">
      <w:pPr>
        <w:pStyle w:val="Heading1"/>
        <w:spacing w:line="360" w:lineRule="auto"/>
        <w:rPr>
          <w:rFonts w:eastAsiaTheme="minorHAnsi"/>
        </w:rPr>
      </w:pPr>
      <w:r w:rsidRPr="006A6D28">
        <w:rPr>
          <w:rFonts w:ascii="Arial" w:eastAsiaTheme="minorHAnsi" w:hAnsi="Arial" w:cs="Arial"/>
          <w:b/>
          <w:bCs w:val="0"/>
        </w:rPr>
        <w:lastRenderedPageBreak/>
        <w:t>Introduction</w:t>
      </w:r>
      <w:r>
        <w:rPr>
          <w:rFonts w:eastAsiaTheme="minorHAnsi"/>
        </w:rPr>
        <w:t xml:space="preserve"> </w:t>
      </w:r>
    </w:p>
    <w:p w14:paraId="68374BD2" w14:textId="77777777" w:rsidR="006A6D28" w:rsidRDefault="006A6D28" w:rsidP="006A6D28"/>
    <w:p w14:paraId="556B3F11" w14:textId="77777777" w:rsidR="009105DD" w:rsidRPr="009105DD" w:rsidRDefault="009105DD" w:rsidP="009105DD">
      <w:pPr>
        <w:spacing w:line="360" w:lineRule="auto"/>
        <w:ind w:firstLine="720"/>
        <w:jc w:val="both"/>
        <w:rPr>
          <w:rFonts w:ascii="Arial" w:hAnsi="Arial" w:cs="Arial"/>
          <w:sz w:val="24"/>
          <w:szCs w:val="24"/>
        </w:rPr>
      </w:pPr>
      <w:r w:rsidRPr="009105DD">
        <w:rPr>
          <w:rFonts w:ascii="Arial" w:hAnsi="Arial" w:cs="Arial"/>
          <w:sz w:val="24"/>
          <w:szCs w:val="24"/>
        </w:rPr>
        <w:t xml:space="preserve">Financial management is the process through which an organisation examines the money it has made and allocates these funds to a wide range of tasks. The company can cover its expenses and invest in its current and future ventures through financial management. For instance, the company can use part of the revenue it generates in capital investments, which involve purchasing equipment and plants that can then be used for manufacturing and other production-related tasks </w:t>
      </w:r>
      <w:r w:rsidRPr="009105DD">
        <w:rPr>
          <w:rFonts w:ascii="Arial" w:hAnsi="Arial" w:cs="Arial"/>
          <w:sz w:val="24"/>
          <w:szCs w:val="24"/>
        </w:rPr>
        <w:fldChar w:fldCharType="begin" w:fldLock="1"/>
      </w:r>
      <w:r w:rsidRPr="009105DD">
        <w:rPr>
          <w:rFonts w:ascii="Arial" w:hAnsi="Arial" w:cs="Arial"/>
          <w:sz w:val="24"/>
          <w:szCs w:val="24"/>
        </w:rPr>
        <w:instrText>ADDIN CSL_CITATION {"citationItems":[{"id":"ITEM-1","itemData":{"DOI":"10.1016/j.spc.2020.10.015","ISSN":"23525509","abstract":"Discovering the motivations behind the adoption of green production practices and its impact on firm performance from the perspective of Small and Medium-sized Enterprises (SMEs) have become crucial for both scholars and practitioners. However, there exists a substantial unexplored research gap regarding how stakeholder pressures motivate and influence the adoption of green production practices and the performance of SMEs in the context of developing countries. Drawing on the institutional theory, stakeholder theory and the natural resource-based view, this study explores the framework through which organizational and regulatory stakeholder pressures influence the adoption of green production practices, firm reputation, environmental and financial performance. The study employed a quantitative approach and partial least square structural equation modelling technique in making data analysis and interpretations due to its appropriateness for predictive research models. Using a survey research design, data were collected from owners and managers of manufacturing SMEs. The findings revealed that whiles regulatory stakeholder pressures positively and significantly influenced the adoption of green production practices, firm reputation, financial and environmental performance, organizational stakeholder pressures positively and significantly influenced the adoption of green production practices, firm reputation, and environmental performance. Green production practices also proved significant and positive in influencing firm reputation and environmental performance. The findings particularly exposed that organizational stakeholder pressures and green production practices had a negative yet significant influence on financial performance. The study highlights the significance of stakeholder pressures in making green production initiatives mandatory for organizational growth while also guiding policymakers, managers and scholars.","author":[{"dropping-particle":"","family":"Baah","given":"Charles","non-dropping-particle":"","parse-names":false,"suffix":""},{"dropping-particle":"","family":"Opoku-Agyeman","given":"Douglas","non-dropping-particle":"","parse-names":false,"suffix":""},{"dropping-particle":"","family":"Acquah","given":"Innocent Senyo Kwasi","non-dropping-particle":"","parse-names":false,"suffix":""},{"dropping-particle":"","family":"Agyabeng-Mensah","given":"Yaw","non-dropping-particle":"","parse-names":false,"suffix":""},{"dropping-particle":"","family":"Afum","given":"Ebenezer","non-dropping-particle":"","parse-names":false,"suffix":""},{"dropping-particle":"","family":"Faibil","given":"Daniel","non-dropping-particle":"","parse-names":false,"suffix":""},{"dropping-particle":"","family":"Abdoulaye","given":"Farid Abdel Moro","non-dropping-particle":"","parse-names":false,"suffix":""}],"container-title":"Sustainable Production and Consumption","id":"ITEM-1","issued":{"date-parts":[["2021"]]},"page":"100-114","publisher":"Elsevier","title":"Examining the correlations between stakeholder pressures, green production practices, firm reputation, environmental and financial performance: Evidence from manufacturing SMEs","type":"article-journal","volume":"27"},"uris":["http://www.mendeley.com/documents/?uuid=faabc17e-642e-47e3-a402-8348ae33b8d2"]}],"mendeley":{"formattedCitation":"(Baah et al. 2021)","plainTextFormattedCitation":"(Baah et al. 2021)","previouslyFormattedCitation":"(Baah et al. 2021)"},"properties":{"noteIndex":0},"schema":"https://github.com/citation-style-language/schema/raw/master/csl-citation.json"}</w:instrText>
      </w:r>
      <w:r w:rsidRPr="009105DD">
        <w:rPr>
          <w:rFonts w:ascii="Arial" w:hAnsi="Arial" w:cs="Arial"/>
          <w:sz w:val="24"/>
          <w:szCs w:val="24"/>
        </w:rPr>
        <w:fldChar w:fldCharType="separate"/>
      </w:r>
      <w:r w:rsidRPr="009105DD">
        <w:rPr>
          <w:rFonts w:ascii="Arial" w:hAnsi="Arial" w:cs="Arial"/>
          <w:noProof/>
          <w:sz w:val="24"/>
          <w:szCs w:val="24"/>
        </w:rPr>
        <w:t>(Baah et al. 2021)</w:t>
      </w:r>
      <w:r w:rsidRPr="009105DD">
        <w:rPr>
          <w:rFonts w:ascii="Arial" w:hAnsi="Arial" w:cs="Arial"/>
          <w:sz w:val="24"/>
          <w:szCs w:val="24"/>
        </w:rPr>
        <w:fldChar w:fldCharType="end"/>
      </w:r>
      <w:r w:rsidRPr="009105DD">
        <w:rPr>
          <w:rFonts w:ascii="Arial" w:hAnsi="Arial" w:cs="Arial"/>
          <w:sz w:val="24"/>
          <w:szCs w:val="24"/>
        </w:rPr>
        <w:t xml:space="preserve">. Companies with sound financial management strategies balance current and future profitability to protect their interests and the interests of their various stakeholders. The company can use the money it makes to improve its service delivery so that it can attract more customers in the future and secure its future profitability </w:t>
      </w:r>
      <w:r w:rsidRPr="009105DD">
        <w:rPr>
          <w:rFonts w:ascii="Arial" w:hAnsi="Arial" w:cs="Arial"/>
          <w:sz w:val="24"/>
          <w:szCs w:val="24"/>
        </w:rPr>
        <w:fldChar w:fldCharType="begin" w:fldLock="1"/>
      </w:r>
      <w:r w:rsidRPr="009105DD">
        <w:rPr>
          <w:rFonts w:ascii="Arial" w:hAnsi="Arial" w:cs="Arial"/>
          <w:sz w:val="24"/>
          <w:szCs w:val="24"/>
        </w:rPr>
        <w:instrText>ADDIN CSL_CITATION {"citationItems":[{"id":"ITEM-1","itemData":{"DOI":"10.13106/jafeb.2020.vol7.no1.47","ISSN":"22884645","abstract":"The research aims to investigate the determinants of the financial performance of 1343 Vietnamese companies categorized into six different industries listed on the Vietnamese Stock Exchange over a four-year period from 2014 to 2017 using STATA software. Thosedeterminants include firm size, liquidity, solvency, financial leverage, and financial adequacy while the financial performance is evaluated by three different ratios: return on assets (ROA), return on equity (ROE), and return on sales (ROS). The research results from these companies during the given period indicate that: (1) Firm size has a positive impact on both ROA and ROS, especially ROA but it has the opposite effect on ROE, (2) Adequacy ratio impacts positively on ROA and ROS but negatively on ROE, (3) Financial leverage considerably negative influences on ROE and ROS but positively impacts on ROA, (4) Liquidity has a positive effect on both ROA and ROE but a negative one on ROS and (5) Solvency has a positive impact on ROA and ROS but the negative impact on ROE. Furthermore, agriculture accounted for the highest percentage of profitability at the beginning, which was replaced by service for ROA but manufacture for ROE from 2016 to 2017 as opposed to the least in transportation.","author":[{"dropping-particle":"","family":"Nguyen","given":"Thi Ngoc Lan","non-dropping-particle":"","parse-names":false,"suffix":""},{"dropping-particle":"","family":"Nguyen","given":"Van Cong","non-dropping-particle":"","parse-names":false,"suffix":""}],"container-title":"Journal of Asian Finance, Economics and Business","id":"ITEM-1","issue":"1","issued":{"date-parts":[["2020"]]},"page":"47-58","publisher":"Korea Distribution Science Association","title":"The determinants of profitability in listed enterprises: A study from vietnamese stock exchange","type":"article-journal","volume":"7"},"uris":["http://www.mendeley.com/documents/?uuid=2fb1ccb3-5ffd-4019-9c75-e4cc0c0fd4df"]}],"mendeley":{"formattedCitation":"(Nguyen and Nguyen 2020)","plainTextFormattedCitation":"(Nguyen and Nguyen 2020)","previouslyFormattedCitation":"(Nguyen &amp; Nguyen 2020)"},"properties":{"noteIndex":0},"schema":"https://github.com/citation-style-language/schema/raw/master/csl-citation.json"}</w:instrText>
      </w:r>
      <w:r w:rsidRPr="009105DD">
        <w:rPr>
          <w:rFonts w:ascii="Arial" w:hAnsi="Arial" w:cs="Arial"/>
          <w:sz w:val="24"/>
          <w:szCs w:val="24"/>
        </w:rPr>
        <w:fldChar w:fldCharType="separate"/>
      </w:r>
      <w:r w:rsidRPr="009105DD">
        <w:rPr>
          <w:rFonts w:ascii="Arial" w:hAnsi="Arial" w:cs="Arial"/>
          <w:noProof/>
          <w:sz w:val="24"/>
          <w:szCs w:val="24"/>
        </w:rPr>
        <w:t>(Nguyen and Nguyen 2020)</w:t>
      </w:r>
      <w:r w:rsidRPr="009105DD">
        <w:rPr>
          <w:rFonts w:ascii="Arial" w:hAnsi="Arial" w:cs="Arial"/>
          <w:sz w:val="24"/>
          <w:szCs w:val="24"/>
        </w:rPr>
        <w:fldChar w:fldCharType="end"/>
      </w:r>
      <w:r w:rsidRPr="009105DD">
        <w:rPr>
          <w:rFonts w:ascii="Arial" w:hAnsi="Arial" w:cs="Arial"/>
          <w:sz w:val="24"/>
          <w:szCs w:val="24"/>
        </w:rPr>
        <w:t xml:space="preserve">. Without sound financial management strategies, companies would be unable to continue their success in the future as then they would be unable to plan their resources accordingly. In the hospitality industry, the margins tend to be very narrow, necessitating companies to invest their time, effort, and resources into managing their finances. The industry is highly competitive and volatile, which means that companies with an excellent balance in their financial management tend to be more capable of handling their future success. </w:t>
      </w:r>
    </w:p>
    <w:p w14:paraId="0E5F541C" w14:textId="3EA8923F" w:rsidR="009105DD" w:rsidRDefault="009105DD" w:rsidP="009105DD">
      <w:pPr>
        <w:spacing w:line="360" w:lineRule="auto"/>
        <w:ind w:firstLine="720"/>
        <w:jc w:val="both"/>
        <w:rPr>
          <w:rFonts w:ascii="Arial" w:hAnsi="Arial" w:cs="Arial"/>
          <w:sz w:val="24"/>
          <w:szCs w:val="24"/>
        </w:rPr>
      </w:pPr>
      <w:r w:rsidRPr="009105DD">
        <w:rPr>
          <w:rFonts w:ascii="Arial" w:hAnsi="Arial" w:cs="Arial"/>
          <w:sz w:val="24"/>
          <w:szCs w:val="24"/>
        </w:rPr>
        <w:t xml:space="preserve">Marriott International and Hilton Worldwide are two of the largest and most popular hotel companies in the world, each having operations in countries across the world. In addition to their long and complex histories, the two companies have many hotel brands from which customers can choose depending on their preferences. Marriott was founded by Willard and Alice Marriott in 1927, with the first hotel being the twin bridges Marriott motor hotel in Washington, DC. Today the Marriott brand has grown to include more than 7,100 properties operating in more than 130 countries and territories across the world </w:t>
      </w:r>
      <w:r w:rsidRPr="009105DD">
        <w:rPr>
          <w:rFonts w:ascii="Arial" w:hAnsi="Arial" w:cs="Arial"/>
          <w:sz w:val="24"/>
          <w:szCs w:val="24"/>
        </w:rPr>
        <w:fldChar w:fldCharType="begin" w:fldLock="1"/>
      </w:r>
      <w:r w:rsidRPr="009105DD">
        <w:rPr>
          <w:rFonts w:ascii="Arial" w:hAnsi="Arial" w:cs="Arial"/>
          <w:sz w:val="24"/>
          <w:szCs w:val="24"/>
        </w:rPr>
        <w:instrText>ADDIN CSL_CITATION {"citationItems":[{"id":"ITEM-1","itemData":{"author":[{"dropping-particle":"","family":"Statista Research Department","given":"","non-dropping-particle":"","parse-names":false,"suffix":""}],"container-title":"Statista","id":"ITEM-1","issued":{"date-parts":[["2023"]]},"title":"Marriott hotels worldwide 2022","type":"article"},"uris":["http://www.mendeley.com/documents/?uuid=2a4f1d75-b1cd-405d-b6e1-743cbedd6be9"]}],"mendeley":{"formattedCitation":"(Statista Research Department 2023b)","plainTextFormattedCitation":"(Statista Research Department 2023b)","previouslyFormattedCitation":"(Statista Research Department 2023a)"},"properties":{"noteIndex":0},"schema":"https://github.com/citation-style-language/schema/raw/master/csl-citation.json"}</w:instrText>
      </w:r>
      <w:r w:rsidRPr="009105DD">
        <w:rPr>
          <w:rFonts w:ascii="Arial" w:hAnsi="Arial" w:cs="Arial"/>
          <w:sz w:val="24"/>
          <w:szCs w:val="24"/>
        </w:rPr>
        <w:fldChar w:fldCharType="separate"/>
      </w:r>
      <w:r w:rsidRPr="009105DD">
        <w:rPr>
          <w:rFonts w:ascii="Arial" w:hAnsi="Arial" w:cs="Arial"/>
          <w:noProof/>
          <w:sz w:val="24"/>
          <w:szCs w:val="24"/>
        </w:rPr>
        <w:t>(Statista Research Department 2023b)</w:t>
      </w:r>
      <w:r w:rsidRPr="009105DD">
        <w:rPr>
          <w:rFonts w:ascii="Arial" w:hAnsi="Arial" w:cs="Arial"/>
          <w:sz w:val="24"/>
          <w:szCs w:val="24"/>
        </w:rPr>
        <w:fldChar w:fldCharType="end"/>
      </w:r>
      <w:r w:rsidRPr="009105DD">
        <w:rPr>
          <w:rFonts w:ascii="Arial" w:hAnsi="Arial" w:cs="Arial"/>
          <w:sz w:val="24"/>
          <w:szCs w:val="24"/>
        </w:rPr>
        <w:t xml:space="preserve">. The company has a varied portfolio, including many luxury brands like JW Marriott and Ritz-Carlton and its affordable options like the Fairfield Inn &amp; Suites and Courtyard by Marriott. Hilton Worldwide was founded by Conrad Hilton in 1919, and its first hotel was the Mobley Hotel, located in Cisco, Texas. The hotel has grown rapidly to operate in more than 120 countries and territories and has more than </w:t>
      </w:r>
      <w:r w:rsidRPr="009105DD">
        <w:rPr>
          <w:rFonts w:ascii="Arial" w:hAnsi="Arial" w:cs="Arial"/>
          <w:sz w:val="24"/>
          <w:szCs w:val="24"/>
        </w:rPr>
        <w:lastRenderedPageBreak/>
        <w:t xml:space="preserve">7,100 varied properties </w:t>
      </w:r>
      <w:r w:rsidRPr="009105DD">
        <w:rPr>
          <w:rFonts w:ascii="Arial" w:hAnsi="Arial" w:cs="Arial"/>
          <w:sz w:val="24"/>
          <w:szCs w:val="24"/>
        </w:rPr>
        <w:fldChar w:fldCharType="begin" w:fldLock="1"/>
      </w:r>
      <w:r w:rsidRPr="009105DD">
        <w:rPr>
          <w:rFonts w:ascii="Arial" w:hAnsi="Arial" w:cs="Arial"/>
          <w:sz w:val="24"/>
          <w:szCs w:val="24"/>
        </w:rPr>
        <w:instrText>ADDIN CSL_CITATION {"citationItems":[{"id":"ITEM-1","itemData":{"author":[{"dropping-particle":"","family":"Hilton","given":"","non-dropping-particle":"","parse-names":false,"suffix":""}],"container-title":"Stories From Hilton","id":"ITEM-1","issued":{"date-parts":[["2023"]]},"title":"Hilton Media Kit","type":"article"},"uris":["http://www.mendeley.com/documents/?uuid=7d07c076-5047-42f5-9165-879adab17d26"]}],"mendeley":{"formattedCitation":"(Hilton 2023b)","plainTextFormattedCitation":"(Hilton 2023b)","previouslyFormattedCitation":"(Hilton 2023a)"},"properties":{"noteIndex":0},"schema":"https://github.com/citation-style-language/schema/raw/master/csl-citation.json"}</w:instrText>
      </w:r>
      <w:r w:rsidRPr="009105DD">
        <w:rPr>
          <w:rFonts w:ascii="Arial" w:hAnsi="Arial" w:cs="Arial"/>
          <w:sz w:val="24"/>
          <w:szCs w:val="24"/>
        </w:rPr>
        <w:fldChar w:fldCharType="separate"/>
      </w:r>
      <w:r w:rsidRPr="009105DD">
        <w:rPr>
          <w:rFonts w:ascii="Arial" w:hAnsi="Arial" w:cs="Arial"/>
          <w:noProof/>
          <w:sz w:val="24"/>
          <w:szCs w:val="24"/>
        </w:rPr>
        <w:t>(Hilton 2023b)</w:t>
      </w:r>
      <w:r w:rsidRPr="009105DD">
        <w:rPr>
          <w:rFonts w:ascii="Arial" w:hAnsi="Arial" w:cs="Arial"/>
          <w:sz w:val="24"/>
          <w:szCs w:val="24"/>
        </w:rPr>
        <w:fldChar w:fldCharType="end"/>
      </w:r>
      <w:r w:rsidRPr="009105DD">
        <w:rPr>
          <w:rFonts w:ascii="Arial" w:hAnsi="Arial" w:cs="Arial"/>
          <w:sz w:val="24"/>
          <w:szCs w:val="24"/>
        </w:rPr>
        <w:t xml:space="preserve">. The portfolio of Hilton includes luxury brands like Conrad and Waldorf Astoria, as well as the affordable options it offers, like Hilton Garden Inn and Hampton Inn. Both hotels have many services and enmities for their guests, including business centers, fitness centers, Wi-Fi, and other benefits like loyalty programs. The hotels operate as publicly traded companies on the New York stock exchange, highlighting the importance of their financial management. </w:t>
      </w:r>
    </w:p>
    <w:p w14:paraId="5E0F0379" w14:textId="77777777" w:rsidR="009105DD" w:rsidRPr="002F632F" w:rsidRDefault="009105DD" w:rsidP="002F632F">
      <w:pPr>
        <w:spacing w:line="360" w:lineRule="auto"/>
        <w:ind w:firstLine="720"/>
        <w:jc w:val="both"/>
        <w:rPr>
          <w:rFonts w:ascii="Arial" w:hAnsi="Arial" w:cs="Arial"/>
          <w:b/>
          <w:sz w:val="24"/>
          <w:szCs w:val="24"/>
        </w:rPr>
      </w:pPr>
    </w:p>
    <w:p w14:paraId="023E0EEF" w14:textId="77777777" w:rsidR="002F632F" w:rsidRDefault="002F632F" w:rsidP="002F632F">
      <w:pPr>
        <w:pStyle w:val="Heading1"/>
        <w:spacing w:line="360" w:lineRule="auto"/>
        <w:rPr>
          <w:rFonts w:ascii="Arial" w:eastAsiaTheme="minorHAnsi" w:hAnsi="Arial" w:cs="Arial"/>
          <w:b/>
          <w:bCs w:val="0"/>
        </w:rPr>
      </w:pPr>
      <w:r w:rsidRPr="002F632F">
        <w:rPr>
          <w:rFonts w:ascii="Arial" w:eastAsiaTheme="minorHAnsi" w:hAnsi="Arial" w:cs="Arial"/>
          <w:b/>
          <w:bCs w:val="0"/>
        </w:rPr>
        <w:t xml:space="preserve">Summary of their Financial Management </w:t>
      </w:r>
    </w:p>
    <w:p w14:paraId="6F4FF3AA" w14:textId="77777777" w:rsidR="006E683C" w:rsidRDefault="006E683C" w:rsidP="006E683C"/>
    <w:tbl>
      <w:tblPr>
        <w:tblStyle w:val="TableGrid"/>
        <w:tblW w:w="0" w:type="auto"/>
        <w:tblInd w:w="0" w:type="dxa"/>
        <w:tblLook w:val="04A0" w:firstRow="1" w:lastRow="0" w:firstColumn="1" w:lastColumn="0" w:noHBand="0" w:noVBand="1"/>
      </w:tblPr>
      <w:tblGrid>
        <w:gridCol w:w="2357"/>
        <w:gridCol w:w="3535"/>
        <w:gridCol w:w="3458"/>
      </w:tblGrid>
      <w:tr w:rsidR="006E683C" w14:paraId="4CCA661F" w14:textId="77777777" w:rsidTr="006E683C">
        <w:tc>
          <w:tcPr>
            <w:tcW w:w="0" w:type="auto"/>
            <w:tcBorders>
              <w:top w:val="single" w:sz="4" w:space="0" w:color="auto"/>
              <w:left w:val="single" w:sz="4" w:space="0" w:color="auto"/>
              <w:bottom w:val="single" w:sz="4" w:space="0" w:color="auto"/>
              <w:right w:val="single" w:sz="4" w:space="0" w:color="auto"/>
            </w:tcBorders>
            <w:hideMark/>
          </w:tcPr>
          <w:p w14:paraId="6943A41C" w14:textId="77777777" w:rsidR="006E683C" w:rsidRPr="006E683C" w:rsidRDefault="006E683C">
            <w:pPr>
              <w:spacing w:line="360" w:lineRule="auto"/>
              <w:rPr>
                <w:rFonts w:ascii="Arial" w:hAnsi="Arial" w:cs="Arial"/>
                <w:b/>
                <w:bCs/>
                <w:sz w:val="24"/>
                <w:szCs w:val="24"/>
              </w:rPr>
            </w:pPr>
            <w:r w:rsidRPr="006E683C">
              <w:rPr>
                <w:rFonts w:ascii="Arial" w:hAnsi="Arial" w:cs="Arial"/>
                <w:b/>
                <w:bCs/>
                <w:sz w:val="24"/>
                <w:szCs w:val="24"/>
              </w:rPr>
              <w:t>Area</w:t>
            </w:r>
          </w:p>
        </w:tc>
        <w:tc>
          <w:tcPr>
            <w:tcW w:w="0" w:type="auto"/>
            <w:tcBorders>
              <w:top w:val="single" w:sz="4" w:space="0" w:color="auto"/>
              <w:left w:val="single" w:sz="4" w:space="0" w:color="auto"/>
              <w:bottom w:val="single" w:sz="4" w:space="0" w:color="auto"/>
              <w:right w:val="single" w:sz="4" w:space="0" w:color="auto"/>
            </w:tcBorders>
            <w:hideMark/>
          </w:tcPr>
          <w:p w14:paraId="62FBC0FA" w14:textId="77777777" w:rsidR="006E683C" w:rsidRPr="006E683C" w:rsidRDefault="006E683C">
            <w:pPr>
              <w:spacing w:line="360" w:lineRule="auto"/>
              <w:rPr>
                <w:rFonts w:ascii="Arial" w:hAnsi="Arial" w:cs="Arial"/>
                <w:b/>
                <w:bCs/>
                <w:sz w:val="24"/>
                <w:szCs w:val="24"/>
              </w:rPr>
            </w:pPr>
            <w:r w:rsidRPr="006E683C">
              <w:rPr>
                <w:rFonts w:ascii="Arial" w:hAnsi="Arial" w:cs="Arial"/>
                <w:b/>
                <w:bCs/>
                <w:sz w:val="24"/>
                <w:szCs w:val="24"/>
              </w:rPr>
              <w:t>Marriott</w:t>
            </w:r>
          </w:p>
        </w:tc>
        <w:tc>
          <w:tcPr>
            <w:tcW w:w="0" w:type="auto"/>
            <w:tcBorders>
              <w:top w:val="single" w:sz="4" w:space="0" w:color="auto"/>
              <w:left w:val="single" w:sz="4" w:space="0" w:color="auto"/>
              <w:bottom w:val="single" w:sz="4" w:space="0" w:color="auto"/>
              <w:right w:val="single" w:sz="4" w:space="0" w:color="auto"/>
            </w:tcBorders>
            <w:hideMark/>
          </w:tcPr>
          <w:p w14:paraId="6F272BDB" w14:textId="77777777" w:rsidR="006E683C" w:rsidRPr="006E683C" w:rsidRDefault="006E683C">
            <w:pPr>
              <w:spacing w:line="360" w:lineRule="auto"/>
              <w:rPr>
                <w:rFonts w:ascii="Arial" w:hAnsi="Arial" w:cs="Arial"/>
                <w:b/>
                <w:bCs/>
                <w:sz w:val="24"/>
                <w:szCs w:val="24"/>
              </w:rPr>
            </w:pPr>
            <w:r w:rsidRPr="006E683C">
              <w:rPr>
                <w:rFonts w:ascii="Arial" w:hAnsi="Arial" w:cs="Arial"/>
                <w:b/>
                <w:bCs/>
                <w:sz w:val="24"/>
                <w:szCs w:val="24"/>
              </w:rPr>
              <w:t>Hilton</w:t>
            </w:r>
          </w:p>
        </w:tc>
      </w:tr>
      <w:tr w:rsidR="006E683C" w14:paraId="5CEDACB3" w14:textId="77777777" w:rsidTr="006E683C">
        <w:tc>
          <w:tcPr>
            <w:tcW w:w="0" w:type="auto"/>
            <w:tcBorders>
              <w:top w:val="single" w:sz="4" w:space="0" w:color="auto"/>
              <w:left w:val="single" w:sz="4" w:space="0" w:color="auto"/>
              <w:bottom w:val="single" w:sz="4" w:space="0" w:color="auto"/>
              <w:right w:val="single" w:sz="4" w:space="0" w:color="auto"/>
            </w:tcBorders>
            <w:hideMark/>
          </w:tcPr>
          <w:p w14:paraId="0BBC8CF4" w14:textId="77777777" w:rsidR="006E683C" w:rsidRPr="006E683C" w:rsidRDefault="006E683C" w:rsidP="009F7613">
            <w:pPr>
              <w:spacing w:line="360" w:lineRule="auto"/>
              <w:jc w:val="both"/>
              <w:rPr>
                <w:rFonts w:ascii="Arial" w:hAnsi="Arial" w:cs="Arial"/>
                <w:b/>
                <w:bCs/>
                <w:sz w:val="24"/>
                <w:szCs w:val="24"/>
              </w:rPr>
            </w:pPr>
            <w:r w:rsidRPr="006E683C">
              <w:rPr>
                <w:rFonts w:ascii="Arial" w:hAnsi="Arial" w:cs="Arial"/>
                <w:b/>
                <w:bCs/>
                <w:sz w:val="24"/>
                <w:szCs w:val="24"/>
              </w:rPr>
              <w:t>Total revenue</w:t>
            </w:r>
          </w:p>
        </w:tc>
        <w:tc>
          <w:tcPr>
            <w:tcW w:w="0" w:type="auto"/>
            <w:tcBorders>
              <w:top w:val="single" w:sz="4" w:space="0" w:color="auto"/>
              <w:left w:val="single" w:sz="4" w:space="0" w:color="auto"/>
              <w:bottom w:val="single" w:sz="4" w:space="0" w:color="auto"/>
              <w:right w:val="single" w:sz="4" w:space="0" w:color="auto"/>
            </w:tcBorders>
            <w:hideMark/>
          </w:tcPr>
          <w:p w14:paraId="5B783060" w14:textId="77777777" w:rsidR="006E683C" w:rsidRPr="009F7613" w:rsidRDefault="006E683C" w:rsidP="009F7613">
            <w:pPr>
              <w:spacing w:line="360" w:lineRule="auto"/>
              <w:jc w:val="both"/>
              <w:rPr>
                <w:rFonts w:ascii="Arial" w:hAnsi="Arial" w:cs="Arial"/>
                <w:sz w:val="24"/>
                <w:szCs w:val="24"/>
              </w:rPr>
            </w:pPr>
            <w:r w:rsidRPr="009F7613">
              <w:rPr>
                <w:rFonts w:ascii="Arial" w:hAnsi="Arial" w:cs="Arial"/>
                <w:sz w:val="24"/>
                <w:szCs w:val="24"/>
              </w:rPr>
              <w:t>$13.857 billion</w:t>
            </w:r>
          </w:p>
        </w:tc>
        <w:tc>
          <w:tcPr>
            <w:tcW w:w="0" w:type="auto"/>
            <w:tcBorders>
              <w:top w:val="single" w:sz="4" w:space="0" w:color="auto"/>
              <w:left w:val="single" w:sz="4" w:space="0" w:color="auto"/>
              <w:bottom w:val="single" w:sz="4" w:space="0" w:color="auto"/>
              <w:right w:val="single" w:sz="4" w:space="0" w:color="auto"/>
            </w:tcBorders>
            <w:hideMark/>
          </w:tcPr>
          <w:p w14:paraId="2CE4B482" w14:textId="77777777" w:rsidR="006E683C" w:rsidRPr="009F7613" w:rsidRDefault="006E683C" w:rsidP="009F7613">
            <w:pPr>
              <w:spacing w:line="360" w:lineRule="auto"/>
              <w:jc w:val="both"/>
              <w:rPr>
                <w:rFonts w:ascii="Arial" w:hAnsi="Arial" w:cs="Arial"/>
                <w:sz w:val="24"/>
                <w:szCs w:val="24"/>
              </w:rPr>
            </w:pPr>
            <w:r w:rsidRPr="009F7613">
              <w:rPr>
                <w:rFonts w:ascii="Arial" w:hAnsi="Arial" w:cs="Arial"/>
                <w:sz w:val="24"/>
                <w:szCs w:val="24"/>
              </w:rPr>
              <w:t>$5.788 billion</w:t>
            </w:r>
          </w:p>
        </w:tc>
      </w:tr>
      <w:tr w:rsidR="006E683C" w14:paraId="25BB637A" w14:textId="77777777" w:rsidTr="006E683C">
        <w:tc>
          <w:tcPr>
            <w:tcW w:w="0" w:type="auto"/>
            <w:tcBorders>
              <w:top w:val="single" w:sz="4" w:space="0" w:color="auto"/>
              <w:left w:val="single" w:sz="4" w:space="0" w:color="auto"/>
              <w:bottom w:val="single" w:sz="4" w:space="0" w:color="auto"/>
              <w:right w:val="single" w:sz="4" w:space="0" w:color="auto"/>
            </w:tcBorders>
            <w:hideMark/>
          </w:tcPr>
          <w:p w14:paraId="25074830" w14:textId="77777777" w:rsidR="006E683C" w:rsidRPr="006E683C" w:rsidRDefault="006E683C" w:rsidP="009F7613">
            <w:pPr>
              <w:spacing w:line="360" w:lineRule="auto"/>
              <w:jc w:val="both"/>
              <w:rPr>
                <w:rFonts w:ascii="Arial" w:hAnsi="Arial" w:cs="Arial"/>
                <w:b/>
                <w:bCs/>
                <w:sz w:val="24"/>
                <w:szCs w:val="24"/>
              </w:rPr>
            </w:pPr>
            <w:r w:rsidRPr="006E683C">
              <w:rPr>
                <w:rFonts w:ascii="Arial" w:hAnsi="Arial" w:cs="Arial"/>
                <w:b/>
                <w:bCs/>
                <w:sz w:val="24"/>
                <w:szCs w:val="24"/>
              </w:rPr>
              <w:t>Market position</w:t>
            </w:r>
          </w:p>
        </w:tc>
        <w:tc>
          <w:tcPr>
            <w:tcW w:w="0" w:type="auto"/>
            <w:tcBorders>
              <w:top w:val="single" w:sz="4" w:space="0" w:color="auto"/>
              <w:left w:val="single" w:sz="4" w:space="0" w:color="auto"/>
              <w:bottom w:val="single" w:sz="4" w:space="0" w:color="auto"/>
              <w:right w:val="single" w:sz="4" w:space="0" w:color="auto"/>
            </w:tcBorders>
            <w:hideMark/>
          </w:tcPr>
          <w:p w14:paraId="23692844" w14:textId="77777777" w:rsidR="006E683C" w:rsidRPr="009F7613" w:rsidRDefault="006E683C" w:rsidP="009F7613">
            <w:pPr>
              <w:spacing w:line="360" w:lineRule="auto"/>
              <w:jc w:val="both"/>
              <w:rPr>
                <w:rFonts w:ascii="Arial" w:hAnsi="Arial" w:cs="Arial"/>
                <w:sz w:val="24"/>
                <w:szCs w:val="24"/>
              </w:rPr>
            </w:pPr>
            <w:r w:rsidRPr="009F7613">
              <w:rPr>
                <w:rFonts w:ascii="Arial" w:hAnsi="Arial" w:cs="Arial"/>
                <w:sz w:val="24"/>
                <w:szCs w:val="24"/>
              </w:rPr>
              <w:t xml:space="preserve">Over 7,100 properties </w:t>
            </w:r>
          </w:p>
          <w:p w14:paraId="143A6F7B" w14:textId="77777777" w:rsidR="006E683C" w:rsidRPr="009F7613" w:rsidRDefault="006E683C" w:rsidP="009F7613">
            <w:pPr>
              <w:spacing w:line="360" w:lineRule="auto"/>
              <w:jc w:val="both"/>
              <w:rPr>
                <w:rFonts w:ascii="Arial" w:hAnsi="Arial" w:cs="Arial"/>
                <w:sz w:val="24"/>
                <w:szCs w:val="24"/>
              </w:rPr>
            </w:pPr>
            <w:r w:rsidRPr="009F7613">
              <w:rPr>
                <w:rFonts w:ascii="Arial" w:hAnsi="Arial" w:cs="Arial"/>
                <w:sz w:val="24"/>
                <w:szCs w:val="24"/>
              </w:rPr>
              <w:t xml:space="preserve">1.4 million rooms </w:t>
            </w:r>
          </w:p>
          <w:p w14:paraId="20D36CB2" w14:textId="77777777" w:rsidR="006E683C" w:rsidRPr="009F7613" w:rsidRDefault="006E683C" w:rsidP="009F7613">
            <w:pPr>
              <w:spacing w:line="360" w:lineRule="auto"/>
              <w:jc w:val="both"/>
              <w:rPr>
                <w:rFonts w:ascii="Arial" w:hAnsi="Arial" w:cs="Arial"/>
                <w:sz w:val="24"/>
                <w:szCs w:val="24"/>
              </w:rPr>
            </w:pPr>
            <w:r w:rsidRPr="009F7613">
              <w:rPr>
                <w:rFonts w:ascii="Arial" w:hAnsi="Arial" w:cs="Arial"/>
                <w:sz w:val="24"/>
                <w:szCs w:val="24"/>
              </w:rPr>
              <w:t>131 countries and territories</w:t>
            </w:r>
          </w:p>
        </w:tc>
        <w:tc>
          <w:tcPr>
            <w:tcW w:w="0" w:type="auto"/>
            <w:tcBorders>
              <w:top w:val="single" w:sz="4" w:space="0" w:color="auto"/>
              <w:left w:val="single" w:sz="4" w:space="0" w:color="auto"/>
              <w:bottom w:val="single" w:sz="4" w:space="0" w:color="auto"/>
              <w:right w:val="single" w:sz="4" w:space="0" w:color="auto"/>
            </w:tcBorders>
            <w:hideMark/>
          </w:tcPr>
          <w:p w14:paraId="69FDA62E" w14:textId="77777777" w:rsidR="006E683C" w:rsidRPr="009F7613" w:rsidRDefault="006E683C" w:rsidP="009F7613">
            <w:pPr>
              <w:spacing w:line="360" w:lineRule="auto"/>
              <w:jc w:val="both"/>
              <w:rPr>
                <w:rFonts w:ascii="Arial" w:hAnsi="Arial" w:cs="Arial"/>
                <w:sz w:val="24"/>
                <w:szCs w:val="24"/>
              </w:rPr>
            </w:pPr>
            <w:r w:rsidRPr="009F7613">
              <w:rPr>
                <w:rFonts w:ascii="Arial" w:hAnsi="Arial" w:cs="Arial"/>
                <w:sz w:val="24"/>
                <w:szCs w:val="24"/>
              </w:rPr>
              <w:t xml:space="preserve">Over 7,100 properties </w:t>
            </w:r>
          </w:p>
          <w:p w14:paraId="42DD116C" w14:textId="77777777" w:rsidR="006E683C" w:rsidRPr="009F7613" w:rsidRDefault="006E683C" w:rsidP="009F7613">
            <w:pPr>
              <w:spacing w:line="360" w:lineRule="auto"/>
              <w:jc w:val="both"/>
              <w:rPr>
                <w:rFonts w:ascii="Arial" w:hAnsi="Arial" w:cs="Arial"/>
                <w:sz w:val="24"/>
                <w:szCs w:val="24"/>
              </w:rPr>
            </w:pPr>
            <w:r w:rsidRPr="009F7613">
              <w:rPr>
                <w:rFonts w:ascii="Arial" w:hAnsi="Arial" w:cs="Arial"/>
                <w:sz w:val="24"/>
                <w:szCs w:val="24"/>
              </w:rPr>
              <w:t xml:space="preserve">1.1 million rooms </w:t>
            </w:r>
          </w:p>
          <w:p w14:paraId="35F2267D" w14:textId="77777777" w:rsidR="006E683C" w:rsidRPr="009F7613" w:rsidRDefault="006E683C" w:rsidP="009F7613">
            <w:pPr>
              <w:spacing w:line="360" w:lineRule="auto"/>
              <w:jc w:val="both"/>
              <w:rPr>
                <w:rFonts w:ascii="Arial" w:hAnsi="Arial" w:cs="Arial"/>
                <w:sz w:val="24"/>
                <w:szCs w:val="24"/>
              </w:rPr>
            </w:pPr>
            <w:r w:rsidRPr="009F7613">
              <w:rPr>
                <w:rFonts w:ascii="Arial" w:hAnsi="Arial" w:cs="Arial"/>
                <w:sz w:val="24"/>
                <w:szCs w:val="24"/>
              </w:rPr>
              <w:t>123 countries and territories</w:t>
            </w:r>
          </w:p>
        </w:tc>
      </w:tr>
      <w:tr w:rsidR="006E683C" w14:paraId="1D41FA09" w14:textId="77777777" w:rsidTr="006E683C">
        <w:tc>
          <w:tcPr>
            <w:tcW w:w="0" w:type="auto"/>
            <w:tcBorders>
              <w:top w:val="single" w:sz="4" w:space="0" w:color="auto"/>
              <w:left w:val="single" w:sz="4" w:space="0" w:color="auto"/>
              <w:bottom w:val="single" w:sz="4" w:space="0" w:color="auto"/>
              <w:right w:val="single" w:sz="4" w:space="0" w:color="auto"/>
            </w:tcBorders>
            <w:hideMark/>
          </w:tcPr>
          <w:p w14:paraId="20E3FF89" w14:textId="77777777" w:rsidR="006E683C" w:rsidRPr="006E683C" w:rsidRDefault="006E683C" w:rsidP="009F7613">
            <w:pPr>
              <w:spacing w:line="360" w:lineRule="auto"/>
              <w:jc w:val="both"/>
              <w:rPr>
                <w:rFonts w:ascii="Arial" w:hAnsi="Arial" w:cs="Arial"/>
                <w:b/>
                <w:bCs/>
                <w:sz w:val="24"/>
                <w:szCs w:val="24"/>
              </w:rPr>
            </w:pPr>
            <w:r w:rsidRPr="006E683C">
              <w:rPr>
                <w:rFonts w:ascii="Arial" w:hAnsi="Arial" w:cs="Arial"/>
                <w:b/>
                <w:bCs/>
                <w:sz w:val="24"/>
                <w:szCs w:val="24"/>
              </w:rPr>
              <w:t>Growth potential</w:t>
            </w:r>
          </w:p>
        </w:tc>
        <w:tc>
          <w:tcPr>
            <w:tcW w:w="0" w:type="auto"/>
            <w:tcBorders>
              <w:top w:val="single" w:sz="4" w:space="0" w:color="auto"/>
              <w:left w:val="single" w:sz="4" w:space="0" w:color="auto"/>
              <w:bottom w:val="single" w:sz="4" w:space="0" w:color="auto"/>
              <w:right w:val="single" w:sz="4" w:space="0" w:color="auto"/>
            </w:tcBorders>
            <w:hideMark/>
          </w:tcPr>
          <w:p w14:paraId="65CEF7CB" w14:textId="77777777" w:rsidR="006E683C" w:rsidRPr="009F7613" w:rsidRDefault="006E683C" w:rsidP="009F7613">
            <w:pPr>
              <w:spacing w:line="360" w:lineRule="auto"/>
              <w:jc w:val="both"/>
              <w:rPr>
                <w:rFonts w:ascii="Arial" w:hAnsi="Arial" w:cs="Arial"/>
                <w:sz w:val="24"/>
                <w:szCs w:val="24"/>
              </w:rPr>
            </w:pPr>
            <w:r w:rsidRPr="009F7613">
              <w:rPr>
                <w:rFonts w:ascii="Arial" w:hAnsi="Arial" w:cs="Arial"/>
                <w:sz w:val="24"/>
                <w:szCs w:val="24"/>
              </w:rPr>
              <w:t xml:space="preserve">2,831 properties </w:t>
            </w:r>
          </w:p>
          <w:p w14:paraId="50051C75" w14:textId="77777777" w:rsidR="006E683C" w:rsidRPr="009F7613" w:rsidRDefault="006E683C" w:rsidP="009F7613">
            <w:pPr>
              <w:spacing w:line="360" w:lineRule="auto"/>
              <w:jc w:val="both"/>
              <w:rPr>
                <w:rFonts w:ascii="Arial" w:hAnsi="Arial" w:cs="Arial"/>
                <w:sz w:val="24"/>
                <w:szCs w:val="24"/>
              </w:rPr>
            </w:pPr>
            <w:r w:rsidRPr="009F7613">
              <w:rPr>
                <w:rFonts w:ascii="Arial" w:hAnsi="Arial" w:cs="Arial"/>
                <w:sz w:val="24"/>
                <w:szCs w:val="24"/>
              </w:rPr>
              <w:t xml:space="preserve">roughly 485,000 rooms in development </w:t>
            </w:r>
          </w:p>
        </w:tc>
        <w:tc>
          <w:tcPr>
            <w:tcW w:w="0" w:type="auto"/>
            <w:tcBorders>
              <w:top w:val="single" w:sz="4" w:space="0" w:color="auto"/>
              <w:left w:val="single" w:sz="4" w:space="0" w:color="auto"/>
              <w:bottom w:val="single" w:sz="4" w:space="0" w:color="auto"/>
              <w:right w:val="single" w:sz="4" w:space="0" w:color="auto"/>
            </w:tcBorders>
            <w:hideMark/>
          </w:tcPr>
          <w:p w14:paraId="6F219C0D" w14:textId="77777777" w:rsidR="006E683C" w:rsidRPr="009F7613" w:rsidRDefault="006E683C" w:rsidP="009F7613">
            <w:pPr>
              <w:spacing w:line="360" w:lineRule="auto"/>
              <w:jc w:val="both"/>
              <w:rPr>
                <w:rFonts w:ascii="Arial" w:hAnsi="Arial" w:cs="Arial"/>
                <w:sz w:val="24"/>
                <w:szCs w:val="24"/>
              </w:rPr>
            </w:pPr>
            <w:r w:rsidRPr="009F7613">
              <w:rPr>
                <w:rFonts w:ascii="Arial" w:hAnsi="Arial" w:cs="Arial"/>
                <w:sz w:val="24"/>
                <w:szCs w:val="24"/>
              </w:rPr>
              <w:t xml:space="preserve">Over 2,600 hotels </w:t>
            </w:r>
          </w:p>
          <w:p w14:paraId="776C9FF9" w14:textId="77777777" w:rsidR="006E683C" w:rsidRPr="009F7613" w:rsidRDefault="006E683C" w:rsidP="009F7613">
            <w:pPr>
              <w:spacing w:line="360" w:lineRule="auto"/>
              <w:jc w:val="both"/>
              <w:rPr>
                <w:rFonts w:ascii="Arial" w:hAnsi="Arial" w:cs="Arial"/>
                <w:sz w:val="24"/>
                <w:szCs w:val="24"/>
              </w:rPr>
            </w:pPr>
            <w:r w:rsidRPr="009F7613">
              <w:rPr>
                <w:rFonts w:ascii="Arial" w:hAnsi="Arial" w:cs="Arial"/>
                <w:sz w:val="24"/>
                <w:szCs w:val="24"/>
              </w:rPr>
              <w:t xml:space="preserve">more than 415,000 rooms in development </w:t>
            </w:r>
          </w:p>
        </w:tc>
      </w:tr>
      <w:tr w:rsidR="006E683C" w14:paraId="20E567DA" w14:textId="77777777" w:rsidTr="006E683C">
        <w:tc>
          <w:tcPr>
            <w:tcW w:w="0" w:type="auto"/>
            <w:tcBorders>
              <w:top w:val="single" w:sz="4" w:space="0" w:color="auto"/>
              <w:left w:val="single" w:sz="4" w:space="0" w:color="auto"/>
              <w:bottom w:val="single" w:sz="4" w:space="0" w:color="auto"/>
              <w:right w:val="single" w:sz="4" w:space="0" w:color="auto"/>
            </w:tcBorders>
            <w:hideMark/>
          </w:tcPr>
          <w:p w14:paraId="0721F860" w14:textId="77777777" w:rsidR="006E683C" w:rsidRPr="006E683C" w:rsidRDefault="006E683C" w:rsidP="009F7613">
            <w:pPr>
              <w:spacing w:line="360" w:lineRule="auto"/>
              <w:jc w:val="both"/>
              <w:rPr>
                <w:rFonts w:ascii="Arial" w:hAnsi="Arial" w:cs="Arial"/>
                <w:b/>
                <w:bCs/>
                <w:sz w:val="24"/>
                <w:szCs w:val="24"/>
              </w:rPr>
            </w:pPr>
            <w:r w:rsidRPr="006E683C">
              <w:rPr>
                <w:rFonts w:ascii="Arial" w:hAnsi="Arial" w:cs="Arial"/>
                <w:b/>
                <w:bCs/>
                <w:sz w:val="24"/>
                <w:szCs w:val="24"/>
              </w:rPr>
              <w:t>Profitability</w:t>
            </w:r>
          </w:p>
        </w:tc>
        <w:tc>
          <w:tcPr>
            <w:tcW w:w="0" w:type="auto"/>
            <w:tcBorders>
              <w:top w:val="single" w:sz="4" w:space="0" w:color="auto"/>
              <w:left w:val="single" w:sz="4" w:space="0" w:color="auto"/>
              <w:bottom w:val="single" w:sz="4" w:space="0" w:color="auto"/>
              <w:right w:val="single" w:sz="4" w:space="0" w:color="auto"/>
            </w:tcBorders>
            <w:hideMark/>
          </w:tcPr>
          <w:p w14:paraId="3D422AD4" w14:textId="77777777" w:rsidR="006E683C" w:rsidRPr="009F7613" w:rsidRDefault="006E683C" w:rsidP="009F7613">
            <w:pPr>
              <w:spacing w:line="360" w:lineRule="auto"/>
              <w:jc w:val="both"/>
              <w:rPr>
                <w:rFonts w:ascii="Arial" w:hAnsi="Arial" w:cs="Arial"/>
                <w:sz w:val="24"/>
                <w:szCs w:val="24"/>
              </w:rPr>
            </w:pPr>
            <w:r w:rsidRPr="009F7613">
              <w:rPr>
                <w:rFonts w:ascii="Arial" w:hAnsi="Arial" w:cs="Arial"/>
                <w:sz w:val="24"/>
                <w:szCs w:val="24"/>
              </w:rPr>
              <w:t xml:space="preserve">Net income: $1.099 billion </w:t>
            </w:r>
          </w:p>
          <w:p w14:paraId="2E71EA72" w14:textId="77777777" w:rsidR="006E683C" w:rsidRPr="009F7613" w:rsidRDefault="006E683C" w:rsidP="009F7613">
            <w:pPr>
              <w:spacing w:line="360" w:lineRule="auto"/>
              <w:jc w:val="both"/>
              <w:rPr>
                <w:rFonts w:ascii="Arial" w:hAnsi="Arial" w:cs="Arial"/>
                <w:sz w:val="24"/>
                <w:szCs w:val="24"/>
              </w:rPr>
            </w:pPr>
            <w:r w:rsidRPr="009F7613">
              <w:rPr>
                <w:rFonts w:ascii="Arial" w:hAnsi="Arial" w:cs="Arial"/>
                <w:sz w:val="24"/>
                <w:szCs w:val="24"/>
              </w:rPr>
              <w:t xml:space="preserve">EPS: $4.53 </w:t>
            </w:r>
          </w:p>
          <w:p w14:paraId="633BF2AD" w14:textId="77777777" w:rsidR="006E683C" w:rsidRPr="009F7613" w:rsidRDefault="006E683C" w:rsidP="009F7613">
            <w:pPr>
              <w:spacing w:line="360" w:lineRule="auto"/>
              <w:jc w:val="both"/>
              <w:rPr>
                <w:rFonts w:ascii="Arial" w:hAnsi="Arial" w:cs="Arial"/>
                <w:sz w:val="24"/>
                <w:szCs w:val="24"/>
              </w:rPr>
            </w:pPr>
            <w:r w:rsidRPr="009F7613">
              <w:rPr>
                <w:rFonts w:ascii="Arial" w:hAnsi="Arial" w:cs="Arial"/>
                <w:sz w:val="24"/>
                <w:szCs w:val="24"/>
              </w:rPr>
              <w:t>EBITDA: $2.311 billion</w:t>
            </w:r>
          </w:p>
        </w:tc>
        <w:tc>
          <w:tcPr>
            <w:tcW w:w="0" w:type="auto"/>
            <w:tcBorders>
              <w:top w:val="single" w:sz="4" w:space="0" w:color="auto"/>
              <w:left w:val="single" w:sz="4" w:space="0" w:color="auto"/>
              <w:bottom w:val="single" w:sz="4" w:space="0" w:color="auto"/>
              <w:right w:val="single" w:sz="4" w:space="0" w:color="auto"/>
            </w:tcBorders>
            <w:hideMark/>
          </w:tcPr>
          <w:p w14:paraId="0DD9B9D5" w14:textId="77777777" w:rsidR="006E683C" w:rsidRPr="009F7613" w:rsidRDefault="006E683C" w:rsidP="009F7613">
            <w:pPr>
              <w:spacing w:line="360" w:lineRule="auto"/>
              <w:jc w:val="both"/>
              <w:rPr>
                <w:rFonts w:ascii="Arial" w:hAnsi="Arial" w:cs="Arial"/>
                <w:sz w:val="24"/>
                <w:szCs w:val="24"/>
              </w:rPr>
            </w:pPr>
            <w:r w:rsidRPr="009F7613">
              <w:rPr>
                <w:rFonts w:ascii="Arial" w:hAnsi="Arial" w:cs="Arial"/>
                <w:sz w:val="24"/>
                <w:szCs w:val="24"/>
              </w:rPr>
              <w:t xml:space="preserve">Net income: $0.41 billion </w:t>
            </w:r>
          </w:p>
          <w:p w14:paraId="74BAD1D4" w14:textId="77777777" w:rsidR="006E683C" w:rsidRPr="009F7613" w:rsidRDefault="006E683C" w:rsidP="009F7613">
            <w:pPr>
              <w:spacing w:line="360" w:lineRule="auto"/>
              <w:jc w:val="both"/>
              <w:rPr>
                <w:rFonts w:ascii="Arial" w:hAnsi="Arial" w:cs="Arial"/>
                <w:sz w:val="24"/>
                <w:szCs w:val="24"/>
              </w:rPr>
            </w:pPr>
            <w:r w:rsidRPr="009F7613">
              <w:rPr>
                <w:rFonts w:ascii="Arial" w:hAnsi="Arial" w:cs="Arial"/>
                <w:sz w:val="24"/>
                <w:szCs w:val="24"/>
              </w:rPr>
              <w:t xml:space="preserve">EPS: $1.46 </w:t>
            </w:r>
          </w:p>
          <w:p w14:paraId="3E10ADB9" w14:textId="77777777" w:rsidR="006E683C" w:rsidRPr="009F7613" w:rsidRDefault="006E683C" w:rsidP="009F7613">
            <w:pPr>
              <w:spacing w:line="360" w:lineRule="auto"/>
              <w:jc w:val="both"/>
              <w:rPr>
                <w:rFonts w:ascii="Arial" w:hAnsi="Arial" w:cs="Arial"/>
                <w:sz w:val="24"/>
                <w:szCs w:val="24"/>
              </w:rPr>
            </w:pPr>
            <w:r w:rsidRPr="009F7613">
              <w:rPr>
                <w:rFonts w:ascii="Arial" w:hAnsi="Arial" w:cs="Arial"/>
                <w:sz w:val="24"/>
                <w:szCs w:val="24"/>
              </w:rPr>
              <w:t>EBITDA: $1.629 billion</w:t>
            </w:r>
          </w:p>
        </w:tc>
      </w:tr>
      <w:tr w:rsidR="006E683C" w14:paraId="3DE746F2" w14:textId="77777777" w:rsidTr="006E683C">
        <w:tc>
          <w:tcPr>
            <w:tcW w:w="0" w:type="auto"/>
            <w:tcBorders>
              <w:top w:val="single" w:sz="4" w:space="0" w:color="auto"/>
              <w:left w:val="single" w:sz="4" w:space="0" w:color="auto"/>
              <w:bottom w:val="single" w:sz="4" w:space="0" w:color="auto"/>
              <w:right w:val="single" w:sz="4" w:space="0" w:color="auto"/>
            </w:tcBorders>
            <w:hideMark/>
          </w:tcPr>
          <w:p w14:paraId="1BCDE147" w14:textId="77777777" w:rsidR="006E683C" w:rsidRPr="006E683C" w:rsidRDefault="006E683C" w:rsidP="009F7613">
            <w:pPr>
              <w:spacing w:line="360" w:lineRule="auto"/>
              <w:jc w:val="both"/>
              <w:rPr>
                <w:rFonts w:ascii="Arial" w:hAnsi="Arial" w:cs="Arial"/>
                <w:b/>
                <w:bCs/>
                <w:sz w:val="24"/>
                <w:szCs w:val="24"/>
              </w:rPr>
            </w:pPr>
            <w:r w:rsidRPr="006E683C">
              <w:rPr>
                <w:rFonts w:ascii="Arial" w:hAnsi="Arial" w:cs="Arial"/>
                <w:b/>
                <w:bCs/>
                <w:sz w:val="24"/>
                <w:szCs w:val="24"/>
              </w:rPr>
              <w:t>Customer loyalty</w:t>
            </w:r>
          </w:p>
        </w:tc>
        <w:tc>
          <w:tcPr>
            <w:tcW w:w="0" w:type="auto"/>
            <w:tcBorders>
              <w:top w:val="single" w:sz="4" w:space="0" w:color="auto"/>
              <w:left w:val="single" w:sz="4" w:space="0" w:color="auto"/>
              <w:bottom w:val="single" w:sz="4" w:space="0" w:color="auto"/>
              <w:right w:val="single" w:sz="4" w:space="0" w:color="auto"/>
            </w:tcBorders>
            <w:hideMark/>
          </w:tcPr>
          <w:p w14:paraId="4448146B" w14:textId="77777777" w:rsidR="006E683C" w:rsidRPr="009F7613" w:rsidRDefault="006E683C" w:rsidP="009F7613">
            <w:pPr>
              <w:spacing w:line="360" w:lineRule="auto"/>
              <w:jc w:val="both"/>
              <w:rPr>
                <w:rFonts w:ascii="Arial" w:hAnsi="Arial" w:cs="Arial"/>
                <w:sz w:val="24"/>
                <w:szCs w:val="24"/>
              </w:rPr>
            </w:pPr>
            <w:r w:rsidRPr="009F7613">
              <w:rPr>
                <w:rFonts w:ascii="Arial" w:hAnsi="Arial" w:cs="Arial"/>
                <w:sz w:val="24"/>
                <w:szCs w:val="24"/>
              </w:rPr>
              <w:t xml:space="preserve">Marriott Bonvoy: Over 153 million members Redemption rate: 67% </w:t>
            </w:r>
          </w:p>
          <w:p w14:paraId="1C442C7B" w14:textId="77777777" w:rsidR="006E683C" w:rsidRPr="009F7613" w:rsidRDefault="006E683C" w:rsidP="009F7613">
            <w:pPr>
              <w:spacing w:line="360" w:lineRule="auto"/>
              <w:jc w:val="both"/>
              <w:rPr>
                <w:rFonts w:ascii="Arial" w:hAnsi="Arial" w:cs="Arial"/>
                <w:sz w:val="24"/>
                <w:szCs w:val="24"/>
              </w:rPr>
            </w:pPr>
            <w:r w:rsidRPr="009F7613">
              <w:rPr>
                <w:rFonts w:ascii="Arial" w:hAnsi="Arial" w:cs="Arial"/>
                <w:sz w:val="24"/>
                <w:szCs w:val="24"/>
              </w:rPr>
              <w:t xml:space="preserve">Satisfaction score: 8.4/10 </w:t>
            </w:r>
          </w:p>
          <w:p w14:paraId="7E6B3BD4" w14:textId="77777777" w:rsidR="006E683C" w:rsidRPr="009F7613" w:rsidRDefault="006E683C" w:rsidP="009F7613">
            <w:pPr>
              <w:spacing w:line="360" w:lineRule="auto"/>
              <w:jc w:val="both"/>
              <w:rPr>
                <w:rFonts w:ascii="Arial" w:hAnsi="Arial" w:cs="Arial"/>
                <w:sz w:val="24"/>
                <w:szCs w:val="24"/>
              </w:rPr>
            </w:pPr>
            <w:r w:rsidRPr="009F7613">
              <w:rPr>
                <w:rFonts w:ascii="Arial" w:hAnsi="Arial" w:cs="Arial"/>
                <w:sz w:val="24"/>
                <w:szCs w:val="24"/>
              </w:rPr>
              <w:t>Retention rate: 64%</w:t>
            </w:r>
          </w:p>
        </w:tc>
        <w:tc>
          <w:tcPr>
            <w:tcW w:w="0" w:type="auto"/>
            <w:tcBorders>
              <w:top w:val="single" w:sz="4" w:space="0" w:color="auto"/>
              <w:left w:val="single" w:sz="4" w:space="0" w:color="auto"/>
              <w:bottom w:val="single" w:sz="4" w:space="0" w:color="auto"/>
              <w:right w:val="single" w:sz="4" w:space="0" w:color="auto"/>
            </w:tcBorders>
            <w:hideMark/>
          </w:tcPr>
          <w:p w14:paraId="72E3295A" w14:textId="77777777" w:rsidR="006E683C" w:rsidRPr="009F7613" w:rsidRDefault="006E683C" w:rsidP="009F7613">
            <w:pPr>
              <w:spacing w:line="360" w:lineRule="auto"/>
              <w:jc w:val="both"/>
              <w:rPr>
                <w:rFonts w:ascii="Arial" w:hAnsi="Arial" w:cs="Arial"/>
                <w:sz w:val="24"/>
                <w:szCs w:val="24"/>
              </w:rPr>
            </w:pPr>
            <w:r w:rsidRPr="009F7613">
              <w:rPr>
                <w:rFonts w:ascii="Arial" w:hAnsi="Arial" w:cs="Arial"/>
                <w:sz w:val="24"/>
                <w:szCs w:val="24"/>
              </w:rPr>
              <w:t xml:space="preserve">Hilton Honors: Over 115 million members Redemption rate: 60% </w:t>
            </w:r>
          </w:p>
          <w:p w14:paraId="0FB64CEC" w14:textId="77777777" w:rsidR="006E683C" w:rsidRPr="009F7613" w:rsidRDefault="006E683C" w:rsidP="009F7613">
            <w:pPr>
              <w:spacing w:line="360" w:lineRule="auto"/>
              <w:jc w:val="both"/>
              <w:rPr>
                <w:rFonts w:ascii="Arial" w:hAnsi="Arial" w:cs="Arial"/>
                <w:sz w:val="24"/>
                <w:szCs w:val="24"/>
              </w:rPr>
            </w:pPr>
            <w:r w:rsidRPr="009F7613">
              <w:rPr>
                <w:rFonts w:ascii="Arial" w:hAnsi="Arial" w:cs="Arial"/>
                <w:sz w:val="24"/>
                <w:szCs w:val="24"/>
              </w:rPr>
              <w:t xml:space="preserve">Satisfaction score: 8.3/10 </w:t>
            </w:r>
          </w:p>
          <w:p w14:paraId="5FB1AA83" w14:textId="77777777" w:rsidR="006E683C" w:rsidRPr="009F7613" w:rsidRDefault="006E683C" w:rsidP="009F7613">
            <w:pPr>
              <w:spacing w:line="360" w:lineRule="auto"/>
              <w:jc w:val="both"/>
              <w:rPr>
                <w:rFonts w:ascii="Arial" w:hAnsi="Arial" w:cs="Arial"/>
                <w:sz w:val="24"/>
                <w:szCs w:val="24"/>
              </w:rPr>
            </w:pPr>
            <w:r w:rsidRPr="009F7613">
              <w:rPr>
                <w:rFonts w:ascii="Arial" w:hAnsi="Arial" w:cs="Arial"/>
                <w:sz w:val="24"/>
                <w:szCs w:val="24"/>
              </w:rPr>
              <w:t>Retention rate: 57%</w:t>
            </w:r>
          </w:p>
        </w:tc>
      </w:tr>
      <w:tr w:rsidR="006E683C" w14:paraId="4D940EBC" w14:textId="77777777" w:rsidTr="006E683C">
        <w:tc>
          <w:tcPr>
            <w:tcW w:w="0" w:type="auto"/>
            <w:tcBorders>
              <w:top w:val="single" w:sz="4" w:space="0" w:color="auto"/>
              <w:left w:val="single" w:sz="4" w:space="0" w:color="auto"/>
              <w:bottom w:val="single" w:sz="4" w:space="0" w:color="auto"/>
              <w:right w:val="single" w:sz="4" w:space="0" w:color="auto"/>
            </w:tcBorders>
            <w:hideMark/>
          </w:tcPr>
          <w:p w14:paraId="6C998635" w14:textId="77777777" w:rsidR="006E683C" w:rsidRPr="006E683C" w:rsidRDefault="006E683C" w:rsidP="009F7613">
            <w:pPr>
              <w:spacing w:line="360" w:lineRule="auto"/>
              <w:jc w:val="both"/>
              <w:rPr>
                <w:rFonts w:ascii="Arial" w:hAnsi="Arial" w:cs="Arial"/>
                <w:b/>
                <w:bCs/>
                <w:sz w:val="24"/>
                <w:szCs w:val="24"/>
              </w:rPr>
            </w:pPr>
            <w:r w:rsidRPr="006E683C">
              <w:rPr>
                <w:rFonts w:ascii="Arial" w:hAnsi="Arial" w:cs="Arial"/>
                <w:b/>
                <w:bCs/>
                <w:sz w:val="24"/>
                <w:szCs w:val="24"/>
              </w:rPr>
              <w:t>Financial Commitment to CSR</w:t>
            </w:r>
          </w:p>
        </w:tc>
        <w:tc>
          <w:tcPr>
            <w:tcW w:w="0" w:type="auto"/>
            <w:tcBorders>
              <w:top w:val="single" w:sz="4" w:space="0" w:color="auto"/>
              <w:left w:val="single" w:sz="4" w:space="0" w:color="auto"/>
              <w:bottom w:val="single" w:sz="4" w:space="0" w:color="auto"/>
              <w:right w:val="single" w:sz="4" w:space="0" w:color="auto"/>
            </w:tcBorders>
            <w:hideMark/>
          </w:tcPr>
          <w:p w14:paraId="58BE865B" w14:textId="77777777" w:rsidR="006E683C" w:rsidRPr="009F7613" w:rsidRDefault="006E683C" w:rsidP="009F7613">
            <w:pPr>
              <w:spacing w:line="360" w:lineRule="auto"/>
              <w:jc w:val="both"/>
              <w:rPr>
                <w:rFonts w:ascii="Arial" w:hAnsi="Arial" w:cs="Arial"/>
                <w:sz w:val="24"/>
                <w:szCs w:val="24"/>
              </w:rPr>
            </w:pPr>
            <w:r w:rsidRPr="009F7613">
              <w:rPr>
                <w:rFonts w:ascii="Arial" w:hAnsi="Arial" w:cs="Arial"/>
                <w:sz w:val="24"/>
                <w:szCs w:val="24"/>
              </w:rPr>
              <w:t xml:space="preserve">13% lower carbon intensity </w:t>
            </w:r>
          </w:p>
          <w:p w14:paraId="20352881" w14:textId="77777777" w:rsidR="006E683C" w:rsidRPr="009F7613" w:rsidRDefault="006E683C" w:rsidP="009F7613">
            <w:pPr>
              <w:spacing w:line="360" w:lineRule="auto"/>
              <w:jc w:val="both"/>
              <w:rPr>
                <w:rFonts w:ascii="Arial" w:hAnsi="Arial" w:cs="Arial"/>
                <w:sz w:val="24"/>
                <w:szCs w:val="24"/>
              </w:rPr>
            </w:pPr>
            <w:r w:rsidRPr="009F7613">
              <w:rPr>
                <w:rFonts w:ascii="Arial" w:hAnsi="Arial" w:cs="Arial"/>
                <w:sz w:val="24"/>
                <w:szCs w:val="24"/>
              </w:rPr>
              <w:t xml:space="preserve">12% lower water intensity </w:t>
            </w:r>
          </w:p>
          <w:p w14:paraId="325F8F5E" w14:textId="77777777" w:rsidR="006E683C" w:rsidRPr="009F7613" w:rsidRDefault="006E683C" w:rsidP="009F7613">
            <w:pPr>
              <w:spacing w:line="360" w:lineRule="auto"/>
              <w:jc w:val="both"/>
              <w:rPr>
                <w:rFonts w:ascii="Arial" w:hAnsi="Arial" w:cs="Arial"/>
                <w:sz w:val="24"/>
                <w:szCs w:val="24"/>
              </w:rPr>
            </w:pPr>
            <w:r w:rsidRPr="009F7613">
              <w:rPr>
                <w:rFonts w:ascii="Arial" w:hAnsi="Arial" w:cs="Arial"/>
                <w:sz w:val="24"/>
                <w:szCs w:val="24"/>
              </w:rPr>
              <w:t xml:space="preserve">18% lower waste intensity </w:t>
            </w:r>
          </w:p>
          <w:p w14:paraId="170BCCF6" w14:textId="77777777" w:rsidR="006E683C" w:rsidRPr="009F7613" w:rsidRDefault="006E683C" w:rsidP="009F7613">
            <w:pPr>
              <w:spacing w:line="360" w:lineRule="auto"/>
              <w:jc w:val="both"/>
              <w:rPr>
                <w:rFonts w:ascii="Arial" w:hAnsi="Arial" w:cs="Arial"/>
                <w:sz w:val="24"/>
                <w:szCs w:val="24"/>
              </w:rPr>
            </w:pPr>
            <w:r w:rsidRPr="009F7613">
              <w:rPr>
                <w:rFonts w:ascii="Arial" w:hAnsi="Arial" w:cs="Arial"/>
                <w:sz w:val="24"/>
                <w:szCs w:val="24"/>
              </w:rPr>
              <w:t xml:space="preserve">17% lower food waste by 17% </w:t>
            </w:r>
          </w:p>
        </w:tc>
        <w:tc>
          <w:tcPr>
            <w:tcW w:w="0" w:type="auto"/>
            <w:tcBorders>
              <w:top w:val="single" w:sz="4" w:space="0" w:color="auto"/>
              <w:left w:val="single" w:sz="4" w:space="0" w:color="auto"/>
              <w:bottom w:val="single" w:sz="4" w:space="0" w:color="auto"/>
              <w:right w:val="single" w:sz="4" w:space="0" w:color="auto"/>
            </w:tcBorders>
            <w:hideMark/>
          </w:tcPr>
          <w:p w14:paraId="3AC2BB9B" w14:textId="77777777" w:rsidR="006E683C" w:rsidRPr="009F7613" w:rsidRDefault="006E683C" w:rsidP="009F7613">
            <w:pPr>
              <w:spacing w:line="360" w:lineRule="auto"/>
              <w:jc w:val="both"/>
              <w:rPr>
                <w:rFonts w:ascii="Arial" w:hAnsi="Arial" w:cs="Arial"/>
                <w:sz w:val="24"/>
                <w:szCs w:val="24"/>
              </w:rPr>
            </w:pPr>
            <w:r w:rsidRPr="009F7613">
              <w:rPr>
                <w:rFonts w:ascii="Arial" w:hAnsi="Arial" w:cs="Arial"/>
                <w:sz w:val="24"/>
                <w:szCs w:val="24"/>
              </w:rPr>
              <w:t xml:space="preserve">36% lower carbon intensity </w:t>
            </w:r>
          </w:p>
          <w:p w14:paraId="5BA3F2A9" w14:textId="77777777" w:rsidR="006E683C" w:rsidRPr="009F7613" w:rsidRDefault="006E683C" w:rsidP="009F7613">
            <w:pPr>
              <w:spacing w:line="360" w:lineRule="auto"/>
              <w:jc w:val="both"/>
              <w:rPr>
                <w:rFonts w:ascii="Arial" w:hAnsi="Arial" w:cs="Arial"/>
                <w:sz w:val="24"/>
                <w:szCs w:val="24"/>
              </w:rPr>
            </w:pPr>
            <w:r w:rsidRPr="009F7613">
              <w:rPr>
                <w:rFonts w:ascii="Arial" w:hAnsi="Arial" w:cs="Arial"/>
                <w:sz w:val="24"/>
                <w:szCs w:val="24"/>
              </w:rPr>
              <w:t xml:space="preserve">22% lower water intensity </w:t>
            </w:r>
          </w:p>
          <w:p w14:paraId="3BA136EE" w14:textId="77777777" w:rsidR="006E683C" w:rsidRPr="009F7613" w:rsidRDefault="006E683C" w:rsidP="009F7613">
            <w:pPr>
              <w:spacing w:line="360" w:lineRule="auto"/>
              <w:jc w:val="both"/>
              <w:rPr>
                <w:rFonts w:ascii="Arial" w:hAnsi="Arial" w:cs="Arial"/>
                <w:sz w:val="24"/>
                <w:szCs w:val="24"/>
              </w:rPr>
            </w:pPr>
            <w:r w:rsidRPr="009F7613">
              <w:rPr>
                <w:rFonts w:ascii="Arial" w:hAnsi="Arial" w:cs="Arial"/>
                <w:sz w:val="24"/>
                <w:szCs w:val="24"/>
              </w:rPr>
              <w:t xml:space="preserve">35% lower waste intensity </w:t>
            </w:r>
          </w:p>
          <w:p w14:paraId="32C513C4" w14:textId="77777777" w:rsidR="006E683C" w:rsidRPr="009F7613" w:rsidRDefault="006E683C" w:rsidP="009F7613">
            <w:pPr>
              <w:spacing w:line="360" w:lineRule="auto"/>
              <w:jc w:val="both"/>
              <w:rPr>
                <w:rFonts w:ascii="Arial" w:hAnsi="Arial" w:cs="Arial"/>
                <w:sz w:val="24"/>
                <w:szCs w:val="24"/>
              </w:rPr>
            </w:pPr>
            <w:r w:rsidRPr="009F7613">
              <w:rPr>
                <w:rFonts w:ascii="Arial" w:hAnsi="Arial" w:cs="Arial"/>
                <w:sz w:val="24"/>
                <w:szCs w:val="24"/>
              </w:rPr>
              <w:t xml:space="preserve">43% lower food waste </w:t>
            </w:r>
          </w:p>
        </w:tc>
      </w:tr>
    </w:tbl>
    <w:p w14:paraId="5A8EB110" w14:textId="77777777" w:rsidR="002F632F" w:rsidRPr="002F632F" w:rsidRDefault="002F632F" w:rsidP="002F632F"/>
    <w:p w14:paraId="2CDC456B" w14:textId="77777777" w:rsidR="005401B3" w:rsidRDefault="005401B3" w:rsidP="005401B3">
      <w:pPr>
        <w:pStyle w:val="Heading1"/>
        <w:spacing w:line="360" w:lineRule="auto"/>
        <w:rPr>
          <w:rFonts w:ascii="Arial" w:eastAsiaTheme="minorHAnsi" w:hAnsi="Arial" w:cs="Arial"/>
          <w:b/>
          <w:bCs w:val="0"/>
        </w:rPr>
      </w:pPr>
      <w:r w:rsidRPr="005401B3">
        <w:rPr>
          <w:rFonts w:ascii="Arial" w:eastAsiaTheme="minorHAnsi" w:hAnsi="Arial" w:cs="Arial"/>
          <w:b/>
          <w:bCs w:val="0"/>
        </w:rPr>
        <w:lastRenderedPageBreak/>
        <w:t xml:space="preserve">Total Revenue </w:t>
      </w:r>
    </w:p>
    <w:p w14:paraId="3D9DE56F" w14:textId="77777777" w:rsidR="005401B3" w:rsidRDefault="005401B3" w:rsidP="005401B3"/>
    <w:p w14:paraId="4F6FE490" w14:textId="77777777" w:rsidR="003C4F6C" w:rsidRDefault="003C4F6C" w:rsidP="003C4F6C">
      <w:pPr>
        <w:spacing w:line="360" w:lineRule="auto"/>
        <w:ind w:firstLine="720"/>
        <w:jc w:val="both"/>
        <w:rPr>
          <w:rFonts w:ascii="Arial" w:hAnsi="Arial" w:cs="Arial"/>
          <w:sz w:val="24"/>
          <w:szCs w:val="24"/>
        </w:rPr>
      </w:pPr>
      <w:r w:rsidRPr="003C4F6C">
        <w:rPr>
          <w:rFonts w:ascii="Arial" w:hAnsi="Arial" w:cs="Arial"/>
          <w:sz w:val="24"/>
          <w:szCs w:val="24"/>
        </w:rPr>
        <w:t xml:space="preserve">The two hotels have considerable capacity in their service delivery, especially compared to other market players that may not have as much market coverage. In 2021, Marriott had a total revenue of $13.857 billion, which was considerable considering the firm was recovering from the ravages of the COVID-19 pandemic </w:t>
      </w:r>
      <w:r w:rsidRPr="003C4F6C">
        <w:rPr>
          <w:rFonts w:ascii="Arial" w:hAnsi="Arial" w:cs="Arial"/>
          <w:sz w:val="24"/>
          <w:szCs w:val="24"/>
        </w:rPr>
        <w:fldChar w:fldCharType="begin" w:fldLock="1"/>
      </w:r>
      <w:r w:rsidRPr="003C4F6C">
        <w:rPr>
          <w:rFonts w:ascii="Arial" w:hAnsi="Arial" w:cs="Arial"/>
          <w:sz w:val="24"/>
          <w:szCs w:val="24"/>
        </w:rPr>
        <w:instrText>ADDIN CSL_CITATION {"citationItems":[{"id":"ITEM-1","itemData":{"author":[{"dropping-particle":"","family":"Smith","given":"Craig","non-dropping-particle":"","parse-names":false,"suffix":""}],"container-title":"DMR","id":"ITEM-1","issued":{"date-parts":[["2018"]]},"title":"Interesting Marriott Statistics and Facts","type":"article"},"uris":["http://www.mendeley.com/documents/?uuid=83b1fce9-0cec-44fd-a2e9-ac8f4810670a"]}],"mendeley":{"formattedCitation":"(Smith 2018)","plainTextFormattedCitation":"(Smith 2018)","previouslyFormattedCitation":"(Smith 2018)"},"properties":{"noteIndex":0},"schema":"https://github.com/citation-style-language/schema/raw/master/csl-citation.json"}</w:instrText>
      </w:r>
      <w:r w:rsidRPr="003C4F6C">
        <w:rPr>
          <w:rFonts w:ascii="Arial" w:hAnsi="Arial" w:cs="Arial"/>
          <w:sz w:val="24"/>
          <w:szCs w:val="24"/>
        </w:rPr>
        <w:fldChar w:fldCharType="separate"/>
      </w:r>
      <w:r w:rsidRPr="003C4F6C">
        <w:rPr>
          <w:rFonts w:ascii="Arial" w:hAnsi="Arial" w:cs="Arial"/>
          <w:noProof/>
          <w:sz w:val="24"/>
          <w:szCs w:val="24"/>
        </w:rPr>
        <w:t>(Smith 2018)</w:t>
      </w:r>
      <w:r w:rsidRPr="003C4F6C">
        <w:rPr>
          <w:rFonts w:ascii="Arial" w:hAnsi="Arial" w:cs="Arial"/>
          <w:sz w:val="24"/>
          <w:szCs w:val="24"/>
        </w:rPr>
        <w:fldChar w:fldCharType="end"/>
      </w:r>
      <w:r w:rsidRPr="003C4F6C">
        <w:rPr>
          <w:rFonts w:ascii="Arial" w:hAnsi="Arial" w:cs="Arial"/>
          <w:sz w:val="24"/>
          <w:szCs w:val="24"/>
        </w:rPr>
        <w:t xml:space="preserve">. Hilton did worse than Marriott in 2021, whereby the company managed a total revenue of $5.778, which was still an improvement from the time the pandemic resulted in a slowdown of the hospitality industry </w:t>
      </w:r>
      <w:r w:rsidRPr="003C4F6C">
        <w:rPr>
          <w:rFonts w:ascii="Arial" w:hAnsi="Arial" w:cs="Arial"/>
          <w:sz w:val="24"/>
          <w:szCs w:val="24"/>
        </w:rPr>
        <w:fldChar w:fldCharType="begin" w:fldLock="1"/>
      </w:r>
      <w:r w:rsidRPr="003C4F6C">
        <w:rPr>
          <w:rFonts w:ascii="Arial" w:hAnsi="Arial" w:cs="Arial"/>
          <w:sz w:val="24"/>
          <w:szCs w:val="24"/>
        </w:rPr>
        <w:instrText>ADDIN CSL_CITATION {"citationItems":[{"id":"ITEM-1","itemData":{"author":[{"dropping-particle":"","family":"Statista Research Department","given":"","non-dropping-particle":"","parse-names":false,"suffix":""}],"container-title":"Statista","id":"ITEM-1","issued":{"date-parts":[["2023"]]},"title":"Hilton Worldwide Holdings Inc.: Revenue 2019","type":"article"},"uris":["http://www.mendeley.com/documents/?uuid=d26b2b04-52a0-41f3-bcb6-cbf3e539877e"]}],"mendeley":{"formattedCitation":"(Statista Research Department 2023a)","plainTextFormattedCitation":"(Statista Research Department 2023a)","previouslyFormattedCitation":"(Statista Research Department 2023b)"},"properties":{"noteIndex":0},"schema":"https://github.com/citation-style-language/schema/raw/master/csl-citation.json"}</w:instrText>
      </w:r>
      <w:r w:rsidRPr="003C4F6C">
        <w:rPr>
          <w:rFonts w:ascii="Arial" w:hAnsi="Arial" w:cs="Arial"/>
          <w:sz w:val="24"/>
          <w:szCs w:val="24"/>
        </w:rPr>
        <w:fldChar w:fldCharType="separate"/>
      </w:r>
      <w:r w:rsidRPr="003C4F6C">
        <w:rPr>
          <w:rFonts w:ascii="Arial" w:hAnsi="Arial" w:cs="Arial"/>
          <w:noProof/>
          <w:sz w:val="24"/>
          <w:szCs w:val="24"/>
        </w:rPr>
        <w:t>(Statista Research Department 2023a)</w:t>
      </w:r>
      <w:r w:rsidRPr="003C4F6C">
        <w:rPr>
          <w:rFonts w:ascii="Arial" w:hAnsi="Arial" w:cs="Arial"/>
          <w:sz w:val="24"/>
          <w:szCs w:val="24"/>
        </w:rPr>
        <w:fldChar w:fldCharType="end"/>
      </w:r>
      <w:r w:rsidRPr="003C4F6C">
        <w:rPr>
          <w:rFonts w:ascii="Arial" w:hAnsi="Arial" w:cs="Arial"/>
          <w:sz w:val="24"/>
          <w:szCs w:val="24"/>
        </w:rPr>
        <w:t xml:space="preserve">. While Marriott had higher revenue than Hilton that year, the two companies had seen a considerable increase in their total revenue as the demand for travel started growing. The recovery indicates that the two companies were ready to take advantage of the growing demand for their services as the world recovered from the pandemic. However, if their operations are sustainable, they would have to keep growing their sales revenue in the long term. </w:t>
      </w:r>
    </w:p>
    <w:p w14:paraId="742F852E" w14:textId="77777777" w:rsidR="00DC7A0A" w:rsidRDefault="00DC7A0A" w:rsidP="003C4F6C">
      <w:pPr>
        <w:spacing w:line="360" w:lineRule="auto"/>
        <w:ind w:firstLine="720"/>
        <w:jc w:val="both"/>
        <w:rPr>
          <w:rFonts w:ascii="Arial" w:hAnsi="Arial" w:cs="Arial"/>
          <w:sz w:val="24"/>
          <w:szCs w:val="24"/>
        </w:rPr>
      </w:pPr>
    </w:p>
    <w:p w14:paraId="0B0FD9A8" w14:textId="77777777" w:rsidR="00533969" w:rsidRDefault="00533969" w:rsidP="00533969">
      <w:pPr>
        <w:pStyle w:val="Heading1"/>
        <w:spacing w:line="360" w:lineRule="auto"/>
        <w:rPr>
          <w:rFonts w:ascii="Arial" w:eastAsiaTheme="minorHAnsi" w:hAnsi="Arial" w:cs="Arial"/>
          <w:b/>
          <w:bCs w:val="0"/>
        </w:rPr>
      </w:pPr>
      <w:r w:rsidRPr="00533969">
        <w:rPr>
          <w:rFonts w:ascii="Arial" w:eastAsiaTheme="minorHAnsi" w:hAnsi="Arial" w:cs="Arial"/>
          <w:b/>
          <w:bCs w:val="0"/>
        </w:rPr>
        <w:t xml:space="preserve">Market Position </w:t>
      </w:r>
    </w:p>
    <w:p w14:paraId="1D61FD82" w14:textId="77777777" w:rsidR="00533969" w:rsidRPr="00010121" w:rsidRDefault="00533969" w:rsidP="00010121">
      <w:pPr>
        <w:spacing w:line="360" w:lineRule="auto"/>
        <w:jc w:val="both"/>
        <w:rPr>
          <w:rFonts w:ascii="Arial" w:hAnsi="Arial" w:cs="Arial"/>
          <w:sz w:val="24"/>
          <w:szCs w:val="24"/>
        </w:rPr>
      </w:pPr>
    </w:p>
    <w:p w14:paraId="0655F2A7" w14:textId="77777777" w:rsidR="00010121" w:rsidRDefault="00010121" w:rsidP="00010121">
      <w:pPr>
        <w:spacing w:line="360" w:lineRule="auto"/>
        <w:ind w:firstLine="720"/>
        <w:jc w:val="both"/>
        <w:rPr>
          <w:rFonts w:ascii="Arial" w:hAnsi="Arial" w:cs="Arial"/>
          <w:sz w:val="24"/>
          <w:szCs w:val="24"/>
        </w:rPr>
      </w:pPr>
      <w:r w:rsidRPr="00010121">
        <w:rPr>
          <w:rFonts w:ascii="Arial" w:hAnsi="Arial" w:cs="Arial"/>
          <w:sz w:val="24"/>
          <w:szCs w:val="24"/>
        </w:rPr>
        <w:t xml:space="preserve">Based on their market coverage, the sheer size of their operations, and the revenues they make, Marriott and Hilton are some of the largest hospitality companies in the world. The companies have managed to accumulate a portfolio of diverse properties and brands. By the end of 2021, Marriott had at least 1.4 million rooms in over 71,000 properties operating in 131 countries and territories across the world </w:t>
      </w:r>
      <w:r w:rsidRPr="00010121">
        <w:rPr>
          <w:rFonts w:ascii="Arial" w:hAnsi="Arial" w:cs="Arial"/>
          <w:sz w:val="24"/>
          <w:szCs w:val="24"/>
        </w:rPr>
        <w:fldChar w:fldCharType="begin" w:fldLock="1"/>
      </w:r>
      <w:r w:rsidRPr="00010121">
        <w:rPr>
          <w:rFonts w:ascii="Arial" w:hAnsi="Arial" w:cs="Arial"/>
          <w:sz w:val="24"/>
          <w:szCs w:val="24"/>
        </w:rPr>
        <w:instrText>ADDIN CSL_CITATION {"citationItems":[{"id":"ITEM-1","itemData":{"author":[{"dropping-particle":"","family":"Statista Research Department","given":"","non-dropping-particle":"","parse-names":false,"suffix":""}],"container-title":"Statista","id":"ITEM-1","issued":{"date-parts":[["2023"]]},"title":"Marriott hotels worldwide 2022","type":"article"},"uris":["http://www.mendeley.com/documents/?uuid=2a4f1d75-b1cd-405d-b6e1-743cbedd6be9"]}],"mendeley":{"formattedCitation":"(Statista Research Department 2023b)","plainTextFormattedCitation":"(Statista Research Department 2023b)","previouslyFormattedCitation":"(Statista Research Department 2023a)"},"properties":{"noteIndex":0},"schema":"https://github.com/citation-style-language/schema/raw/master/csl-citation.json"}</w:instrText>
      </w:r>
      <w:r w:rsidRPr="00010121">
        <w:rPr>
          <w:rFonts w:ascii="Arial" w:hAnsi="Arial" w:cs="Arial"/>
          <w:sz w:val="24"/>
          <w:szCs w:val="24"/>
        </w:rPr>
        <w:fldChar w:fldCharType="separate"/>
      </w:r>
      <w:r w:rsidRPr="00010121">
        <w:rPr>
          <w:rFonts w:ascii="Arial" w:hAnsi="Arial" w:cs="Arial"/>
          <w:noProof/>
          <w:sz w:val="24"/>
          <w:szCs w:val="24"/>
        </w:rPr>
        <w:t>(Statista Research Department 2023b)</w:t>
      </w:r>
      <w:r w:rsidRPr="00010121">
        <w:rPr>
          <w:rFonts w:ascii="Arial" w:hAnsi="Arial" w:cs="Arial"/>
          <w:sz w:val="24"/>
          <w:szCs w:val="24"/>
        </w:rPr>
        <w:fldChar w:fldCharType="end"/>
      </w:r>
      <w:r w:rsidRPr="00010121">
        <w:rPr>
          <w:rFonts w:ascii="Arial" w:hAnsi="Arial" w:cs="Arial"/>
          <w:sz w:val="24"/>
          <w:szCs w:val="24"/>
        </w:rPr>
        <w:t xml:space="preserve">. Similarly, Hilton had more than 1.1 million rooms across 7,100 properties operating in 123 countries and territories across the world. Based on these figures, Marriott has a slightly larger footprint in the global hospitality market </w:t>
      </w:r>
      <w:r w:rsidRPr="00010121">
        <w:rPr>
          <w:rFonts w:ascii="Arial" w:hAnsi="Arial" w:cs="Arial"/>
          <w:sz w:val="24"/>
          <w:szCs w:val="24"/>
        </w:rPr>
        <w:fldChar w:fldCharType="begin" w:fldLock="1"/>
      </w:r>
      <w:r w:rsidRPr="00010121">
        <w:rPr>
          <w:rFonts w:ascii="Arial" w:hAnsi="Arial" w:cs="Arial"/>
          <w:sz w:val="24"/>
          <w:szCs w:val="24"/>
        </w:rPr>
        <w:instrText>ADDIN CSL_CITATION {"citationItems":[{"id":"ITEM-1","itemData":{"author":[{"dropping-particle":"","family":"Hilton","given":"","non-dropping-particle":"","parse-names":false,"suffix":""}],"container-title":"Stories From Hilton","id":"ITEM-1","issued":{"date-parts":[["2023"]]},"title":"Hilton Hotels &amp; Resorts Awarded in Brand Finance Global 500 2020 Report","type":"article"},"uris":["http://www.mendeley.com/documents/?uuid=0d3c0f2d-3699-4288-afdb-0a7c319d3365"]}],"mendeley":{"formattedCitation":"(Hilton 2023a)","plainTextFormattedCitation":"(Hilton 2023a)","previouslyFormattedCitation":"(Hilton 2023b)"},"properties":{"noteIndex":0},"schema":"https://github.com/citation-style-language/schema/raw/master/csl-citation.json"}</w:instrText>
      </w:r>
      <w:r w:rsidRPr="00010121">
        <w:rPr>
          <w:rFonts w:ascii="Arial" w:hAnsi="Arial" w:cs="Arial"/>
          <w:sz w:val="24"/>
          <w:szCs w:val="24"/>
        </w:rPr>
        <w:fldChar w:fldCharType="separate"/>
      </w:r>
      <w:r w:rsidRPr="00010121">
        <w:rPr>
          <w:rFonts w:ascii="Arial" w:hAnsi="Arial" w:cs="Arial"/>
          <w:noProof/>
          <w:sz w:val="24"/>
          <w:szCs w:val="24"/>
        </w:rPr>
        <w:t>(Hilton 2023a)</w:t>
      </w:r>
      <w:r w:rsidRPr="00010121">
        <w:rPr>
          <w:rFonts w:ascii="Arial" w:hAnsi="Arial" w:cs="Arial"/>
          <w:sz w:val="24"/>
          <w:szCs w:val="24"/>
        </w:rPr>
        <w:fldChar w:fldCharType="end"/>
      </w:r>
      <w:r w:rsidRPr="00010121">
        <w:rPr>
          <w:rFonts w:ascii="Arial" w:hAnsi="Arial" w:cs="Arial"/>
          <w:sz w:val="24"/>
          <w:szCs w:val="24"/>
        </w:rPr>
        <w:t xml:space="preserve">. The higher number of properties and rooms is partly one of the reasons Marriott has been able to make more money than Hilton. Despite this difference, however, both hotels have a strong presence in most key markets across the world. The strong presence makes it possible for the two companies to outdo the competition and secure their </w:t>
      </w:r>
      <w:r w:rsidRPr="00010121">
        <w:rPr>
          <w:rFonts w:ascii="Arial" w:hAnsi="Arial" w:cs="Arial"/>
          <w:sz w:val="24"/>
          <w:szCs w:val="24"/>
        </w:rPr>
        <w:lastRenderedPageBreak/>
        <w:t xml:space="preserve">financial future in the long term. They have competed in ways other companies cannot match because of their excellent approach to market reach.  </w:t>
      </w:r>
    </w:p>
    <w:p w14:paraId="03B46598" w14:textId="77777777" w:rsidR="00010121" w:rsidRDefault="00010121" w:rsidP="00010121">
      <w:pPr>
        <w:spacing w:line="360" w:lineRule="auto"/>
        <w:ind w:firstLine="720"/>
        <w:jc w:val="both"/>
        <w:rPr>
          <w:rFonts w:ascii="Arial" w:hAnsi="Arial" w:cs="Arial"/>
          <w:sz w:val="24"/>
          <w:szCs w:val="24"/>
        </w:rPr>
      </w:pPr>
    </w:p>
    <w:p w14:paraId="5F6DAF8A" w14:textId="77777777" w:rsidR="000F46C6" w:rsidRDefault="000F46C6" w:rsidP="000F46C6">
      <w:pPr>
        <w:pStyle w:val="Heading1"/>
        <w:spacing w:line="360" w:lineRule="auto"/>
        <w:rPr>
          <w:rFonts w:ascii="Arial" w:eastAsiaTheme="minorHAnsi" w:hAnsi="Arial" w:cs="Arial"/>
          <w:b/>
          <w:bCs w:val="0"/>
        </w:rPr>
      </w:pPr>
      <w:r w:rsidRPr="000F46C6">
        <w:rPr>
          <w:rFonts w:ascii="Arial" w:eastAsiaTheme="minorHAnsi" w:hAnsi="Arial" w:cs="Arial"/>
          <w:b/>
          <w:bCs w:val="0"/>
        </w:rPr>
        <w:t xml:space="preserve">Growth Potential </w:t>
      </w:r>
    </w:p>
    <w:p w14:paraId="52358A29" w14:textId="77777777" w:rsidR="000F46C6" w:rsidRDefault="000F46C6" w:rsidP="000F46C6"/>
    <w:p w14:paraId="01FEABF9" w14:textId="3862E87B" w:rsidR="00300632" w:rsidRPr="00300632" w:rsidRDefault="00300632" w:rsidP="00300632">
      <w:pPr>
        <w:spacing w:line="360" w:lineRule="auto"/>
        <w:ind w:firstLine="720"/>
        <w:jc w:val="both"/>
        <w:rPr>
          <w:rFonts w:ascii="Arial" w:hAnsi="Arial" w:cs="Arial"/>
          <w:sz w:val="24"/>
          <w:szCs w:val="24"/>
        </w:rPr>
      </w:pPr>
      <w:r w:rsidRPr="00300632">
        <w:rPr>
          <w:rFonts w:ascii="Arial" w:hAnsi="Arial" w:cs="Arial"/>
          <w:sz w:val="24"/>
          <w:szCs w:val="24"/>
        </w:rPr>
        <w:t xml:space="preserve">The most successful corporations are the ones that can invest resources into expanding their operations continuously, especially as they need to satisfy their stockholders and other shareholders. Shareholders must be satisfied by organisations like Marriott and Hilton through measures like an investment into expansion. Both hotels have a strong developmental pipeline based on which they intend to expand their operations worldwide. At the end of 2021, Marriott had a global developmental pipeline that included 2,831 properties that should contain about 485,000 rooms and 19,000 more rooms that had been approved even if contracts had yet to be signed. At least 202,000 of the rooms that Marriott wanted to add had already started in their construction by the end of 2021 </w:t>
      </w:r>
      <w:r w:rsidRPr="00300632">
        <w:rPr>
          <w:rFonts w:ascii="Arial" w:hAnsi="Arial" w:cs="Arial"/>
          <w:sz w:val="24"/>
          <w:szCs w:val="24"/>
        </w:rPr>
        <w:fldChar w:fldCharType="begin" w:fldLock="1"/>
      </w:r>
      <w:r w:rsidRPr="00300632">
        <w:rPr>
          <w:rFonts w:ascii="Arial" w:hAnsi="Arial" w:cs="Arial"/>
          <w:sz w:val="24"/>
          <w:szCs w:val="24"/>
        </w:rPr>
        <w:instrText>ADDIN CSL_CITATION {"citationItems":[{"id":"ITEM-1","itemData":{"author":[{"dropping-particle":"","family":"Wroten","given":"Bryan","non-dropping-particle":"","parse-names":false,"suffix":""}],"container-title":"CoStar","id":"ITEM-1","issued":{"date-parts":[["2022"]]},"title":"Marriott Pushes Pipeline as Global Portfolio Performance Recovers","type":"article"},"uris":["http://www.mendeley.com/documents/?uuid=6fe17a44-b5c7-4374-a759-760d2a70f2f7"]}],"mendeley":{"formattedCitation":"(Wroten 2022)","plainTextFormattedCitation":"(Wroten 2022)","previouslyFormattedCitation":"(Wroten 2022)"},"properties":{"noteIndex":0},"schema":"https://github.com/citation-style-language/schema/raw/master/csl-citation.json"}</w:instrText>
      </w:r>
      <w:r w:rsidRPr="00300632">
        <w:rPr>
          <w:rFonts w:ascii="Arial" w:hAnsi="Arial" w:cs="Arial"/>
          <w:sz w:val="24"/>
          <w:szCs w:val="24"/>
        </w:rPr>
        <w:fldChar w:fldCharType="separate"/>
      </w:r>
      <w:r w:rsidRPr="00300632">
        <w:rPr>
          <w:rFonts w:ascii="Arial" w:hAnsi="Arial" w:cs="Arial"/>
          <w:noProof/>
          <w:sz w:val="24"/>
          <w:szCs w:val="24"/>
        </w:rPr>
        <w:t>(Wroten 2022)</w:t>
      </w:r>
      <w:r w:rsidRPr="00300632">
        <w:rPr>
          <w:rFonts w:ascii="Arial" w:hAnsi="Arial" w:cs="Arial"/>
          <w:sz w:val="24"/>
          <w:szCs w:val="24"/>
        </w:rPr>
        <w:fldChar w:fldCharType="end"/>
      </w:r>
      <w:r w:rsidRPr="00300632">
        <w:rPr>
          <w:rFonts w:ascii="Arial" w:hAnsi="Arial" w:cs="Arial"/>
          <w:sz w:val="24"/>
          <w:szCs w:val="24"/>
        </w:rPr>
        <w:t>. While Hilton did not disclose its end-of-year development pipeline in 2021, it did so in the third quarter. At this time, it planned to add 2,6000 hotels that contained at least 415,000 rooms. Of these planned rooms, at least 240,000 were already under construction by the end of the year. These details show that the two companies have a strong growth potential based on their planning. The goal of growing their portfolio and market share in the near future indicates firms that want to ensure their long-term financial sustainability.</w:t>
      </w:r>
    </w:p>
    <w:p w14:paraId="4AABE99C" w14:textId="77777777" w:rsidR="000F46C6" w:rsidRDefault="000F46C6" w:rsidP="000F46C6"/>
    <w:p w14:paraId="393505D7" w14:textId="77777777" w:rsidR="002278DD" w:rsidRDefault="002278DD" w:rsidP="002278DD">
      <w:pPr>
        <w:pStyle w:val="Heading1"/>
        <w:spacing w:line="360" w:lineRule="auto"/>
        <w:rPr>
          <w:rFonts w:ascii="Arial" w:eastAsiaTheme="minorHAnsi" w:hAnsi="Arial" w:cs="Arial"/>
          <w:b/>
          <w:bCs w:val="0"/>
        </w:rPr>
      </w:pPr>
      <w:r w:rsidRPr="002278DD">
        <w:rPr>
          <w:rFonts w:ascii="Arial" w:eastAsiaTheme="minorHAnsi" w:hAnsi="Arial" w:cs="Arial"/>
          <w:b/>
          <w:bCs w:val="0"/>
        </w:rPr>
        <w:t xml:space="preserve">Profitability </w:t>
      </w:r>
    </w:p>
    <w:p w14:paraId="69303379" w14:textId="77777777" w:rsidR="002278DD" w:rsidRDefault="002278DD" w:rsidP="002278DD"/>
    <w:p w14:paraId="395F583E" w14:textId="77777777" w:rsidR="00891EB5" w:rsidRPr="00891EB5" w:rsidRDefault="00891EB5" w:rsidP="00891EB5">
      <w:pPr>
        <w:spacing w:line="360" w:lineRule="auto"/>
        <w:ind w:firstLine="720"/>
        <w:jc w:val="both"/>
        <w:rPr>
          <w:rFonts w:ascii="Arial" w:hAnsi="Arial" w:cs="Arial"/>
          <w:sz w:val="24"/>
          <w:szCs w:val="24"/>
        </w:rPr>
      </w:pPr>
      <w:r w:rsidRPr="00891EB5">
        <w:rPr>
          <w:rFonts w:ascii="Arial" w:hAnsi="Arial" w:cs="Arial"/>
          <w:sz w:val="24"/>
          <w:szCs w:val="24"/>
        </w:rPr>
        <w:t xml:space="preserve">While revenues can be a good indicator of the financial performance of an organisation, profitability is the true indicator of whether the company is running its business sustainably. Due to the COVID-19 pandemic, organisations in the hospitality industry, like hotels, had difficulty remaining in business, let alone turning a profit. However, as the pandemic abated, companies started recovering gradually and even made profits. The profitability of Hilton and Marriott can be compared by looking at their </w:t>
      </w:r>
      <w:r w:rsidRPr="00891EB5">
        <w:rPr>
          <w:rFonts w:ascii="Arial" w:hAnsi="Arial" w:cs="Arial"/>
          <w:sz w:val="24"/>
          <w:szCs w:val="24"/>
        </w:rPr>
        <w:lastRenderedPageBreak/>
        <w:t xml:space="preserve">EBITDA, earnings per share (EPS), and net income. These performance indicators show that the two hotel companies are some of the most successful in the world. The performance metrics are indicators of how well the two firms manage their costs and manage to make a profit from their revenue. In 2021, Marriott made a net income of $1.099 billion, indicating the firm is relatively successful </w:t>
      </w:r>
      <w:r w:rsidRPr="00891EB5">
        <w:rPr>
          <w:rFonts w:ascii="Arial" w:hAnsi="Arial" w:cs="Arial"/>
          <w:sz w:val="24"/>
          <w:szCs w:val="24"/>
        </w:rPr>
        <w:fldChar w:fldCharType="begin" w:fldLock="1"/>
      </w:r>
      <w:r w:rsidRPr="00891EB5">
        <w:rPr>
          <w:rFonts w:ascii="Arial" w:hAnsi="Arial" w:cs="Arial"/>
          <w:sz w:val="24"/>
          <w:szCs w:val="24"/>
        </w:rPr>
        <w:instrText>ADDIN CSL_CITATION {"citationItems":[{"id":"ITEM-1","itemData":{"author":[{"dropping-particle":"","family":"Smith","given":"Craig","non-dropping-particle":"","parse-names":false,"suffix":""}],"container-title":"DMR","id":"ITEM-1","issued":{"date-parts":[["2018"]]},"title":"Interesting Marriott Statistics and Facts","type":"article"},"uris":["http://www.mendeley.com/documents/?uuid=83b1fce9-0cec-44fd-a2e9-ac8f4810670a"]}],"mendeley":{"formattedCitation":"(Smith 2018)","plainTextFormattedCitation":"(Smith 2018)","previouslyFormattedCitation":"(Smith 2018)"},"properties":{"noteIndex":0},"schema":"https://github.com/citation-style-language/schema/raw/master/csl-citation.json"}</w:instrText>
      </w:r>
      <w:r w:rsidRPr="00891EB5">
        <w:rPr>
          <w:rFonts w:ascii="Arial" w:hAnsi="Arial" w:cs="Arial"/>
          <w:sz w:val="24"/>
          <w:szCs w:val="24"/>
        </w:rPr>
        <w:fldChar w:fldCharType="separate"/>
      </w:r>
      <w:r w:rsidRPr="00891EB5">
        <w:rPr>
          <w:rFonts w:ascii="Arial" w:hAnsi="Arial" w:cs="Arial"/>
          <w:noProof/>
          <w:sz w:val="24"/>
          <w:szCs w:val="24"/>
        </w:rPr>
        <w:t>(Smith 2018)</w:t>
      </w:r>
      <w:r w:rsidRPr="00891EB5">
        <w:rPr>
          <w:rFonts w:ascii="Arial" w:hAnsi="Arial" w:cs="Arial"/>
          <w:sz w:val="24"/>
          <w:szCs w:val="24"/>
        </w:rPr>
        <w:fldChar w:fldCharType="end"/>
      </w:r>
      <w:r w:rsidRPr="00891EB5">
        <w:rPr>
          <w:rFonts w:ascii="Arial" w:hAnsi="Arial" w:cs="Arial"/>
          <w:sz w:val="24"/>
          <w:szCs w:val="24"/>
        </w:rPr>
        <w:t xml:space="preserve">. Hilton, on the other part, did a little worse at $0.41 billion </w:t>
      </w:r>
      <w:r w:rsidRPr="00891EB5">
        <w:rPr>
          <w:rFonts w:ascii="Arial" w:hAnsi="Arial" w:cs="Arial"/>
          <w:sz w:val="24"/>
          <w:szCs w:val="24"/>
        </w:rPr>
        <w:fldChar w:fldCharType="begin" w:fldLock="1"/>
      </w:r>
      <w:r w:rsidRPr="00891EB5">
        <w:rPr>
          <w:rFonts w:ascii="Arial" w:hAnsi="Arial" w:cs="Arial"/>
          <w:sz w:val="24"/>
          <w:szCs w:val="24"/>
        </w:rPr>
        <w:instrText>ADDIN CSL_CITATION {"citationItems":[{"id":"ITEM-1","itemData":{"author":[{"dropping-particle":"","family":"Statista Research Department","given":"","non-dropping-particle":"","parse-names":false,"suffix":""}],"container-title":"Statista","id":"ITEM-1","issued":{"date-parts":[["2022"]]},"title":"Hilton Worldwide Holdings Inc.: revenue 2019","type":"article"},"uris":["http://www.mendeley.com/documents/?uuid=e2ad4955-dc35-4029-871e-5a0f8bc04e30"]}],"mendeley":{"formattedCitation":"(Statista Research Department 2022)","plainTextFormattedCitation":"(Statista Research Department 2022)","previouslyFormattedCitation":"(Statista Research Department 2022)"},"properties":{"noteIndex":0},"schema":"https://github.com/citation-style-language/schema/raw/master/csl-citation.json"}</w:instrText>
      </w:r>
      <w:r w:rsidRPr="00891EB5">
        <w:rPr>
          <w:rFonts w:ascii="Arial" w:hAnsi="Arial" w:cs="Arial"/>
          <w:sz w:val="24"/>
          <w:szCs w:val="24"/>
        </w:rPr>
        <w:fldChar w:fldCharType="separate"/>
      </w:r>
      <w:r w:rsidRPr="00891EB5">
        <w:rPr>
          <w:rFonts w:ascii="Arial" w:hAnsi="Arial" w:cs="Arial"/>
          <w:noProof/>
          <w:sz w:val="24"/>
          <w:szCs w:val="24"/>
        </w:rPr>
        <w:t>(Statista Research Department 2022)</w:t>
      </w:r>
      <w:r w:rsidRPr="00891EB5">
        <w:rPr>
          <w:rFonts w:ascii="Arial" w:hAnsi="Arial" w:cs="Arial"/>
          <w:sz w:val="24"/>
          <w:szCs w:val="24"/>
        </w:rPr>
        <w:fldChar w:fldCharType="end"/>
      </w:r>
      <w:r w:rsidRPr="00891EB5">
        <w:rPr>
          <w:rFonts w:ascii="Arial" w:hAnsi="Arial" w:cs="Arial"/>
          <w:sz w:val="24"/>
          <w:szCs w:val="24"/>
        </w:rPr>
        <w:t xml:space="preserve">. While the two managed to make a profit that year with Marriott doing better, both companies had seen a considerable decline in profitability since 2019 due to the COVID-19 pandemic. </w:t>
      </w:r>
    </w:p>
    <w:p w14:paraId="19C90BCE" w14:textId="77777777" w:rsidR="00891EB5" w:rsidRDefault="00891EB5" w:rsidP="00891EB5">
      <w:pPr>
        <w:spacing w:line="360" w:lineRule="auto"/>
        <w:ind w:firstLine="720"/>
        <w:jc w:val="both"/>
        <w:rPr>
          <w:rFonts w:ascii="Arial" w:hAnsi="Arial" w:cs="Arial"/>
          <w:sz w:val="24"/>
          <w:szCs w:val="24"/>
        </w:rPr>
      </w:pPr>
      <w:r w:rsidRPr="00891EB5">
        <w:rPr>
          <w:rFonts w:ascii="Arial" w:hAnsi="Arial" w:cs="Arial"/>
          <w:sz w:val="24"/>
          <w:szCs w:val="24"/>
        </w:rPr>
        <w:t xml:space="preserve">Regarding EPS, Marriott still did better than Hilton at $4.53 in 2021 compared to a mere $1.46 for Hilton. While these figures are low, the fact that the two hotels made more than the industry average shows they have better financial management than their competitors. The other aspect of profitability that the two companies differ is EBITDA in which Marriott had $2.311 billion in 2021 while Hilton had $1.629 respectively </w:t>
      </w:r>
      <w:r w:rsidRPr="00891EB5">
        <w:rPr>
          <w:rFonts w:ascii="Arial" w:hAnsi="Arial" w:cs="Arial"/>
          <w:sz w:val="24"/>
          <w:szCs w:val="24"/>
        </w:rPr>
        <w:fldChar w:fldCharType="begin" w:fldLock="1"/>
      </w:r>
      <w:r w:rsidRPr="00891EB5">
        <w:rPr>
          <w:rFonts w:ascii="Arial" w:hAnsi="Arial" w:cs="Arial"/>
          <w:sz w:val="24"/>
          <w:szCs w:val="24"/>
        </w:rPr>
        <w:instrText>ADDIN CSL_CITATION {"citationItems":[{"id":"ITEM-1","itemData":{"author":[{"dropping-particle":"","family":"MacroTrends","given":"","non-dropping-particle":"","parse-names":false,"suffix":""}],"container-title":"MacroTrends","id":"ITEM-1","issued":{"date-parts":[["2023"]]},"title":"Marriott EBITDA 2010-2022","type":"article"},"uris":["http://www.mendeley.com/documents/?uuid=30196b20-c397-4da6-a998-2a60fcb389a8"]},{"id":"ITEM-2","itemData":{"author":[{"dropping-particle":"","family":"Hollander","given":"Jordan","non-dropping-particle":"","parse-names":false,"suffix":""}],"container-title":"Hotel Tech Report","id":"ITEM-2","issued":{"date-parts":[["2020"]]},"title":"The Evolution of EBITDA in the Hotel Industry","type":"article"},"uris":["http://www.mendeley.com/documents/?uuid=5f91350b-657e-418c-9898-71c0df66d270"]}],"mendeley":{"formattedCitation":"(Hollander 2020; MacroTrends 2023)","plainTextFormattedCitation":"(Hollander 2020; MacroTrends 2023)","previouslyFormattedCitation":"(Hollander 2020; MacroTrends 2023)"},"properties":{"noteIndex":0},"schema":"https://github.com/citation-style-language/schema/raw/master/csl-citation.json"}</w:instrText>
      </w:r>
      <w:r w:rsidRPr="00891EB5">
        <w:rPr>
          <w:rFonts w:ascii="Arial" w:hAnsi="Arial" w:cs="Arial"/>
          <w:sz w:val="24"/>
          <w:szCs w:val="24"/>
        </w:rPr>
        <w:fldChar w:fldCharType="separate"/>
      </w:r>
      <w:r w:rsidRPr="00891EB5">
        <w:rPr>
          <w:rFonts w:ascii="Arial" w:hAnsi="Arial" w:cs="Arial"/>
          <w:noProof/>
          <w:sz w:val="24"/>
          <w:szCs w:val="24"/>
        </w:rPr>
        <w:t>(Hollander 2020; MacroTrends 2023)</w:t>
      </w:r>
      <w:r w:rsidRPr="00891EB5">
        <w:rPr>
          <w:rFonts w:ascii="Arial" w:hAnsi="Arial" w:cs="Arial"/>
          <w:sz w:val="24"/>
          <w:szCs w:val="24"/>
        </w:rPr>
        <w:fldChar w:fldCharType="end"/>
      </w:r>
      <w:r w:rsidRPr="00891EB5">
        <w:rPr>
          <w:rFonts w:ascii="Arial" w:hAnsi="Arial" w:cs="Arial"/>
          <w:sz w:val="24"/>
          <w:szCs w:val="24"/>
        </w:rPr>
        <w:t xml:space="preserve">. These variables show that the two companies have started on the path to recovery for their profitability after the far-reaching negative effects that the COVID-19 pandemic had on their operations. The recent recovery is evidence that the two companies have been working to push forward and use the resources they have at their disposal to make a profit.  </w:t>
      </w:r>
    </w:p>
    <w:p w14:paraId="53E31200" w14:textId="77777777" w:rsidR="00891EB5" w:rsidRDefault="00891EB5" w:rsidP="00891EB5">
      <w:pPr>
        <w:spacing w:line="360" w:lineRule="auto"/>
        <w:ind w:firstLine="720"/>
        <w:jc w:val="both"/>
        <w:rPr>
          <w:rFonts w:ascii="Arial" w:hAnsi="Arial" w:cs="Arial"/>
          <w:sz w:val="24"/>
          <w:szCs w:val="24"/>
        </w:rPr>
      </w:pPr>
    </w:p>
    <w:p w14:paraId="0912B764" w14:textId="5396F526" w:rsidR="00941132" w:rsidRDefault="00941132" w:rsidP="00941132">
      <w:pPr>
        <w:pStyle w:val="Heading1"/>
        <w:spacing w:line="360" w:lineRule="auto"/>
        <w:rPr>
          <w:rFonts w:ascii="Arial" w:eastAsiaTheme="minorHAnsi" w:hAnsi="Arial" w:cs="Arial"/>
          <w:b/>
          <w:bCs w:val="0"/>
        </w:rPr>
      </w:pPr>
      <w:r w:rsidRPr="00941132">
        <w:rPr>
          <w:rFonts w:ascii="Arial" w:eastAsiaTheme="minorHAnsi" w:hAnsi="Arial" w:cs="Arial"/>
          <w:b/>
          <w:bCs w:val="0"/>
        </w:rPr>
        <w:t>Customer Loyalty</w:t>
      </w:r>
    </w:p>
    <w:p w14:paraId="11E57C5D" w14:textId="77777777" w:rsidR="00941132" w:rsidRPr="00DB2B0B" w:rsidRDefault="00941132" w:rsidP="00DB2B0B">
      <w:pPr>
        <w:spacing w:line="360" w:lineRule="auto"/>
        <w:jc w:val="both"/>
        <w:rPr>
          <w:rFonts w:ascii="Arial" w:hAnsi="Arial" w:cs="Arial"/>
          <w:sz w:val="24"/>
          <w:szCs w:val="24"/>
        </w:rPr>
      </w:pPr>
    </w:p>
    <w:p w14:paraId="2B675F57" w14:textId="77777777" w:rsidR="00DB2B0B" w:rsidRDefault="00DB2B0B" w:rsidP="00DB2B0B">
      <w:pPr>
        <w:spacing w:line="360" w:lineRule="auto"/>
        <w:ind w:firstLine="720"/>
        <w:jc w:val="both"/>
        <w:rPr>
          <w:rFonts w:ascii="Arial" w:hAnsi="Arial" w:cs="Arial"/>
          <w:sz w:val="24"/>
          <w:szCs w:val="24"/>
        </w:rPr>
      </w:pPr>
      <w:r w:rsidRPr="00DB2B0B">
        <w:rPr>
          <w:rFonts w:ascii="Arial" w:hAnsi="Arial" w:cs="Arial"/>
          <w:sz w:val="24"/>
          <w:szCs w:val="24"/>
        </w:rPr>
        <w:t xml:space="preserve">The most successful companies are the ones that can achieve repeat business from their customers, as they can be assured of at least some of their sales. While not all customers seek the services of a company a second time, companies work towards convincing customers to give them as much repeat business as possible. The two hotels have loyalty programs whose purpose is to give the two companies a chance to attract and keep customers in the long term. The loyalty programs for Marriott and Hilton are referred to as Marriott Bonvoy and Hilton Honors, respectively. The programs reward and benefit company customers, especially members who book their trips and stay directly with the hotels. Various indicators like the number of members, satisfaction score, </w:t>
      </w:r>
      <w:r w:rsidRPr="00DB2B0B">
        <w:rPr>
          <w:rFonts w:ascii="Arial" w:hAnsi="Arial" w:cs="Arial"/>
          <w:sz w:val="24"/>
          <w:szCs w:val="24"/>
        </w:rPr>
        <w:lastRenderedPageBreak/>
        <w:t xml:space="preserve">redemption rate and retention rate indicate the success of the customer loyalty programs. Reports from the end of 2021 indicate that Marriott Bonvoy includes more than 153 million members, while the Holton Honours loyalty program had more than 115 million members at the end of 2020. The higher value for Marriott indicates that the company has a higher level of success for its loyalty program than Hilton. The redemption rate for Hilton Honors in 2020 and Marriott Bonvoy in 2021 were 60% and 67%, respectively, indicating that Marriott is also more successful than Hilton in this respect. The satisfaction scores of the Marriott Bonvoy in 2020 and Hilton Honors in 2019 were 8.4/10 and 8.3/10, respectively. In 2019, the retention rate for Marriott Bonvoy and Hilton Honors was 64% and 57%, respectively </w:t>
      </w:r>
      <w:r w:rsidRPr="00DB2B0B">
        <w:rPr>
          <w:rFonts w:ascii="Arial" w:hAnsi="Arial" w:cs="Arial"/>
          <w:sz w:val="24"/>
          <w:szCs w:val="24"/>
        </w:rPr>
        <w:fldChar w:fldCharType="begin" w:fldLock="1"/>
      </w:r>
      <w:r w:rsidRPr="00DB2B0B">
        <w:rPr>
          <w:rFonts w:ascii="Arial" w:hAnsi="Arial" w:cs="Arial"/>
          <w:sz w:val="24"/>
          <w:szCs w:val="24"/>
        </w:rPr>
        <w:instrText>ADDIN CSL_CITATION {"citationItems":[{"id":"ITEM-1","itemData":{"author":[{"dropping-particle":"","family":"Qubein","given":"Ramsey","non-dropping-particle":"","parse-names":false,"suffix":""}],"container-title":"NerdWallet","id":"ITEM-1","issued":{"date-parts":[["2023"]]},"title":"Hilton Honors vs. Marriott Bonvoy: Loyalty Program Showdown","type":"article"},"uris":["http://www.mendeley.com/documents/?uuid=3fc019ec-3549-40f0-9615-ea0894b29fb8"]}],"mendeley":{"formattedCitation":"(Qubein 2023)","plainTextFormattedCitation":"(Qubein 2023)","previouslyFormattedCitation":"(Qubein 2023)"},"properties":{"noteIndex":0},"schema":"https://github.com/citation-style-language/schema/raw/master/csl-citation.json"}</w:instrText>
      </w:r>
      <w:r w:rsidRPr="00DB2B0B">
        <w:rPr>
          <w:rFonts w:ascii="Arial" w:hAnsi="Arial" w:cs="Arial"/>
          <w:sz w:val="24"/>
          <w:szCs w:val="24"/>
        </w:rPr>
        <w:fldChar w:fldCharType="separate"/>
      </w:r>
      <w:r w:rsidRPr="00DB2B0B">
        <w:rPr>
          <w:rFonts w:ascii="Arial" w:hAnsi="Arial" w:cs="Arial"/>
          <w:noProof/>
          <w:sz w:val="24"/>
          <w:szCs w:val="24"/>
        </w:rPr>
        <w:t>(Qubein 2023)</w:t>
      </w:r>
      <w:r w:rsidRPr="00DB2B0B">
        <w:rPr>
          <w:rFonts w:ascii="Arial" w:hAnsi="Arial" w:cs="Arial"/>
          <w:sz w:val="24"/>
          <w:szCs w:val="24"/>
        </w:rPr>
        <w:fldChar w:fldCharType="end"/>
      </w:r>
      <w:r w:rsidRPr="00DB2B0B">
        <w:rPr>
          <w:rFonts w:ascii="Arial" w:hAnsi="Arial" w:cs="Arial"/>
          <w:sz w:val="24"/>
          <w:szCs w:val="24"/>
        </w:rPr>
        <w:t xml:space="preserve">. These values indicate that both hotels are highly successful in their customer loyalty programs, but, as is the case with the other performance measures, Marriott still outperforms Hilton. </w:t>
      </w:r>
    </w:p>
    <w:p w14:paraId="31ABC5E1" w14:textId="77777777" w:rsidR="008A71DB" w:rsidRDefault="008A71DB" w:rsidP="00DB2B0B">
      <w:pPr>
        <w:spacing w:line="360" w:lineRule="auto"/>
        <w:ind w:firstLine="720"/>
        <w:jc w:val="both"/>
        <w:rPr>
          <w:rFonts w:ascii="Arial" w:hAnsi="Arial" w:cs="Arial"/>
          <w:sz w:val="24"/>
          <w:szCs w:val="24"/>
        </w:rPr>
      </w:pPr>
    </w:p>
    <w:p w14:paraId="31066E01" w14:textId="77777777" w:rsidR="003F6536" w:rsidRDefault="003F6536" w:rsidP="003F6536">
      <w:pPr>
        <w:pStyle w:val="Heading1"/>
        <w:spacing w:line="360" w:lineRule="auto"/>
        <w:rPr>
          <w:rFonts w:ascii="Arial" w:eastAsiaTheme="minorHAnsi" w:hAnsi="Arial" w:cs="Arial"/>
          <w:b/>
          <w:bCs w:val="0"/>
        </w:rPr>
      </w:pPr>
      <w:r w:rsidRPr="003F6536">
        <w:rPr>
          <w:rFonts w:ascii="Arial" w:eastAsiaTheme="minorHAnsi" w:hAnsi="Arial" w:cs="Arial"/>
          <w:b/>
          <w:bCs w:val="0"/>
        </w:rPr>
        <w:t xml:space="preserve">Financial Commitment to CSR </w:t>
      </w:r>
    </w:p>
    <w:p w14:paraId="044C66CA" w14:textId="77777777" w:rsidR="003F6536" w:rsidRDefault="003F6536" w:rsidP="003F6536"/>
    <w:p w14:paraId="1A9B21BC" w14:textId="77777777" w:rsidR="00EE6DF8" w:rsidRPr="00EE6DF8" w:rsidRDefault="00EE6DF8" w:rsidP="00EE6DF8">
      <w:pPr>
        <w:spacing w:line="360" w:lineRule="auto"/>
        <w:ind w:firstLine="720"/>
        <w:jc w:val="both"/>
        <w:rPr>
          <w:rFonts w:ascii="Arial" w:hAnsi="Arial" w:cs="Arial"/>
          <w:sz w:val="24"/>
          <w:szCs w:val="24"/>
        </w:rPr>
      </w:pPr>
      <w:r w:rsidRPr="00EE6DF8">
        <w:rPr>
          <w:rFonts w:ascii="Arial" w:hAnsi="Arial" w:cs="Arial"/>
          <w:sz w:val="24"/>
          <w:szCs w:val="24"/>
        </w:rPr>
        <w:t xml:space="preserve">In the face of changes in consumer perceptions towards preferring the services of companies that do not cause harm to the natural environment and society, companies have had no option but to embrace corporate social responsibility (CSR). While CSR is meant to positively affect society and the natural environment, companies can use it as part of their strategy, whereby they are more able to attract consumers. Hilton and Marriott have made considerable CSR commitments in supporting local communities, reducing environmental impact, and promoting diversity and inclusion. Details of the CSR commitment of Marriott and Hilton, as is the case with the other factors discussed in this report, are evident in their reports and corporate websites. </w:t>
      </w:r>
    </w:p>
    <w:p w14:paraId="4C69FA5E" w14:textId="77777777" w:rsidR="00EE6DF8" w:rsidRPr="00EE6DF8" w:rsidRDefault="00EE6DF8" w:rsidP="00EE6DF8">
      <w:pPr>
        <w:spacing w:line="360" w:lineRule="auto"/>
        <w:ind w:firstLine="720"/>
        <w:jc w:val="both"/>
        <w:rPr>
          <w:rFonts w:ascii="Arial" w:hAnsi="Arial" w:cs="Arial"/>
          <w:sz w:val="24"/>
          <w:szCs w:val="24"/>
        </w:rPr>
      </w:pPr>
      <w:r w:rsidRPr="00EE6DF8">
        <w:rPr>
          <w:rFonts w:ascii="Arial" w:hAnsi="Arial" w:cs="Arial"/>
          <w:sz w:val="24"/>
          <w:szCs w:val="24"/>
        </w:rPr>
        <w:t xml:space="preserve">The two hotels have made considerable progress in improving the sustainability of their operations over the years. Marriott managed to reduce its operations' carbon, water, and waste intensity by 31%, 12%, and 18%, respectively, between 2016 and 2019. Within this period, the hotel also managed to reduce food waste by about 17% and is committed to achieving net zero carbon emissions in its operations by 2050. Hilton managed to outdo Marriott in this respect by scoring 36%, 22%, and 35 in reducing its operations' carbon, </w:t>
      </w:r>
      <w:proofErr w:type="gramStart"/>
      <w:r w:rsidRPr="00EE6DF8">
        <w:rPr>
          <w:rFonts w:ascii="Arial" w:hAnsi="Arial" w:cs="Arial"/>
          <w:sz w:val="24"/>
          <w:szCs w:val="24"/>
        </w:rPr>
        <w:lastRenderedPageBreak/>
        <w:t>water</w:t>
      </w:r>
      <w:proofErr w:type="gramEnd"/>
      <w:r w:rsidRPr="00EE6DF8">
        <w:rPr>
          <w:rFonts w:ascii="Arial" w:hAnsi="Arial" w:cs="Arial"/>
          <w:sz w:val="24"/>
          <w:szCs w:val="24"/>
        </w:rPr>
        <w:t xml:space="preserve"> and waste intensity, but for the wider period of 2008 to 2019. Within this period, the hotel also managed to reduce its food wastage by 43% and is committed to achieving net zero carbon emissions in its operations by 2050 </w:t>
      </w:r>
      <w:r w:rsidRPr="00EE6DF8">
        <w:rPr>
          <w:rFonts w:ascii="Arial" w:hAnsi="Arial" w:cs="Arial"/>
          <w:sz w:val="24"/>
          <w:szCs w:val="24"/>
        </w:rPr>
        <w:fldChar w:fldCharType="begin" w:fldLock="1"/>
      </w:r>
      <w:r w:rsidRPr="00EE6DF8">
        <w:rPr>
          <w:rFonts w:ascii="Arial" w:hAnsi="Arial" w:cs="Arial"/>
          <w:sz w:val="24"/>
          <w:szCs w:val="24"/>
        </w:rPr>
        <w:instrText>ADDIN CSL_CITATION {"citationItems":[{"id":"ITEM-1","itemData":{"author":[{"dropping-particle":"","family":"Marriott","given":"","non-dropping-particle":"","parse-names":false,"suffix":""}],"container-title":"Marriott International Newscenter (US)","id":"ITEM-1","issued":{"date-parts":[["2021"]]},"title":"Marriott International Announces Ambition To Go Net-Zero","type":"article"},"uris":["http://www.mendeley.com/documents/?uuid=c04b7a85-04eb-4545-a684-15f102603b1f"]}],"mendeley":{"formattedCitation":"(Marriott 2021)","plainTextFormattedCitation":"(Marriott 2021)","previouslyFormattedCitation":"(Marriott 2021)"},"properties":{"noteIndex":0},"schema":"https://github.com/citation-style-language/schema/raw/master/csl-citation.json"}</w:instrText>
      </w:r>
      <w:r w:rsidRPr="00EE6DF8">
        <w:rPr>
          <w:rFonts w:ascii="Arial" w:hAnsi="Arial" w:cs="Arial"/>
          <w:sz w:val="24"/>
          <w:szCs w:val="24"/>
        </w:rPr>
        <w:fldChar w:fldCharType="separate"/>
      </w:r>
      <w:r w:rsidRPr="00EE6DF8">
        <w:rPr>
          <w:rFonts w:ascii="Arial" w:hAnsi="Arial" w:cs="Arial"/>
          <w:noProof/>
          <w:sz w:val="24"/>
          <w:szCs w:val="24"/>
        </w:rPr>
        <w:t>(Marriott 2021)</w:t>
      </w:r>
      <w:r w:rsidRPr="00EE6DF8">
        <w:rPr>
          <w:rFonts w:ascii="Arial" w:hAnsi="Arial" w:cs="Arial"/>
          <w:sz w:val="24"/>
          <w:szCs w:val="24"/>
        </w:rPr>
        <w:fldChar w:fldCharType="end"/>
      </w:r>
      <w:r w:rsidRPr="00EE6DF8">
        <w:rPr>
          <w:rFonts w:ascii="Arial" w:hAnsi="Arial" w:cs="Arial"/>
          <w:sz w:val="24"/>
          <w:szCs w:val="24"/>
        </w:rPr>
        <w:t xml:space="preserve">. These changes indicate that the two organisations have been able to adapt their operations in response to the need to improve the sustainability of their operations. </w:t>
      </w:r>
    </w:p>
    <w:p w14:paraId="18B6D685" w14:textId="77777777" w:rsidR="00EE6DF8" w:rsidRDefault="00EE6DF8" w:rsidP="00EE6DF8">
      <w:pPr>
        <w:spacing w:line="360" w:lineRule="auto"/>
        <w:ind w:firstLine="720"/>
        <w:jc w:val="both"/>
        <w:rPr>
          <w:rFonts w:ascii="Arial" w:hAnsi="Arial" w:cs="Arial"/>
          <w:sz w:val="24"/>
          <w:szCs w:val="24"/>
        </w:rPr>
      </w:pPr>
      <w:r w:rsidRPr="00EE6DF8">
        <w:rPr>
          <w:rFonts w:ascii="Arial" w:hAnsi="Arial" w:cs="Arial"/>
          <w:sz w:val="24"/>
          <w:szCs w:val="24"/>
        </w:rPr>
        <w:t xml:space="preserve">The organisations also engage in other CSR activities, including charity work and working towards achieving diversity and representation. In 2019, Marriott supported more than 6,600 nonprofit organisations, donated $48 million to various organisations and courses, and gave at least 740,000 hours to volunteer work. Similarly, in the same year, Hilton supported more than 5,300 nonprofits, donated more than $29 million to different causes and organisations, and volunteered more than 550,000 hours. During the same year, Marriott increased female representation in global leadership to 54% and minority representation in United States leadership to 33%. Similarly, Hilton increased female representation in global leadership to 40% and minority representation in United States leadership to 30%. While Marriott edged out Hilton in these elements of CSR, both companies seem to be making a concerted effort to ensure that they positively impact the environment and society.  </w:t>
      </w:r>
    </w:p>
    <w:p w14:paraId="30E59BED" w14:textId="77777777" w:rsidR="00EE6DF8" w:rsidRPr="001A094D" w:rsidRDefault="00EE6DF8" w:rsidP="001A094D">
      <w:pPr>
        <w:spacing w:line="360" w:lineRule="auto"/>
        <w:ind w:firstLine="720"/>
        <w:jc w:val="both"/>
        <w:rPr>
          <w:rFonts w:ascii="Arial" w:hAnsi="Arial" w:cs="Arial"/>
          <w:b/>
          <w:sz w:val="24"/>
          <w:szCs w:val="24"/>
        </w:rPr>
      </w:pPr>
    </w:p>
    <w:p w14:paraId="6C6744B6" w14:textId="77777777" w:rsidR="001A094D" w:rsidRDefault="001A094D" w:rsidP="001A094D">
      <w:pPr>
        <w:pStyle w:val="Heading1"/>
        <w:spacing w:line="360" w:lineRule="auto"/>
        <w:rPr>
          <w:rFonts w:ascii="Arial" w:eastAsiaTheme="minorHAnsi" w:hAnsi="Arial" w:cs="Arial"/>
          <w:b/>
          <w:bCs w:val="0"/>
        </w:rPr>
      </w:pPr>
      <w:r w:rsidRPr="001A094D">
        <w:rPr>
          <w:rFonts w:ascii="Arial" w:eastAsiaTheme="minorHAnsi" w:hAnsi="Arial" w:cs="Arial"/>
          <w:b/>
          <w:bCs w:val="0"/>
        </w:rPr>
        <w:t xml:space="preserve">Recommendations </w:t>
      </w:r>
    </w:p>
    <w:p w14:paraId="31118355" w14:textId="77777777" w:rsidR="001A094D" w:rsidRDefault="001A094D" w:rsidP="001A094D"/>
    <w:p w14:paraId="07236155" w14:textId="601F64A7" w:rsidR="00CE4D4A" w:rsidRDefault="00CE4D4A" w:rsidP="00CE4D4A">
      <w:pPr>
        <w:spacing w:line="360" w:lineRule="auto"/>
        <w:ind w:firstLine="720"/>
        <w:jc w:val="both"/>
        <w:rPr>
          <w:rFonts w:ascii="Arial" w:hAnsi="Arial" w:cs="Arial"/>
          <w:sz w:val="24"/>
          <w:szCs w:val="24"/>
        </w:rPr>
      </w:pPr>
      <w:r w:rsidRPr="00CE4D4A">
        <w:rPr>
          <w:rFonts w:ascii="Arial" w:hAnsi="Arial" w:cs="Arial"/>
          <w:sz w:val="24"/>
          <w:szCs w:val="24"/>
        </w:rPr>
        <w:t xml:space="preserve">Marriott needs to expand its operations more into the developing and emerging world in Africa, Asia, and South America. In these places, the economies are growing, and the middle class is expanding, which means the firm should be able to increase its overall global reach beyond its current limits. Hilton should invest in technologies to enhance its operations and improve guest experience. </w:t>
      </w:r>
      <w:proofErr w:type="gramStart"/>
      <w:r w:rsidRPr="00CE4D4A">
        <w:rPr>
          <w:rFonts w:ascii="Arial" w:hAnsi="Arial" w:cs="Arial"/>
          <w:sz w:val="24"/>
          <w:szCs w:val="24"/>
        </w:rPr>
        <w:t>Through the use of</w:t>
      </w:r>
      <w:proofErr w:type="gramEnd"/>
      <w:r w:rsidRPr="00CE4D4A">
        <w:rPr>
          <w:rFonts w:ascii="Arial" w:hAnsi="Arial" w:cs="Arial"/>
          <w:sz w:val="24"/>
          <w:szCs w:val="24"/>
        </w:rPr>
        <w:t xml:space="preserve"> large data models and analytics, the company should be able to anticipate market changes and improve outcomes for the company and its stakeholders. </w:t>
      </w:r>
    </w:p>
    <w:p w14:paraId="761A7D61" w14:textId="77777777" w:rsidR="0041597A" w:rsidRDefault="0041597A" w:rsidP="00CE4D4A">
      <w:pPr>
        <w:spacing w:line="360" w:lineRule="auto"/>
        <w:ind w:firstLine="720"/>
        <w:jc w:val="both"/>
        <w:rPr>
          <w:rFonts w:ascii="Arial" w:hAnsi="Arial" w:cs="Arial"/>
          <w:sz w:val="24"/>
          <w:szCs w:val="24"/>
        </w:rPr>
      </w:pPr>
    </w:p>
    <w:p w14:paraId="4FD2C052" w14:textId="77777777" w:rsidR="0041597A" w:rsidRDefault="0041597A" w:rsidP="00CE4D4A">
      <w:pPr>
        <w:spacing w:line="360" w:lineRule="auto"/>
        <w:ind w:firstLine="720"/>
        <w:jc w:val="both"/>
        <w:rPr>
          <w:rFonts w:ascii="Arial" w:hAnsi="Arial" w:cs="Arial"/>
          <w:sz w:val="24"/>
          <w:szCs w:val="24"/>
        </w:rPr>
      </w:pPr>
    </w:p>
    <w:p w14:paraId="5B853342" w14:textId="77777777" w:rsidR="00640BF8" w:rsidRDefault="00640BF8" w:rsidP="00640BF8">
      <w:pPr>
        <w:pStyle w:val="Heading1"/>
        <w:spacing w:line="360" w:lineRule="auto"/>
        <w:rPr>
          <w:rFonts w:ascii="Arial" w:eastAsiaTheme="minorHAnsi" w:hAnsi="Arial" w:cs="Arial"/>
          <w:b/>
          <w:bCs w:val="0"/>
        </w:rPr>
      </w:pPr>
      <w:r w:rsidRPr="00640BF8">
        <w:rPr>
          <w:rFonts w:ascii="Arial" w:eastAsiaTheme="minorHAnsi" w:hAnsi="Arial" w:cs="Arial"/>
          <w:b/>
          <w:bCs w:val="0"/>
        </w:rPr>
        <w:lastRenderedPageBreak/>
        <w:t xml:space="preserve">References </w:t>
      </w:r>
    </w:p>
    <w:p w14:paraId="563C9094" w14:textId="77777777" w:rsidR="00640BF8" w:rsidRDefault="00640BF8" w:rsidP="00640BF8"/>
    <w:p w14:paraId="1FFA4D5F" w14:textId="77777777" w:rsidR="00FA2C07" w:rsidRPr="00FA2C07" w:rsidRDefault="00FA2C07" w:rsidP="00FA2C07">
      <w:pPr>
        <w:widowControl w:val="0"/>
        <w:autoSpaceDE w:val="0"/>
        <w:autoSpaceDN w:val="0"/>
        <w:adjustRightInd w:val="0"/>
        <w:spacing w:line="360" w:lineRule="auto"/>
        <w:ind w:left="720" w:hanging="720"/>
        <w:jc w:val="both"/>
        <w:rPr>
          <w:rFonts w:ascii="Arial" w:hAnsi="Arial" w:cs="Arial"/>
          <w:noProof/>
          <w:sz w:val="24"/>
          <w:szCs w:val="24"/>
        </w:rPr>
      </w:pPr>
      <w:r w:rsidRPr="00FA2C07">
        <w:rPr>
          <w:rFonts w:ascii="Arial" w:hAnsi="Arial" w:cs="Arial"/>
          <w:sz w:val="24"/>
          <w:szCs w:val="24"/>
        </w:rPr>
        <w:fldChar w:fldCharType="begin" w:fldLock="1"/>
      </w:r>
      <w:r w:rsidRPr="00FA2C07">
        <w:rPr>
          <w:rFonts w:ascii="Arial" w:hAnsi="Arial" w:cs="Arial"/>
          <w:sz w:val="24"/>
          <w:szCs w:val="24"/>
        </w:rPr>
        <w:instrText xml:space="preserve">ADDIN Mendeley Bibliography CSL_BIBLIOGRAPHY </w:instrText>
      </w:r>
      <w:r w:rsidRPr="00FA2C07">
        <w:rPr>
          <w:rFonts w:ascii="Arial" w:hAnsi="Arial" w:cs="Arial"/>
          <w:sz w:val="24"/>
          <w:szCs w:val="24"/>
        </w:rPr>
        <w:fldChar w:fldCharType="separate"/>
      </w:r>
      <w:r w:rsidRPr="00FA2C07">
        <w:rPr>
          <w:rFonts w:ascii="Arial" w:hAnsi="Arial" w:cs="Arial"/>
          <w:noProof/>
          <w:sz w:val="24"/>
          <w:szCs w:val="24"/>
        </w:rPr>
        <w:t xml:space="preserve">Baah, C., Opoku-Agyeman, D., Acquah, I.S.K., Agyabeng-Mensah, Y., Afum, E., Faibil, D. and Abdoulaye, F.A.M. 2021. Examining the correlations between stakeholder pressures, green production practices, firm reputation, environmental and financial performance: Evidence from manufacturing SMEs. </w:t>
      </w:r>
      <w:r w:rsidRPr="00FA2C07">
        <w:rPr>
          <w:rFonts w:ascii="Arial" w:hAnsi="Arial" w:cs="Arial"/>
          <w:i/>
          <w:iCs/>
          <w:noProof/>
          <w:sz w:val="24"/>
          <w:szCs w:val="24"/>
        </w:rPr>
        <w:t>Sustainable Production and Consumption</w:t>
      </w:r>
      <w:r w:rsidRPr="00FA2C07">
        <w:rPr>
          <w:rFonts w:ascii="Arial" w:hAnsi="Arial" w:cs="Arial"/>
          <w:noProof/>
          <w:sz w:val="24"/>
          <w:szCs w:val="24"/>
        </w:rPr>
        <w:t xml:space="preserve"> 27, pp. 100–114. doi: 10.1016/j.spc.2020.10.015.</w:t>
      </w:r>
    </w:p>
    <w:p w14:paraId="6076EAB6" w14:textId="77777777" w:rsidR="00FA2C07" w:rsidRPr="00FA2C07" w:rsidRDefault="00FA2C07" w:rsidP="00FA2C07">
      <w:pPr>
        <w:widowControl w:val="0"/>
        <w:autoSpaceDE w:val="0"/>
        <w:autoSpaceDN w:val="0"/>
        <w:adjustRightInd w:val="0"/>
        <w:spacing w:line="360" w:lineRule="auto"/>
        <w:ind w:left="720" w:hanging="720"/>
        <w:jc w:val="both"/>
        <w:rPr>
          <w:rFonts w:ascii="Arial" w:hAnsi="Arial" w:cs="Arial"/>
          <w:noProof/>
          <w:sz w:val="24"/>
          <w:szCs w:val="24"/>
        </w:rPr>
      </w:pPr>
      <w:r w:rsidRPr="00FA2C07">
        <w:rPr>
          <w:rFonts w:ascii="Arial" w:hAnsi="Arial" w:cs="Arial"/>
          <w:noProof/>
          <w:sz w:val="24"/>
          <w:szCs w:val="24"/>
        </w:rPr>
        <w:t xml:space="preserve">Hilton. 2023a. Hilton Hotels &amp; Resorts Awarded in Brand Finance Global 500 2020 Report. </w:t>
      </w:r>
      <w:r w:rsidRPr="00FA2C07">
        <w:rPr>
          <w:rFonts w:ascii="Arial" w:hAnsi="Arial" w:cs="Arial"/>
          <w:i/>
          <w:iCs/>
          <w:noProof/>
          <w:sz w:val="24"/>
          <w:szCs w:val="24"/>
        </w:rPr>
        <w:t>Stories From Hilton</w:t>
      </w:r>
      <w:r w:rsidRPr="00FA2C07">
        <w:rPr>
          <w:rFonts w:ascii="Arial" w:hAnsi="Arial" w:cs="Arial"/>
          <w:noProof/>
          <w:sz w:val="24"/>
          <w:szCs w:val="24"/>
        </w:rPr>
        <w:t>. Available at: https://stories.hilton.com/releases/hilton-hotels-resorts-awarded-in-brand-finance-global-500-2020-report.</w:t>
      </w:r>
    </w:p>
    <w:p w14:paraId="4D17209B" w14:textId="77777777" w:rsidR="00FA2C07" w:rsidRPr="00FA2C07" w:rsidRDefault="00FA2C07" w:rsidP="00FA2C07">
      <w:pPr>
        <w:widowControl w:val="0"/>
        <w:autoSpaceDE w:val="0"/>
        <w:autoSpaceDN w:val="0"/>
        <w:adjustRightInd w:val="0"/>
        <w:spacing w:line="360" w:lineRule="auto"/>
        <w:ind w:left="720" w:hanging="720"/>
        <w:jc w:val="both"/>
        <w:rPr>
          <w:rFonts w:ascii="Arial" w:hAnsi="Arial" w:cs="Arial"/>
          <w:noProof/>
          <w:sz w:val="24"/>
          <w:szCs w:val="24"/>
        </w:rPr>
      </w:pPr>
      <w:r w:rsidRPr="00FA2C07">
        <w:rPr>
          <w:rFonts w:ascii="Arial" w:hAnsi="Arial" w:cs="Arial"/>
          <w:noProof/>
          <w:sz w:val="24"/>
          <w:szCs w:val="24"/>
        </w:rPr>
        <w:t xml:space="preserve">Hilton. 2023b. Hilton Media Kit. </w:t>
      </w:r>
      <w:r w:rsidRPr="00FA2C07">
        <w:rPr>
          <w:rFonts w:ascii="Arial" w:hAnsi="Arial" w:cs="Arial"/>
          <w:i/>
          <w:iCs/>
          <w:noProof/>
          <w:sz w:val="24"/>
          <w:szCs w:val="24"/>
        </w:rPr>
        <w:t>Stories From Hilton</w:t>
      </w:r>
      <w:r w:rsidRPr="00FA2C07">
        <w:rPr>
          <w:rFonts w:ascii="Arial" w:hAnsi="Arial" w:cs="Arial"/>
          <w:noProof/>
          <w:sz w:val="24"/>
          <w:szCs w:val="24"/>
        </w:rPr>
        <w:t>. Available at: https://stories.hilton.com/media-kit-hilton-corporate.</w:t>
      </w:r>
    </w:p>
    <w:p w14:paraId="0B4AC802" w14:textId="77777777" w:rsidR="00FA2C07" w:rsidRPr="00FA2C07" w:rsidRDefault="00FA2C07" w:rsidP="00FA2C07">
      <w:pPr>
        <w:widowControl w:val="0"/>
        <w:autoSpaceDE w:val="0"/>
        <w:autoSpaceDN w:val="0"/>
        <w:adjustRightInd w:val="0"/>
        <w:spacing w:line="360" w:lineRule="auto"/>
        <w:ind w:left="720" w:hanging="720"/>
        <w:jc w:val="both"/>
        <w:rPr>
          <w:rFonts w:ascii="Arial" w:hAnsi="Arial" w:cs="Arial"/>
          <w:noProof/>
          <w:sz w:val="24"/>
          <w:szCs w:val="24"/>
        </w:rPr>
      </w:pPr>
      <w:r w:rsidRPr="00FA2C07">
        <w:rPr>
          <w:rFonts w:ascii="Arial" w:hAnsi="Arial" w:cs="Arial"/>
          <w:noProof/>
          <w:sz w:val="24"/>
          <w:szCs w:val="24"/>
        </w:rPr>
        <w:t xml:space="preserve">Hollander, J. 2020. The Evolution of EBITDA in the Hotel Industry. </w:t>
      </w:r>
      <w:r w:rsidRPr="00FA2C07">
        <w:rPr>
          <w:rFonts w:ascii="Arial" w:hAnsi="Arial" w:cs="Arial"/>
          <w:i/>
          <w:iCs/>
          <w:noProof/>
          <w:sz w:val="24"/>
          <w:szCs w:val="24"/>
        </w:rPr>
        <w:t>Hotel Tech Report</w:t>
      </w:r>
      <w:r w:rsidRPr="00FA2C07">
        <w:rPr>
          <w:rFonts w:ascii="Arial" w:hAnsi="Arial" w:cs="Arial"/>
          <w:noProof/>
          <w:sz w:val="24"/>
          <w:szCs w:val="24"/>
        </w:rPr>
        <w:t>. Available at: https://hoteltechreport.com/news/ebitda-trends.</w:t>
      </w:r>
    </w:p>
    <w:p w14:paraId="4EE7A534" w14:textId="77777777" w:rsidR="00FA2C07" w:rsidRPr="00FA2C07" w:rsidRDefault="00FA2C07" w:rsidP="00FA2C07">
      <w:pPr>
        <w:widowControl w:val="0"/>
        <w:autoSpaceDE w:val="0"/>
        <w:autoSpaceDN w:val="0"/>
        <w:adjustRightInd w:val="0"/>
        <w:spacing w:line="360" w:lineRule="auto"/>
        <w:ind w:left="720" w:hanging="720"/>
        <w:jc w:val="both"/>
        <w:rPr>
          <w:rFonts w:ascii="Arial" w:hAnsi="Arial" w:cs="Arial"/>
          <w:noProof/>
          <w:sz w:val="24"/>
          <w:szCs w:val="24"/>
        </w:rPr>
      </w:pPr>
      <w:r w:rsidRPr="00FA2C07">
        <w:rPr>
          <w:rFonts w:ascii="Arial" w:hAnsi="Arial" w:cs="Arial"/>
          <w:noProof/>
          <w:sz w:val="24"/>
          <w:szCs w:val="24"/>
        </w:rPr>
        <w:t xml:space="preserve">MacroTrends. 2023. Marriott EBITDA 2010-2022. </w:t>
      </w:r>
      <w:r w:rsidRPr="00FA2C07">
        <w:rPr>
          <w:rFonts w:ascii="Arial" w:hAnsi="Arial" w:cs="Arial"/>
          <w:i/>
          <w:iCs/>
          <w:noProof/>
          <w:sz w:val="24"/>
          <w:szCs w:val="24"/>
        </w:rPr>
        <w:t>MacroTrends</w:t>
      </w:r>
      <w:r w:rsidRPr="00FA2C07">
        <w:rPr>
          <w:rFonts w:ascii="Arial" w:hAnsi="Arial" w:cs="Arial"/>
          <w:noProof/>
          <w:sz w:val="24"/>
          <w:szCs w:val="24"/>
        </w:rPr>
        <w:t>. Available at: https://www.macrotrends.net/stocks/charts/MAR/marriott/ebitda.</w:t>
      </w:r>
    </w:p>
    <w:p w14:paraId="27B9A9BD" w14:textId="77777777" w:rsidR="00FA2C07" w:rsidRPr="00FA2C07" w:rsidRDefault="00FA2C07" w:rsidP="00FA2C07">
      <w:pPr>
        <w:widowControl w:val="0"/>
        <w:autoSpaceDE w:val="0"/>
        <w:autoSpaceDN w:val="0"/>
        <w:adjustRightInd w:val="0"/>
        <w:spacing w:line="360" w:lineRule="auto"/>
        <w:ind w:left="720" w:hanging="720"/>
        <w:jc w:val="both"/>
        <w:rPr>
          <w:rFonts w:ascii="Arial" w:hAnsi="Arial" w:cs="Arial"/>
          <w:noProof/>
          <w:sz w:val="24"/>
          <w:szCs w:val="24"/>
        </w:rPr>
      </w:pPr>
      <w:r w:rsidRPr="00FA2C07">
        <w:rPr>
          <w:rFonts w:ascii="Arial" w:hAnsi="Arial" w:cs="Arial"/>
          <w:noProof/>
          <w:sz w:val="24"/>
          <w:szCs w:val="24"/>
        </w:rPr>
        <w:t xml:space="preserve">Marriott. 2021. Marriott International Announces Ambition To Go Net-Zero. </w:t>
      </w:r>
      <w:r w:rsidRPr="00FA2C07">
        <w:rPr>
          <w:rFonts w:ascii="Arial" w:hAnsi="Arial" w:cs="Arial"/>
          <w:i/>
          <w:iCs/>
          <w:noProof/>
          <w:sz w:val="24"/>
          <w:szCs w:val="24"/>
        </w:rPr>
        <w:t>Marriott International Newscenter (US)</w:t>
      </w:r>
      <w:r w:rsidRPr="00FA2C07">
        <w:rPr>
          <w:rFonts w:ascii="Arial" w:hAnsi="Arial" w:cs="Arial"/>
          <w:noProof/>
          <w:sz w:val="24"/>
          <w:szCs w:val="24"/>
        </w:rPr>
        <w:t>. Available at: https://news.marriott.com/news/2021/09/22/marriott-international-announces-ambition-to-go-net-zero.</w:t>
      </w:r>
    </w:p>
    <w:p w14:paraId="18B17614" w14:textId="77777777" w:rsidR="00FA2C07" w:rsidRPr="00FA2C07" w:rsidRDefault="00FA2C07" w:rsidP="00FA2C07">
      <w:pPr>
        <w:widowControl w:val="0"/>
        <w:autoSpaceDE w:val="0"/>
        <w:autoSpaceDN w:val="0"/>
        <w:adjustRightInd w:val="0"/>
        <w:spacing w:line="360" w:lineRule="auto"/>
        <w:ind w:left="720" w:hanging="720"/>
        <w:jc w:val="both"/>
        <w:rPr>
          <w:rFonts w:ascii="Arial" w:hAnsi="Arial" w:cs="Arial"/>
          <w:noProof/>
          <w:sz w:val="24"/>
          <w:szCs w:val="24"/>
        </w:rPr>
      </w:pPr>
      <w:r w:rsidRPr="00FA2C07">
        <w:rPr>
          <w:rFonts w:ascii="Arial" w:hAnsi="Arial" w:cs="Arial"/>
          <w:noProof/>
          <w:sz w:val="24"/>
          <w:szCs w:val="24"/>
        </w:rPr>
        <w:t xml:space="preserve">Nguyen, T.N.L. and Nguyen, V.C. 2020. The determinants of profitability in listed enterprises: A study from vietnamese stock exchange. </w:t>
      </w:r>
      <w:r w:rsidRPr="00FA2C07">
        <w:rPr>
          <w:rFonts w:ascii="Arial" w:hAnsi="Arial" w:cs="Arial"/>
          <w:i/>
          <w:iCs/>
          <w:noProof/>
          <w:sz w:val="24"/>
          <w:szCs w:val="24"/>
        </w:rPr>
        <w:t>Journal of Asian Finance, Economics and Business</w:t>
      </w:r>
      <w:r w:rsidRPr="00FA2C07">
        <w:rPr>
          <w:rFonts w:ascii="Arial" w:hAnsi="Arial" w:cs="Arial"/>
          <w:noProof/>
          <w:sz w:val="24"/>
          <w:szCs w:val="24"/>
        </w:rPr>
        <w:t xml:space="preserve"> 7(1), pp. 47–58. doi: 10.13106/jafeb.2020.vol7.no1.47.</w:t>
      </w:r>
    </w:p>
    <w:p w14:paraId="6B0B9C81" w14:textId="77777777" w:rsidR="00FA2C07" w:rsidRPr="00FA2C07" w:rsidRDefault="00FA2C07" w:rsidP="00FA2C07">
      <w:pPr>
        <w:widowControl w:val="0"/>
        <w:autoSpaceDE w:val="0"/>
        <w:autoSpaceDN w:val="0"/>
        <w:adjustRightInd w:val="0"/>
        <w:spacing w:line="360" w:lineRule="auto"/>
        <w:ind w:left="720" w:hanging="720"/>
        <w:jc w:val="both"/>
        <w:rPr>
          <w:rFonts w:ascii="Arial" w:hAnsi="Arial" w:cs="Arial"/>
          <w:noProof/>
          <w:sz w:val="24"/>
          <w:szCs w:val="24"/>
        </w:rPr>
      </w:pPr>
      <w:r w:rsidRPr="00FA2C07">
        <w:rPr>
          <w:rFonts w:ascii="Arial" w:hAnsi="Arial" w:cs="Arial"/>
          <w:noProof/>
          <w:sz w:val="24"/>
          <w:szCs w:val="24"/>
        </w:rPr>
        <w:t xml:space="preserve">Qubein, R. 2023. Hilton Honors vs. Marriott Bonvoy: Loyalty Program Showdown. </w:t>
      </w:r>
      <w:r w:rsidRPr="00FA2C07">
        <w:rPr>
          <w:rFonts w:ascii="Arial" w:hAnsi="Arial" w:cs="Arial"/>
          <w:i/>
          <w:iCs/>
          <w:noProof/>
          <w:sz w:val="24"/>
          <w:szCs w:val="24"/>
        </w:rPr>
        <w:t>NerdWallet</w:t>
      </w:r>
      <w:r w:rsidRPr="00FA2C07">
        <w:rPr>
          <w:rFonts w:ascii="Arial" w:hAnsi="Arial" w:cs="Arial"/>
          <w:noProof/>
          <w:sz w:val="24"/>
          <w:szCs w:val="24"/>
        </w:rPr>
        <w:t>. Available at: https://www.nerdwallet.com/article/travel/hilton-honors-vs-marriott-bonvoy-2.</w:t>
      </w:r>
    </w:p>
    <w:p w14:paraId="377FE664" w14:textId="77777777" w:rsidR="00FA2C07" w:rsidRPr="00FA2C07" w:rsidRDefault="00FA2C07" w:rsidP="00FA2C07">
      <w:pPr>
        <w:widowControl w:val="0"/>
        <w:autoSpaceDE w:val="0"/>
        <w:autoSpaceDN w:val="0"/>
        <w:adjustRightInd w:val="0"/>
        <w:spacing w:line="360" w:lineRule="auto"/>
        <w:ind w:left="720" w:hanging="720"/>
        <w:jc w:val="both"/>
        <w:rPr>
          <w:rFonts w:ascii="Arial" w:hAnsi="Arial" w:cs="Arial"/>
          <w:noProof/>
          <w:sz w:val="24"/>
          <w:szCs w:val="24"/>
        </w:rPr>
      </w:pPr>
      <w:r w:rsidRPr="00FA2C07">
        <w:rPr>
          <w:rFonts w:ascii="Arial" w:hAnsi="Arial" w:cs="Arial"/>
          <w:noProof/>
          <w:sz w:val="24"/>
          <w:szCs w:val="24"/>
        </w:rPr>
        <w:t xml:space="preserve">Smith, C. 2018. Interesting Marriott Statistics and Facts. </w:t>
      </w:r>
      <w:r w:rsidRPr="00FA2C07">
        <w:rPr>
          <w:rFonts w:ascii="Arial" w:hAnsi="Arial" w:cs="Arial"/>
          <w:i/>
          <w:iCs/>
          <w:noProof/>
          <w:sz w:val="24"/>
          <w:szCs w:val="24"/>
        </w:rPr>
        <w:t>DMR</w:t>
      </w:r>
      <w:r w:rsidRPr="00FA2C07">
        <w:rPr>
          <w:rFonts w:ascii="Arial" w:hAnsi="Arial" w:cs="Arial"/>
          <w:noProof/>
          <w:sz w:val="24"/>
          <w:szCs w:val="24"/>
        </w:rPr>
        <w:t>. Available at: https://expandedramblings.com/index.php/marriott-statistics-and-</w:t>
      </w:r>
      <w:r w:rsidRPr="00FA2C07">
        <w:rPr>
          <w:rFonts w:ascii="Arial" w:hAnsi="Arial" w:cs="Arial"/>
          <w:noProof/>
          <w:sz w:val="24"/>
          <w:szCs w:val="24"/>
        </w:rPr>
        <w:lastRenderedPageBreak/>
        <w:t>facts/#:~:text=Marriott Revenue Totals Marriott.</w:t>
      </w:r>
    </w:p>
    <w:p w14:paraId="40B668F6" w14:textId="77777777" w:rsidR="00FA2C07" w:rsidRPr="00FA2C07" w:rsidRDefault="00FA2C07" w:rsidP="00FA2C07">
      <w:pPr>
        <w:widowControl w:val="0"/>
        <w:autoSpaceDE w:val="0"/>
        <w:autoSpaceDN w:val="0"/>
        <w:adjustRightInd w:val="0"/>
        <w:spacing w:line="360" w:lineRule="auto"/>
        <w:ind w:left="720" w:hanging="720"/>
        <w:jc w:val="both"/>
        <w:rPr>
          <w:rFonts w:ascii="Arial" w:hAnsi="Arial" w:cs="Arial"/>
          <w:noProof/>
          <w:sz w:val="24"/>
          <w:szCs w:val="24"/>
        </w:rPr>
      </w:pPr>
      <w:r w:rsidRPr="00FA2C07">
        <w:rPr>
          <w:rFonts w:ascii="Arial" w:hAnsi="Arial" w:cs="Arial"/>
          <w:noProof/>
          <w:sz w:val="24"/>
          <w:szCs w:val="24"/>
        </w:rPr>
        <w:t xml:space="preserve">Statista Research Department. 2022. Hilton Worldwide Holdings Inc.: revenue 2019. </w:t>
      </w:r>
      <w:r w:rsidRPr="00FA2C07">
        <w:rPr>
          <w:rFonts w:ascii="Arial" w:hAnsi="Arial" w:cs="Arial"/>
          <w:i/>
          <w:iCs/>
          <w:noProof/>
          <w:sz w:val="24"/>
          <w:szCs w:val="24"/>
        </w:rPr>
        <w:t>Statista</w:t>
      </w:r>
      <w:r w:rsidRPr="00FA2C07">
        <w:rPr>
          <w:rFonts w:ascii="Arial" w:hAnsi="Arial" w:cs="Arial"/>
          <w:noProof/>
          <w:sz w:val="24"/>
          <w:szCs w:val="24"/>
        </w:rPr>
        <w:t>. Available at: https://www.statista.com/statistics/297760/revenue-of-hilton-worldwide-holdings-inc/.</w:t>
      </w:r>
    </w:p>
    <w:p w14:paraId="30E58F04" w14:textId="77777777" w:rsidR="00FA2C07" w:rsidRPr="00FA2C07" w:rsidRDefault="00FA2C07" w:rsidP="00FA2C07">
      <w:pPr>
        <w:widowControl w:val="0"/>
        <w:autoSpaceDE w:val="0"/>
        <w:autoSpaceDN w:val="0"/>
        <w:adjustRightInd w:val="0"/>
        <w:spacing w:line="360" w:lineRule="auto"/>
        <w:ind w:left="720" w:hanging="720"/>
        <w:jc w:val="both"/>
        <w:rPr>
          <w:rFonts w:ascii="Arial" w:hAnsi="Arial" w:cs="Arial"/>
          <w:noProof/>
          <w:sz w:val="24"/>
          <w:szCs w:val="24"/>
        </w:rPr>
      </w:pPr>
      <w:r w:rsidRPr="00FA2C07">
        <w:rPr>
          <w:rFonts w:ascii="Arial" w:hAnsi="Arial" w:cs="Arial"/>
          <w:noProof/>
          <w:sz w:val="24"/>
          <w:szCs w:val="24"/>
        </w:rPr>
        <w:t xml:space="preserve">Statista Research Department. 2023a. Hilton Worldwide Holdings Inc.: Revenue 2019. </w:t>
      </w:r>
      <w:r w:rsidRPr="00FA2C07">
        <w:rPr>
          <w:rFonts w:ascii="Arial" w:hAnsi="Arial" w:cs="Arial"/>
          <w:i/>
          <w:iCs/>
          <w:noProof/>
          <w:sz w:val="24"/>
          <w:szCs w:val="24"/>
        </w:rPr>
        <w:t>Statista</w:t>
      </w:r>
      <w:r w:rsidRPr="00FA2C07">
        <w:rPr>
          <w:rFonts w:ascii="Arial" w:hAnsi="Arial" w:cs="Arial"/>
          <w:noProof/>
          <w:sz w:val="24"/>
          <w:szCs w:val="24"/>
        </w:rPr>
        <w:t>. Available at: https://www.statista.com/statistics/297760/revenue-of-hilton-worldwide-holdings-inc/.</w:t>
      </w:r>
    </w:p>
    <w:p w14:paraId="71AC6AA3" w14:textId="77777777" w:rsidR="00FA2C07" w:rsidRPr="00FA2C07" w:rsidRDefault="00FA2C07" w:rsidP="00FA2C07">
      <w:pPr>
        <w:widowControl w:val="0"/>
        <w:autoSpaceDE w:val="0"/>
        <w:autoSpaceDN w:val="0"/>
        <w:adjustRightInd w:val="0"/>
        <w:spacing w:line="360" w:lineRule="auto"/>
        <w:ind w:left="720" w:hanging="720"/>
        <w:jc w:val="both"/>
        <w:rPr>
          <w:rFonts w:ascii="Arial" w:hAnsi="Arial" w:cs="Arial"/>
          <w:noProof/>
          <w:sz w:val="24"/>
          <w:szCs w:val="24"/>
        </w:rPr>
      </w:pPr>
      <w:r w:rsidRPr="00FA2C07">
        <w:rPr>
          <w:rFonts w:ascii="Arial" w:hAnsi="Arial" w:cs="Arial"/>
          <w:noProof/>
          <w:sz w:val="24"/>
          <w:szCs w:val="24"/>
        </w:rPr>
        <w:t xml:space="preserve">Statista Research Department. 2023b. Marriott hotels worldwide 2022. </w:t>
      </w:r>
      <w:r w:rsidRPr="00FA2C07">
        <w:rPr>
          <w:rFonts w:ascii="Arial" w:hAnsi="Arial" w:cs="Arial"/>
          <w:i/>
          <w:iCs/>
          <w:noProof/>
          <w:sz w:val="24"/>
          <w:szCs w:val="24"/>
        </w:rPr>
        <w:t>Statista</w:t>
      </w:r>
      <w:r w:rsidRPr="00FA2C07">
        <w:rPr>
          <w:rFonts w:ascii="Arial" w:hAnsi="Arial" w:cs="Arial"/>
          <w:noProof/>
          <w:sz w:val="24"/>
          <w:szCs w:val="24"/>
        </w:rPr>
        <w:t>. Available at: https://www.statista.com/statistics/247285/number-of-marriott-international-hotels-worldwide/#:~:text=Marriott increased its international presence outside of the.</w:t>
      </w:r>
    </w:p>
    <w:p w14:paraId="7E83D56A" w14:textId="77777777" w:rsidR="00FA2C07" w:rsidRPr="00FA2C07" w:rsidRDefault="00FA2C07" w:rsidP="00FA2C07">
      <w:pPr>
        <w:widowControl w:val="0"/>
        <w:autoSpaceDE w:val="0"/>
        <w:autoSpaceDN w:val="0"/>
        <w:adjustRightInd w:val="0"/>
        <w:spacing w:line="360" w:lineRule="auto"/>
        <w:ind w:left="720" w:hanging="720"/>
        <w:jc w:val="both"/>
        <w:rPr>
          <w:rFonts w:ascii="Arial" w:hAnsi="Arial" w:cs="Arial"/>
          <w:noProof/>
          <w:sz w:val="24"/>
          <w:szCs w:val="24"/>
        </w:rPr>
      </w:pPr>
      <w:r w:rsidRPr="00FA2C07">
        <w:rPr>
          <w:rFonts w:ascii="Arial" w:hAnsi="Arial" w:cs="Arial"/>
          <w:noProof/>
          <w:sz w:val="24"/>
          <w:szCs w:val="24"/>
        </w:rPr>
        <w:t xml:space="preserve">Wroten, B. 2022. Marriott Pushes Pipeline as Global Portfolio Performance Recovers. </w:t>
      </w:r>
      <w:r w:rsidRPr="00FA2C07">
        <w:rPr>
          <w:rFonts w:ascii="Arial" w:hAnsi="Arial" w:cs="Arial"/>
          <w:i/>
          <w:iCs/>
          <w:noProof/>
          <w:sz w:val="24"/>
          <w:szCs w:val="24"/>
        </w:rPr>
        <w:t>CoStar</w:t>
      </w:r>
      <w:r w:rsidRPr="00FA2C07">
        <w:rPr>
          <w:rFonts w:ascii="Arial" w:hAnsi="Arial" w:cs="Arial"/>
          <w:noProof/>
          <w:sz w:val="24"/>
          <w:szCs w:val="24"/>
        </w:rPr>
        <w:t>. Available at: https://www.costar.com/article/66228679/marriott-pushes-pipeline-as-global-portfolio-performance-recovers.</w:t>
      </w:r>
    </w:p>
    <w:p w14:paraId="0A08F5D7" w14:textId="229F3A6C" w:rsidR="00640BF8" w:rsidRPr="00640BF8" w:rsidRDefault="00FA2C07" w:rsidP="00FA2C07">
      <w:pPr>
        <w:spacing w:line="360" w:lineRule="auto"/>
        <w:jc w:val="both"/>
      </w:pPr>
      <w:r w:rsidRPr="00FA2C07">
        <w:rPr>
          <w:rFonts w:ascii="Arial" w:hAnsi="Arial" w:cs="Arial"/>
          <w:sz w:val="24"/>
          <w:szCs w:val="24"/>
        </w:rPr>
        <w:fldChar w:fldCharType="end"/>
      </w:r>
    </w:p>
    <w:p w14:paraId="6A7FB83B" w14:textId="77777777" w:rsidR="0041597A" w:rsidRPr="00CE4D4A" w:rsidRDefault="0041597A" w:rsidP="00CE4D4A">
      <w:pPr>
        <w:spacing w:line="360" w:lineRule="auto"/>
        <w:ind w:firstLine="720"/>
        <w:jc w:val="both"/>
        <w:rPr>
          <w:rFonts w:ascii="Arial" w:hAnsi="Arial" w:cs="Arial"/>
          <w:sz w:val="24"/>
          <w:szCs w:val="24"/>
        </w:rPr>
      </w:pPr>
    </w:p>
    <w:p w14:paraId="6E4BFEC0" w14:textId="77777777" w:rsidR="001A094D" w:rsidRPr="001A094D" w:rsidRDefault="001A094D" w:rsidP="001A094D"/>
    <w:p w14:paraId="35F8BF5B" w14:textId="77777777" w:rsidR="00EE6DF8" w:rsidRPr="00EE6DF8" w:rsidRDefault="00EE6DF8" w:rsidP="00EE6DF8">
      <w:pPr>
        <w:spacing w:line="360" w:lineRule="auto"/>
        <w:ind w:firstLine="720"/>
        <w:jc w:val="both"/>
        <w:rPr>
          <w:rFonts w:ascii="Arial" w:hAnsi="Arial" w:cs="Arial"/>
          <w:sz w:val="24"/>
          <w:szCs w:val="24"/>
        </w:rPr>
      </w:pPr>
    </w:p>
    <w:p w14:paraId="3C87D039" w14:textId="77777777" w:rsidR="003F6536" w:rsidRPr="003F6536" w:rsidRDefault="003F6536" w:rsidP="003F6536"/>
    <w:p w14:paraId="2BA6AA32" w14:textId="77777777" w:rsidR="008A71DB" w:rsidRDefault="008A71DB" w:rsidP="00DB2B0B">
      <w:pPr>
        <w:spacing w:line="360" w:lineRule="auto"/>
        <w:ind w:firstLine="720"/>
        <w:jc w:val="both"/>
        <w:rPr>
          <w:rFonts w:ascii="Arial" w:hAnsi="Arial" w:cs="Arial"/>
          <w:sz w:val="24"/>
          <w:szCs w:val="24"/>
        </w:rPr>
      </w:pPr>
    </w:p>
    <w:p w14:paraId="319C1F5C" w14:textId="77777777" w:rsidR="008A71DB" w:rsidRDefault="008A71DB" w:rsidP="00DB2B0B">
      <w:pPr>
        <w:spacing w:line="360" w:lineRule="auto"/>
        <w:ind w:firstLine="720"/>
        <w:jc w:val="both"/>
        <w:rPr>
          <w:rFonts w:ascii="Arial" w:hAnsi="Arial" w:cs="Arial"/>
          <w:sz w:val="24"/>
          <w:szCs w:val="24"/>
        </w:rPr>
      </w:pPr>
    </w:p>
    <w:p w14:paraId="3C0C30F0" w14:textId="77777777" w:rsidR="008A71DB" w:rsidRDefault="008A71DB" w:rsidP="00DB2B0B">
      <w:pPr>
        <w:spacing w:line="360" w:lineRule="auto"/>
        <w:ind w:firstLine="720"/>
        <w:jc w:val="both"/>
        <w:rPr>
          <w:rFonts w:ascii="Arial" w:hAnsi="Arial" w:cs="Arial"/>
          <w:sz w:val="24"/>
          <w:szCs w:val="24"/>
        </w:rPr>
      </w:pPr>
    </w:p>
    <w:p w14:paraId="748BBCB6" w14:textId="77777777" w:rsidR="00DB2B0B" w:rsidRPr="00DB2B0B" w:rsidRDefault="00DB2B0B" w:rsidP="00DB2B0B">
      <w:pPr>
        <w:spacing w:line="360" w:lineRule="auto"/>
        <w:ind w:firstLine="720"/>
        <w:jc w:val="both"/>
        <w:rPr>
          <w:rFonts w:ascii="Arial" w:hAnsi="Arial" w:cs="Arial"/>
          <w:sz w:val="24"/>
          <w:szCs w:val="24"/>
        </w:rPr>
      </w:pPr>
    </w:p>
    <w:p w14:paraId="69622476" w14:textId="77777777" w:rsidR="00941132" w:rsidRPr="00941132" w:rsidRDefault="00941132" w:rsidP="00941132"/>
    <w:p w14:paraId="45F48889" w14:textId="77777777" w:rsidR="00891EB5" w:rsidRPr="00891EB5" w:rsidRDefault="00891EB5" w:rsidP="00891EB5">
      <w:pPr>
        <w:spacing w:line="360" w:lineRule="auto"/>
        <w:ind w:firstLine="720"/>
        <w:jc w:val="both"/>
        <w:rPr>
          <w:rFonts w:ascii="Arial" w:hAnsi="Arial" w:cs="Arial"/>
          <w:sz w:val="24"/>
          <w:szCs w:val="24"/>
        </w:rPr>
      </w:pPr>
    </w:p>
    <w:p w14:paraId="4B2D1B40" w14:textId="77777777" w:rsidR="002278DD" w:rsidRPr="002278DD" w:rsidRDefault="002278DD" w:rsidP="002278DD"/>
    <w:p w14:paraId="7D96F0EB" w14:textId="77777777" w:rsidR="00300632" w:rsidRPr="000F46C6" w:rsidRDefault="00300632" w:rsidP="000F46C6"/>
    <w:p w14:paraId="2D441E5F" w14:textId="77777777" w:rsidR="00010121" w:rsidRPr="00010121" w:rsidRDefault="00010121" w:rsidP="00010121">
      <w:pPr>
        <w:spacing w:line="360" w:lineRule="auto"/>
        <w:ind w:firstLine="720"/>
        <w:jc w:val="both"/>
        <w:rPr>
          <w:rFonts w:ascii="Arial" w:hAnsi="Arial" w:cs="Arial"/>
          <w:sz w:val="24"/>
          <w:szCs w:val="24"/>
        </w:rPr>
      </w:pPr>
    </w:p>
    <w:p w14:paraId="695106F7" w14:textId="77777777" w:rsidR="00533969" w:rsidRPr="00533969" w:rsidRDefault="00533969" w:rsidP="00533969"/>
    <w:p w14:paraId="6F99BA21" w14:textId="77777777" w:rsidR="00DC7A0A" w:rsidRPr="003C4F6C" w:rsidRDefault="00DC7A0A" w:rsidP="003C4F6C">
      <w:pPr>
        <w:spacing w:line="360" w:lineRule="auto"/>
        <w:ind w:firstLine="720"/>
        <w:jc w:val="both"/>
        <w:rPr>
          <w:rFonts w:ascii="Arial" w:hAnsi="Arial" w:cs="Arial"/>
          <w:sz w:val="24"/>
          <w:szCs w:val="24"/>
        </w:rPr>
      </w:pPr>
    </w:p>
    <w:p w14:paraId="1FEDDBF4" w14:textId="77777777" w:rsidR="005401B3" w:rsidRPr="005401B3" w:rsidRDefault="005401B3" w:rsidP="005401B3"/>
    <w:p w14:paraId="3AE58B53" w14:textId="77777777" w:rsidR="009105DD" w:rsidRPr="009105DD" w:rsidRDefault="009105DD" w:rsidP="009105DD">
      <w:pPr>
        <w:spacing w:line="360" w:lineRule="auto"/>
        <w:ind w:firstLine="720"/>
        <w:jc w:val="both"/>
        <w:rPr>
          <w:rFonts w:ascii="Arial" w:hAnsi="Arial" w:cs="Arial"/>
          <w:sz w:val="24"/>
          <w:szCs w:val="24"/>
        </w:rPr>
      </w:pPr>
    </w:p>
    <w:p w14:paraId="2D61DFA6" w14:textId="77777777" w:rsidR="006A6D28" w:rsidRPr="006A6D28" w:rsidRDefault="006A6D28" w:rsidP="006A6D28"/>
    <w:p w14:paraId="1E733FF9" w14:textId="77777777" w:rsidR="008E065E" w:rsidRDefault="008E065E" w:rsidP="000C2B4E">
      <w:pPr>
        <w:rPr>
          <w:rFonts w:ascii="Arial" w:hAnsi="Arial" w:cs="Arial"/>
          <w:sz w:val="28"/>
          <w:szCs w:val="28"/>
        </w:rPr>
      </w:pPr>
    </w:p>
    <w:p w14:paraId="2DC694B4" w14:textId="77777777" w:rsidR="006F3841" w:rsidRPr="000C2B4E" w:rsidRDefault="006F3841" w:rsidP="000C2B4E">
      <w:pPr>
        <w:rPr>
          <w:rFonts w:ascii="Arial" w:hAnsi="Arial" w:cs="Arial"/>
          <w:sz w:val="28"/>
          <w:szCs w:val="28"/>
        </w:rPr>
      </w:pPr>
    </w:p>
    <w:p w14:paraId="33B444D3" w14:textId="77777777" w:rsidR="00F71FC3" w:rsidRDefault="00F71FC3"/>
    <w:sectPr w:rsidR="00F71FC3">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07DD9"/>
    <w:rsid w:val="00010121"/>
    <w:rsid w:val="000C2B4E"/>
    <w:rsid w:val="000F46C6"/>
    <w:rsid w:val="001A094D"/>
    <w:rsid w:val="002278DD"/>
    <w:rsid w:val="00233A6E"/>
    <w:rsid w:val="002F632F"/>
    <w:rsid w:val="002F6CB3"/>
    <w:rsid w:val="00300632"/>
    <w:rsid w:val="003C4F6C"/>
    <w:rsid w:val="003F6536"/>
    <w:rsid w:val="0041597A"/>
    <w:rsid w:val="004D5B87"/>
    <w:rsid w:val="00533969"/>
    <w:rsid w:val="005401B3"/>
    <w:rsid w:val="00601E39"/>
    <w:rsid w:val="00640BF8"/>
    <w:rsid w:val="006A6D28"/>
    <w:rsid w:val="006E52C7"/>
    <w:rsid w:val="006E683C"/>
    <w:rsid w:val="006F3841"/>
    <w:rsid w:val="00891EB5"/>
    <w:rsid w:val="008A71DB"/>
    <w:rsid w:val="008E065E"/>
    <w:rsid w:val="009105DD"/>
    <w:rsid w:val="0093052D"/>
    <w:rsid w:val="00941132"/>
    <w:rsid w:val="009F7613"/>
    <w:rsid w:val="00A927A3"/>
    <w:rsid w:val="00AE05FD"/>
    <w:rsid w:val="00C07DD9"/>
    <w:rsid w:val="00CE4D4A"/>
    <w:rsid w:val="00D039B3"/>
    <w:rsid w:val="00D20197"/>
    <w:rsid w:val="00DB2B0B"/>
    <w:rsid w:val="00DC7A0A"/>
    <w:rsid w:val="00ED430B"/>
    <w:rsid w:val="00EE6DF8"/>
    <w:rsid w:val="00F71FC3"/>
    <w:rsid w:val="00FA2C0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DDD343"/>
  <w15:chartTrackingRefBased/>
  <w15:docId w15:val="{D7723AAE-A016-413D-8574-0A74E0C24F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C2B4E"/>
    <w:pPr>
      <w:spacing w:after="0" w:line="480" w:lineRule="auto"/>
      <w:contextualSpacing/>
      <w:jc w:val="center"/>
      <w:outlineLvl w:val="0"/>
    </w:pPr>
    <w:rPr>
      <w:rFonts w:ascii="Times New Roman" w:eastAsia="Times New Roman" w:hAnsi="Times New Roman"/>
      <w:bCs/>
      <w:kern w:val="0"/>
      <w:sz w:val="24"/>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C2B4E"/>
    <w:rPr>
      <w:rFonts w:ascii="Times New Roman" w:eastAsia="Times New Roman" w:hAnsi="Times New Roman"/>
      <w:bCs/>
      <w:kern w:val="0"/>
      <w:sz w:val="24"/>
      <w14:ligatures w14:val="none"/>
    </w:rPr>
  </w:style>
  <w:style w:type="table" w:styleId="TableGrid">
    <w:name w:val="Table Grid"/>
    <w:basedOn w:val="TableNormal"/>
    <w:uiPriority w:val="39"/>
    <w:rsid w:val="006E683C"/>
    <w:pPr>
      <w:spacing w:after="0" w:line="240" w:lineRule="auto"/>
    </w:pPr>
    <w:rPr>
      <w:kern w:val="0"/>
      <w14:ligatures w14:val="none"/>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7508800">
      <w:bodyDiv w:val="1"/>
      <w:marLeft w:val="0"/>
      <w:marRight w:val="0"/>
      <w:marTop w:val="0"/>
      <w:marBottom w:val="0"/>
      <w:divBdr>
        <w:top w:val="none" w:sz="0" w:space="0" w:color="auto"/>
        <w:left w:val="none" w:sz="0" w:space="0" w:color="auto"/>
        <w:bottom w:val="none" w:sz="0" w:space="0" w:color="auto"/>
        <w:right w:val="none" w:sz="0" w:space="0" w:color="auto"/>
      </w:divBdr>
    </w:div>
    <w:div w:id="64495395">
      <w:bodyDiv w:val="1"/>
      <w:marLeft w:val="0"/>
      <w:marRight w:val="0"/>
      <w:marTop w:val="0"/>
      <w:marBottom w:val="0"/>
      <w:divBdr>
        <w:top w:val="none" w:sz="0" w:space="0" w:color="auto"/>
        <w:left w:val="none" w:sz="0" w:space="0" w:color="auto"/>
        <w:bottom w:val="none" w:sz="0" w:space="0" w:color="auto"/>
        <w:right w:val="none" w:sz="0" w:space="0" w:color="auto"/>
      </w:divBdr>
    </w:div>
    <w:div w:id="95954066">
      <w:bodyDiv w:val="1"/>
      <w:marLeft w:val="0"/>
      <w:marRight w:val="0"/>
      <w:marTop w:val="0"/>
      <w:marBottom w:val="0"/>
      <w:divBdr>
        <w:top w:val="none" w:sz="0" w:space="0" w:color="auto"/>
        <w:left w:val="none" w:sz="0" w:space="0" w:color="auto"/>
        <w:bottom w:val="none" w:sz="0" w:space="0" w:color="auto"/>
        <w:right w:val="none" w:sz="0" w:space="0" w:color="auto"/>
      </w:divBdr>
    </w:div>
    <w:div w:id="200828744">
      <w:bodyDiv w:val="1"/>
      <w:marLeft w:val="0"/>
      <w:marRight w:val="0"/>
      <w:marTop w:val="0"/>
      <w:marBottom w:val="0"/>
      <w:divBdr>
        <w:top w:val="none" w:sz="0" w:space="0" w:color="auto"/>
        <w:left w:val="none" w:sz="0" w:space="0" w:color="auto"/>
        <w:bottom w:val="none" w:sz="0" w:space="0" w:color="auto"/>
        <w:right w:val="none" w:sz="0" w:space="0" w:color="auto"/>
      </w:divBdr>
    </w:div>
    <w:div w:id="343287679">
      <w:bodyDiv w:val="1"/>
      <w:marLeft w:val="0"/>
      <w:marRight w:val="0"/>
      <w:marTop w:val="0"/>
      <w:marBottom w:val="0"/>
      <w:divBdr>
        <w:top w:val="none" w:sz="0" w:space="0" w:color="auto"/>
        <w:left w:val="none" w:sz="0" w:space="0" w:color="auto"/>
        <w:bottom w:val="none" w:sz="0" w:space="0" w:color="auto"/>
        <w:right w:val="none" w:sz="0" w:space="0" w:color="auto"/>
      </w:divBdr>
    </w:div>
    <w:div w:id="365757711">
      <w:bodyDiv w:val="1"/>
      <w:marLeft w:val="0"/>
      <w:marRight w:val="0"/>
      <w:marTop w:val="0"/>
      <w:marBottom w:val="0"/>
      <w:divBdr>
        <w:top w:val="none" w:sz="0" w:space="0" w:color="auto"/>
        <w:left w:val="none" w:sz="0" w:space="0" w:color="auto"/>
        <w:bottom w:val="none" w:sz="0" w:space="0" w:color="auto"/>
        <w:right w:val="none" w:sz="0" w:space="0" w:color="auto"/>
      </w:divBdr>
    </w:div>
    <w:div w:id="447899494">
      <w:bodyDiv w:val="1"/>
      <w:marLeft w:val="0"/>
      <w:marRight w:val="0"/>
      <w:marTop w:val="0"/>
      <w:marBottom w:val="0"/>
      <w:divBdr>
        <w:top w:val="none" w:sz="0" w:space="0" w:color="auto"/>
        <w:left w:val="none" w:sz="0" w:space="0" w:color="auto"/>
        <w:bottom w:val="none" w:sz="0" w:space="0" w:color="auto"/>
        <w:right w:val="none" w:sz="0" w:space="0" w:color="auto"/>
      </w:divBdr>
    </w:div>
    <w:div w:id="513110690">
      <w:bodyDiv w:val="1"/>
      <w:marLeft w:val="0"/>
      <w:marRight w:val="0"/>
      <w:marTop w:val="0"/>
      <w:marBottom w:val="0"/>
      <w:divBdr>
        <w:top w:val="none" w:sz="0" w:space="0" w:color="auto"/>
        <w:left w:val="none" w:sz="0" w:space="0" w:color="auto"/>
        <w:bottom w:val="none" w:sz="0" w:space="0" w:color="auto"/>
        <w:right w:val="none" w:sz="0" w:space="0" w:color="auto"/>
      </w:divBdr>
    </w:div>
    <w:div w:id="654645572">
      <w:bodyDiv w:val="1"/>
      <w:marLeft w:val="0"/>
      <w:marRight w:val="0"/>
      <w:marTop w:val="0"/>
      <w:marBottom w:val="0"/>
      <w:divBdr>
        <w:top w:val="none" w:sz="0" w:space="0" w:color="auto"/>
        <w:left w:val="none" w:sz="0" w:space="0" w:color="auto"/>
        <w:bottom w:val="none" w:sz="0" w:space="0" w:color="auto"/>
        <w:right w:val="none" w:sz="0" w:space="0" w:color="auto"/>
      </w:divBdr>
    </w:div>
    <w:div w:id="684291166">
      <w:bodyDiv w:val="1"/>
      <w:marLeft w:val="0"/>
      <w:marRight w:val="0"/>
      <w:marTop w:val="0"/>
      <w:marBottom w:val="0"/>
      <w:divBdr>
        <w:top w:val="none" w:sz="0" w:space="0" w:color="auto"/>
        <w:left w:val="none" w:sz="0" w:space="0" w:color="auto"/>
        <w:bottom w:val="none" w:sz="0" w:space="0" w:color="auto"/>
        <w:right w:val="none" w:sz="0" w:space="0" w:color="auto"/>
      </w:divBdr>
    </w:div>
    <w:div w:id="721829181">
      <w:bodyDiv w:val="1"/>
      <w:marLeft w:val="0"/>
      <w:marRight w:val="0"/>
      <w:marTop w:val="0"/>
      <w:marBottom w:val="0"/>
      <w:divBdr>
        <w:top w:val="none" w:sz="0" w:space="0" w:color="auto"/>
        <w:left w:val="none" w:sz="0" w:space="0" w:color="auto"/>
        <w:bottom w:val="none" w:sz="0" w:space="0" w:color="auto"/>
        <w:right w:val="none" w:sz="0" w:space="0" w:color="auto"/>
      </w:divBdr>
    </w:div>
    <w:div w:id="783304448">
      <w:bodyDiv w:val="1"/>
      <w:marLeft w:val="0"/>
      <w:marRight w:val="0"/>
      <w:marTop w:val="0"/>
      <w:marBottom w:val="0"/>
      <w:divBdr>
        <w:top w:val="none" w:sz="0" w:space="0" w:color="auto"/>
        <w:left w:val="none" w:sz="0" w:space="0" w:color="auto"/>
        <w:bottom w:val="none" w:sz="0" w:space="0" w:color="auto"/>
        <w:right w:val="none" w:sz="0" w:space="0" w:color="auto"/>
      </w:divBdr>
    </w:div>
    <w:div w:id="957686057">
      <w:bodyDiv w:val="1"/>
      <w:marLeft w:val="0"/>
      <w:marRight w:val="0"/>
      <w:marTop w:val="0"/>
      <w:marBottom w:val="0"/>
      <w:divBdr>
        <w:top w:val="none" w:sz="0" w:space="0" w:color="auto"/>
        <w:left w:val="none" w:sz="0" w:space="0" w:color="auto"/>
        <w:bottom w:val="none" w:sz="0" w:space="0" w:color="auto"/>
        <w:right w:val="none" w:sz="0" w:space="0" w:color="auto"/>
      </w:divBdr>
    </w:div>
    <w:div w:id="1053307631">
      <w:bodyDiv w:val="1"/>
      <w:marLeft w:val="0"/>
      <w:marRight w:val="0"/>
      <w:marTop w:val="0"/>
      <w:marBottom w:val="0"/>
      <w:divBdr>
        <w:top w:val="none" w:sz="0" w:space="0" w:color="auto"/>
        <w:left w:val="none" w:sz="0" w:space="0" w:color="auto"/>
        <w:bottom w:val="none" w:sz="0" w:space="0" w:color="auto"/>
        <w:right w:val="none" w:sz="0" w:space="0" w:color="auto"/>
      </w:divBdr>
    </w:div>
    <w:div w:id="1412265891">
      <w:bodyDiv w:val="1"/>
      <w:marLeft w:val="0"/>
      <w:marRight w:val="0"/>
      <w:marTop w:val="0"/>
      <w:marBottom w:val="0"/>
      <w:divBdr>
        <w:top w:val="none" w:sz="0" w:space="0" w:color="auto"/>
        <w:left w:val="none" w:sz="0" w:space="0" w:color="auto"/>
        <w:bottom w:val="none" w:sz="0" w:space="0" w:color="auto"/>
        <w:right w:val="none" w:sz="0" w:space="0" w:color="auto"/>
      </w:divBdr>
    </w:div>
    <w:div w:id="1646855724">
      <w:bodyDiv w:val="1"/>
      <w:marLeft w:val="0"/>
      <w:marRight w:val="0"/>
      <w:marTop w:val="0"/>
      <w:marBottom w:val="0"/>
      <w:divBdr>
        <w:top w:val="none" w:sz="0" w:space="0" w:color="auto"/>
        <w:left w:val="none" w:sz="0" w:space="0" w:color="auto"/>
        <w:bottom w:val="none" w:sz="0" w:space="0" w:color="auto"/>
        <w:right w:val="none" w:sz="0" w:space="0" w:color="auto"/>
      </w:divBdr>
    </w:div>
    <w:div w:id="1676150383">
      <w:bodyDiv w:val="1"/>
      <w:marLeft w:val="0"/>
      <w:marRight w:val="0"/>
      <w:marTop w:val="0"/>
      <w:marBottom w:val="0"/>
      <w:divBdr>
        <w:top w:val="none" w:sz="0" w:space="0" w:color="auto"/>
        <w:left w:val="none" w:sz="0" w:space="0" w:color="auto"/>
        <w:bottom w:val="none" w:sz="0" w:space="0" w:color="auto"/>
        <w:right w:val="none" w:sz="0" w:space="0" w:color="auto"/>
      </w:divBdr>
    </w:div>
    <w:div w:id="1718967278">
      <w:bodyDiv w:val="1"/>
      <w:marLeft w:val="0"/>
      <w:marRight w:val="0"/>
      <w:marTop w:val="0"/>
      <w:marBottom w:val="0"/>
      <w:divBdr>
        <w:top w:val="none" w:sz="0" w:space="0" w:color="auto"/>
        <w:left w:val="none" w:sz="0" w:space="0" w:color="auto"/>
        <w:bottom w:val="none" w:sz="0" w:space="0" w:color="auto"/>
        <w:right w:val="none" w:sz="0" w:space="0" w:color="auto"/>
      </w:divBdr>
    </w:div>
    <w:div w:id="1732773978">
      <w:bodyDiv w:val="1"/>
      <w:marLeft w:val="0"/>
      <w:marRight w:val="0"/>
      <w:marTop w:val="0"/>
      <w:marBottom w:val="0"/>
      <w:divBdr>
        <w:top w:val="none" w:sz="0" w:space="0" w:color="auto"/>
        <w:left w:val="none" w:sz="0" w:space="0" w:color="auto"/>
        <w:bottom w:val="none" w:sz="0" w:space="0" w:color="auto"/>
        <w:right w:val="none" w:sz="0" w:space="0" w:color="auto"/>
      </w:divBdr>
    </w:div>
    <w:div w:id="1839534954">
      <w:bodyDiv w:val="1"/>
      <w:marLeft w:val="0"/>
      <w:marRight w:val="0"/>
      <w:marTop w:val="0"/>
      <w:marBottom w:val="0"/>
      <w:divBdr>
        <w:top w:val="none" w:sz="0" w:space="0" w:color="auto"/>
        <w:left w:val="none" w:sz="0" w:space="0" w:color="auto"/>
        <w:bottom w:val="none" w:sz="0" w:space="0" w:color="auto"/>
        <w:right w:val="none" w:sz="0" w:space="0" w:color="auto"/>
      </w:divBdr>
    </w:div>
    <w:div w:id="20724628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19</TotalTime>
  <Pages>11</Pages>
  <Words>4918</Words>
  <Characters>28033</Characters>
  <Application>Microsoft Office Word</Application>
  <DocSecurity>0</DocSecurity>
  <Lines>233</Lines>
  <Paragraphs>65</Paragraphs>
  <ScaleCrop>false</ScaleCrop>
  <Company/>
  <LinksUpToDate>false</LinksUpToDate>
  <CharactersWithSpaces>32886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Rodica Cornea</dc:creator>
  <cp:keywords/>
  <dc:description/>
  <cp:lastModifiedBy>Rodica Cornea</cp:lastModifiedBy>
  <cp:revision>36</cp:revision>
  <dcterms:created xsi:type="dcterms:W3CDTF">2023-05-19T19:57:00Z</dcterms:created>
  <dcterms:modified xsi:type="dcterms:W3CDTF">2023-05-19T21:05:00Z</dcterms:modified>
</cp:coreProperties>
</file>