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8790F" w14:textId="77777777" w:rsidR="00B42C61" w:rsidRDefault="00B42C61" w:rsidP="00B42C61">
      <w:pPr>
        <w:spacing w:before="200"/>
        <w:jc w:val="center"/>
        <w:rPr>
          <w:b/>
        </w:rPr>
      </w:pPr>
      <w:r>
        <w:rPr>
          <w:b/>
          <w:noProof/>
          <w:sz w:val="56"/>
        </w:rPr>
        <w:drawing>
          <wp:inline distT="0" distB="0" distL="0" distR="0" wp14:anchorId="52B94746" wp14:editId="28F02292">
            <wp:extent cx="3524324" cy="1404938"/>
            <wp:effectExtent l="0" t="0" r="0" b="5080"/>
            <wp:docPr id="726759203" name="Picture 726759203"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759203" name="Picture 726759203"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2779030D" w14:textId="77777777" w:rsidR="00B42C61" w:rsidRDefault="00B42C61" w:rsidP="00B42C61">
      <w:pPr>
        <w:spacing w:before="200"/>
        <w:ind w:firstLine="720"/>
        <w:jc w:val="center"/>
        <w:rPr>
          <w:b/>
        </w:rPr>
      </w:pPr>
    </w:p>
    <w:p w14:paraId="6876D1F4" w14:textId="77777777" w:rsidR="00B42C61" w:rsidRDefault="00B42C61" w:rsidP="00B42C61">
      <w:pPr>
        <w:tabs>
          <w:tab w:val="left" w:pos="7056"/>
        </w:tabs>
        <w:spacing w:before="212"/>
        <w:rPr>
          <w:b/>
          <w:sz w:val="48"/>
          <w:szCs w:val="48"/>
        </w:rPr>
      </w:pPr>
      <w:r w:rsidRPr="00DD5969">
        <w:rPr>
          <w:b/>
          <w:sz w:val="48"/>
          <w:szCs w:val="48"/>
        </w:rPr>
        <w:t xml:space="preserve">MODULE </w:t>
      </w:r>
      <w:proofErr w:type="gramStart"/>
      <w:r w:rsidRPr="00DD5969">
        <w:rPr>
          <w:b/>
          <w:sz w:val="48"/>
          <w:szCs w:val="48"/>
        </w:rPr>
        <w:t>CODE:</w:t>
      </w:r>
      <w:r>
        <w:rPr>
          <w:b/>
          <w:sz w:val="48"/>
          <w:szCs w:val="48"/>
        </w:rPr>
        <w:t>ECDE</w:t>
      </w:r>
      <w:proofErr w:type="gramEnd"/>
      <w:r>
        <w:rPr>
          <w:b/>
          <w:sz w:val="48"/>
          <w:szCs w:val="48"/>
        </w:rPr>
        <w:t>7017</w:t>
      </w:r>
      <w:r>
        <w:rPr>
          <w:b/>
          <w:sz w:val="48"/>
          <w:szCs w:val="48"/>
        </w:rPr>
        <w:tab/>
      </w:r>
    </w:p>
    <w:p w14:paraId="31615B61" w14:textId="77777777" w:rsidR="00B42C61" w:rsidRDefault="00B42C61" w:rsidP="00B42C61">
      <w:pPr>
        <w:spacing w:before="212"/>
        <w:rPr>
          <w:b/>
          <w:sz w:val="48"/>
          <w:szCs w:val="48"/>
        </w:rPr>
      </w:pPr>
    </w:p>
    <w:p w14:paraId="7EFB54A1" w14:textId="77777777" w:rsidR="00B42C61" w:rsidRDefault="00B42C61" w:rsidP="00B42C61">
      <w:pPr>
        <w:spacing w:before="212"/>
        <w:rPr>
          <w:b/>
          <w:sz w:val="44"/>
        </w:rPr>
      </w:pPr>
      <w:r>
        <w:rPr>
          <w:b/>
          <w:sz w:val="48"/>
          <w:szCs w:val="48"/>
        </w:rPr>
        <w:t>ASSESSMENT COMPONENT: POLICY REPORT</w:t>
      </w:r>
    </w:p>
    <w:p w14:paraId="0AEA8DC4" w14:textId="77777777" w:rsidR="00B42C61" w:rsidRPr="00DD5969" w:rsidRDefault="00B42C61" w:rsidP="00B42C61">
      <w:pPr>
        <w:spacing w:before="3"/>
        <w:rPr>
          <w:b/>
          <w:sz w:val="48"/>
          <w:szCs w:val="48"/>
        </w:rPr>
      </w:pPr>
      <w:r w:rsidRPr="00DD5969">
        <w:rPr>
          <w:b/>
          <w:sz w:val="48"/>
          <w:szCs w:val="48"/>
        </w:rPr>
        <w:t>STUDENT NAME:</w:t>
      </w:r>
      <w:r>
        <w:rPr>
          <w:b/>
          <w:sz w:val="48"/>
          <w:szCs w:val="48"/>
        </w:rPr>
        <w:t xml:space="preserve"> Inam Alsalim</w:t>
      </w:r>
    </w:p>
    <w:p w14:paraId="634D539F" w14:textId="77777777" w:rsidR="00B42C61" w:rsidRPr="00DD5969" w:rsidRDefault="00B42C61" w:rsidP="00B42C61">
      <w:pPr>
        <w:spacing w:before="3"/>
        <w:rPr>
          <w:b/>
          <w:sz w:val="48"/>
          <w:szCs w:val="48"/>
        </w:rPr>
      </w:pPr>
    </w:p>
    <w:p w14:paraId="288DD62D" w14:textId="77777777" w:rsidR="00B42C61" w:rsidRPr="00DD5969" w:rsidRDefault="00B42C61" w:rsidP="00B42C61">
      <w:pPr>
        <w:spacing w:before="3"/>
        <w:rPr>
          <w:b/>
          <w:sz w:val="48"/>
          <w:szCs w:val="48"/>
        </w:rPr>
      </w:pPr>
      <w:r w:rsidRPr="00DD5969">
        <w:rPr>
          <w:b/>
          <w:sz w:val="48"/>
          <w:szCs w:val="48"/>
        </w:rPr>
        <w:t xml:space="preserve">STUDENT </w:t>
      </w:r>
      <w:r>
        <w:rPr>
          <w:b/>
          <w:sz w:val="48"/>
          <w:szCs w:val="48"/>
        </w:rPr>
        <w:t>NUMBER</w:t>
      </w:r>
      <w:r w:rsidRPr="00DD5969">
        <w:rPr>
          <w:b/>
          <w:sz w:val="48"/>
          <w:szCs w:val="48"/>
        </w:rPr>
        <w:t>:</w:t>
      </w:r>
      <w:r>
        <w:rPr>
          <w:b/>
          <w:sz w:val="48"/>
          <w:szCs w:val="48"/>
        </w:rPr>
        <w:t>2502495</w:t>
      </w:r>
    </w:p>
    <w:p w14:paraId="645E46E6" w14:textId="77777777" w:rsidR="00B42C61" w:rsidRPr="00E243A8" w:rsidRDefault="00B42C61" w:rsidP="00B42C61">
      <w:pPr>
        <w:rPr>
          <w:b/>
          <w:bCs/>
          <w:sz w:val="32"/>
          <w:szCs w:val="32"/>
          <w:u w:val="single"/>
        </w:rPr>
      </w:pPr>
      <w:r w:rsidRPr="00E243A8">
        <w:rPr>
          <w:b/>
          <w:bCs/>
          <w:sz w:val="32"/>
          <w:szCs w:val="32"/>
          <w:u w:val="single"/>
        </w:rPr>
        <w:t>AI Acknowledgement</w:t>
      </w:r>
    </w:p>
    <w:p w14:paraId="0FD2DB7F" w14:textId="77777777" w:rsidR="00B42C61" w:rsidRDefault="00B42C61" w:rsidP="00B42C61"/>
    <w:p w14:paraId="273B46DE" w14:textId="77777777" w:rsidR="00B42C61" w:rsidRDefault="00B42C61" w:rsidP="00B42C61">
      <w:r w:rsidRPr="00E243A8">
        <w:t xml:space="preserve">I confirm that I have not used any AI tools in the research and creation of this assignment. </w:t>
      </w:r>
    </w:p>
    <w:p w14:paraId="281A812D" w14:textId="77777777" w:rsidR="00B42C61" w:rsidRDefault="00B42C61" w:rsidP="00B42C61">
      <w:r w:rsidRPr="00E243A8">
        <w:t xml:space="preserve">I confirm that I have not presented any AI generated materials as my own work. </w:t>
      </w:r>
    </w:p>
    <w:p w14:paraId="1BDA5C9D" w14:textId="77777777" w:rsidR="00B42C61" w:rsidRPr="00E243A8" w:rsidRDefault="00B42C61" w:rsidP="00B42C61">
      <w:r w:rsidRPr="00E243A8">
        <w:t xml:space="preserve">I confirm </w:t>
      </w:r>
      <w:r>
        <w:t xml:space="preserve">that </w:t>
      </w:r>
      <w:r w:rsidRPr="00E243A8">
        <w:t>I have copies of my drafts, notes, and other resources I used, which I may be asked to provide in evidence.</w:t>
      </w:r>
    </w:p>
    <w:p w14:paraId="231FAE88" w14:textId="77777777" w:rsidR="00B42C61" w:rsidRPr="00C2550A" w:rsidRDefault="00B42C61" w:rsidP="00B42C61">
      <w:pPr>
        <w:rPr>
          <w:b/>
          <w:bCs/>
        </w:rPr>
      </w:pPr>
      <w:r w:rsidRPr="00C2550A">
        <w:rPr>
          <w:b/>
          <w:bCs/>
        </w:rPr>
        <w:t>OR:</w:t>
      </w:r>
    </w:p>
    <w:p w14:paraId="1177536D" w14:textId="77777777" w:rsidR="00B42C61" w:rsidRDefault="00B42C61" w:rsidP="00B42C61"/>
    <w:p w14:paraId="29C84308" w14:textId="77777777" w:rsidR="00B42C61" w:rsidRPr="00DD5969" w:rsidRDefault="00B42C61" w:rsidP="00B42C61">
      <w:r w:rsidRPr="00DD5969">
        <w:t xml:space="preserve">I acknowledge the use of [AI Tool] [(AI Tool </w:t>
      </w:r>
      <w:proofErr w:type="spellStart"/>
      <w:r w:rsidRPr="00DD5969">
        <w:t>url</w:t>
      </w:r>
      <w:proofErr w:type="spellEnd"/>
      <w:r w:rsidRPr="00DD5969">
        <w:t xml:space="preserve">)] on [Date] to [Purpose my work]. I used the prompt(s): </w:t>
      </w:r>
    </w:p>
    <w:p w14:paraId="02C059DC" w14:textId="1C2EEBB0" w:rsidR="00B42C61" w:rsidRPr="00DD5969" w:rsidRDefault="00B42C61" w:rsidP="00B42C61">
      <w:r w:rsidRPr="00DD5969">
        <w:t>1. [</w:t>
      </w:r>
      <w:r>
        <w:t>Grammarly for proof reading and punctuation</w:t>
      </w:r>
      <w:r w:rsidRPr="00DD5969">
        <w:t xml:space="preserve">] </w:t>
      </w:r>
      <w:r>
        <w:t>24/6/2026</w:t>
      </w:r>
    </w:p>
    <w:p w14:paraId="2843F922" w14:textId="4B18A03F" w:rsidR="00B42C61" w:rsidRDefault="00B42C61" w:rsidP="00B42C61">
      <w:r w:rsidRPr="00DD5969">
        <w:t>2. [</w:t>
      </w:r>
      <w:proofErr w:type="spellStart"/>
      <w:r>
        <w:t>quillbot</w:t>
      </w:r>
      <w:proofErr w:type="spellEnd"/>
      <w:r>
        <w:t xml:space="preserve"> to search for resources</w:t>
      </w:r>
      <w:r w:rsidRPr="00DD5969">
        <w:t xml:space="preserve">] </w:t>
      </w:r>
      <w:r>
        <w:t>24/62026</w:t>
      </w:r>
      <w:r w:rsidRPr="00DD5969">
        <w:t>. [</w:t>
      </w:r>
      <w:r>
        <w:t>CHAT GPT summarise some articles]</w:t>
      </w:r>
      <w:r w:rsidRPr="00DD5969">
        <w:t xml:space="preserve"> </w:t>
      </w:r>
      <w:r w:rsidR="00BA7831">
        <w:t>4</w:t>
      </w:r>
      <w:r>
        <w:t>/</w:t>
      </w:r>
      <w:r w:rsidR="00BA7831">
        <w:t>7</w:t>
      </w:r>
      <w:r>
        <w:t>/2026 I</w:t>
      </w:r>
      <w:r w:rsidRPr="00DD5969">
        <w:t xml:space="preserve"> confirm that I have not presented any AI generated text as my own work. I confirm </w:t>
      </w:r>
      <w:r>
        <w:t xml:space="preserve">that </w:t>
      </w:r>
      <w:r w:rsidRPr="00DD5969">
        <w:t xml:space="preserve">I have copies of my drafts, notes, and other resources I used before and after the use of AI tools which I may be asked to provide in evidence. </w:t>
      </w:r>
    </w:p>
    <w:p w14:paraId="3455E684" w14:textId="77777777" w:rsidR="00B42C61" w:rsidRDefault="00B42C61">
      <w:pPr>
        <w:spacing w:after="400"/>
        <w:jc w:val="center"/>
        <w:rPr>
          <w:b/>
          <w:bCs/>
          <w:sz w:val="28"/>
          <w:szCs w:val="28"/>
        </w:rPr>
      </w:pPr>
    </w:p>
    <w:p w14:paraId="703FCB19" w14:textId="77777777" w:rsidR="00B42C61" w:rsidRDefault="00B42C61">
      <w:pPr>
        <w:spacing w:after="400"/>
        <w:jc w:val="center"/>
        <w:rPr>
          <w:b/>
          <w:bCs/>
          <w:sz w:val="28"/>
          <w:szCs w:val="28"/>
        </w:rPr>
      </w:pPr>
    </w:p>
    <w:p w14:paraId="498FC77C" w14:textId="0C59E8AC" w:rsidR="00821F79" w:rsidRDefault="00000000">
      <w:pPr>
        <w:spacing w:after="400"/>
        <w:jc w:val="center"/>
      </w:pPr>
      <w:r>
        <w:rPr>
          <w:b/>
          <w:bCs/>
          <w:sz w:val="28"/>
          <w:szCs w:val="28"/>
        </w:rPr>
        <w:lastRenderedPageBreak/>
        <w:t>Additional Learning Needs (ALN) Policy in Wales: A Critical Analysis of Policy Reform and Implementation</w:t>
      </w:r>
    </w:p>
    <w:p w14:paraId="2BE4B95D" w14:textId="77777777" w:rsidR="00821F79" w:rsidRDefault="00000000">
      <w:pPr>
        <w:pStyle w:val="Heading1"/>
      </w:pPr>
      <w:r>
        <w:t>1. Introduction</w:t>
      </w:r>
    </w:p>
    <w:p w14:paraId="00A7EC0C" w14:textId="77777777" w:rsidR="00821F79" w:rsidRDefault="00000000">
      <w:pPr>
        <w:spacing w:after="200"/>
        <w:jc w:val="both"/>
      </w:pPr>
      <w:r>
        <w:t xml:space="preserve">The Additional Learning Needs (ALN) reforms represent one of the most ambitious restructurings of educational provision in Wales since devolution. Through the </w:t>
      </w:r>
      <w:r w:rsidRPr="00FA4FCA">
        <w:t>Additional Learning Needs and Education Tribunal (Wales) Act 2018 and</w:t>
      </w:r>
      <w:r>
        <w:t xml:space="preserve"> the </w:t>
      </w:r>
      <w:r w:rsidRPr="00FA4FCA">
        <w:t>Additional Learning Needs Code for Wales</w:t>
      </w:r>
      <w:r>
        <w:t>, the Welsh Government sought to replace the longstanding Special Educational Needs (SEN) framework with a rights-based, person-centred system of support for learners aged 0–25 (Welsh Government, 2018; Welsh Government, 2021a). The reforms were motivated by longstanding criticisms of the SEN system, including its inconsistency, adversarial processes and failure to ensure equitable access to provision across local authorities (Duggan et al., 2023).</w:t>
      </w:r>
    </w:p>
    <w:p w14:paraId="451731DF" w14:textId="77777777" w:rsidR="00821F79" w:rsidRDefault="00000000">
      <w:pPr>
        <w:spacing w:after="200"/>
        <w:jc w:val="both"/>
      </w:pPr>
      <w:r>
        <w:t>The period since implementation has, however, revealed significant tensions between the policy’s aspirations and the realities of its enactment. Emerging evidence, including a 53% decrease in the number of learners identified as having ALN since 2020/21, scrutiny by the Senedd’s Children, Young People and Education (CYPE) Committee and independent academic research, suggests that the reforms have generated complex and often unforeseen consequences (Senedd Research, 2024; Murphy et al., 2025). These developments raise critical questions about whether the legislative framework has achieved its intended aims, and whether the Welsh Government’s own perspectives on implementation have been subjected to sufficient independent scrutiny.</w:t>
      </w:r>
    </w:p>
    <w:p w14:paraId="25E1039E" w14:textId="77777777" w:rsidR="00821F79" w:rsidRDefault="00000000">
      <w:pPr>
        <w:spacing w:after="200"/>
        <w:jc w:val="both"/>
      </w:pPr>
      <w:r>
        <w:t>Drawing upon policy enactment theory, inclusive education scholarship and contemporary Wales-specific research, this report interrogates the assumptions underpinning the reforms, evaluates the tensions between legislative aspiration and implementation reality, and considers the extent to which the policy has improved educational outcomes for learners with additional learning needs. The central argument is that while the ALN framework represents a progressive legislative development, its impact has been constrained by structural inequalities, workforce limitations and an over-reliance on official narratives that has obscured the lived experiences of learners, families and practitioners.</w:t>
      </w:r>
    </w:p>
    <w:p w14:paraId="44548DE7" w14:textId="77777777" w:rsidR="00821F79" w:rsidRDefault="00000000">
      <w:pPr>
        <w:pStyle w:val="Heading1"/>
      </w:pPr>
      <w:r>
        <w:t>2. Policy Context and Rationale</w:t>
      </w:r>
    </w:p>
    <w:p w14:paraId="7AD4B806" w14:textId="77777777" w:rsidR="00821F79" w:rsidRDefault="00000000">
      <w:pPr>
        <w:spacing w:after="200"/>
        <w:jc w:val="both"/>
      </w:pPr>
      <w:r>
        <w:t>The origins of ALN reform must be understood within both the Welsh policy context and broader international debates concerning inclusive education and children’s rights. The previous SEN system, governed by the Education Act 1996 and the SEN Code of Practice (Department for Education and Skills, 2001), operated through a graduated model of School Action, School Action Plus and statutory statements. Despite its intentions, the system attracted sustained criticism for its complexity, inconsistency between local authorities and its reliance on deficit-oriented, medicalised understandings of learning difficulty (Norwich, 2014). Parents and advocacy organisations consistently described the statementing process as adversarial, with access to specialist provision functioning effectively as a ‘postcode lottery’ in which geographical location, rather than individual need, determined what support a child could access (Welsh Government, 2017).</w:t>
      </w:r>
    </w:p>
    <w:p w14:paraId="4DA4A79A" w14:textId="77777777" w:rsidR="00821F79" w:rsidRDefault="00000000">
      <w:pPr>
        <w:spacing w:after="200"/>
        <w:jc w:val="both"/>
      </w:pPr>
      <w:r>
        <w:lastRenderedPageBreak/>
        <w:t>Internationally, the SEN model was increasingly viewed as incompatible with rights-based approaches to inclusive education. The United Nations Convention on the Rights of the Child (UNICEF, 1989) and the Convention on the Rights of Persons with Disabilities (United Nations, 2006) both assert the right of disabled children to participate fully in educational life without discrimination. Ainscow (2020) argues that genuinely inclusive education requires ongoing processes of barrier removal rather than categorical systems of identification and provision. Slee (2018) extends this critique, contending that inclusion policies frequently reproduce the very inequalities they seek to address when they retain diagnostic and classificatory logics within ostensibly progressive frameworks.</w:t>
      </w:r>
    </w:p>
    <w:p w14:paraId="40BEAEAA" w14:textId="77777777" w:rsidR="00821F79" w:rsidRDefault="00000000">
      <w:pPr>
        <w:spacing w:after="200"/>
        <w:jc w:val="both"/>
      </w:pPr>
      <w:r>
        <w:t xml:space="preserve">The </w:t>
      </w:r>
      <w:r w:rsidRPr="00630542">
        <w:t>Additional Learning Needs and Education Tribunal (Wales) Act 2018</w:t>
      </w:r>
      <w:r>
        <w:t xml:space="preserve"> was introduced against this backdrop of systemic critique. The legislation replaced categorical SEN labels with the broader concept of Additional Learning Needs and established Individual Development Plans (IDPs) as a single, unified planning mechanism for all eligible learners. Statutory entitlement was also extended to the 0–25 age range, reflecting recognition that additional learning needs frequently persist beyond compulsory schooling (Welsh Government, 2021a). The reforms were presented as consistent with the inclusive and equity-focused ambitions of the </w:t>
      </w:r>
      <w:r>
        <w:rPr>
          <w:i/>
          <w:iCs/>
        </w:rPr>
        <w:t>Curriculum for Wales</w:t>
      </w:r>
      <w:r>
        <w:t xml:space="preserve"> (Welsh Government, 2020), positioning Wales as a nation committed to rights-based educational reform.</w:t>
      </w:r>
    </w:p>
    <w:p w14:paraId="6E3F82ED" w14:textId="77777777" w:rsidR="00821F79" w:rsidRDefault="00000000">
      <w:pPr>
        <w:spacing w:after="200"/>
        <w:jc w:val="both"/>
      </w:pPr>
      <w:r>
        <w:t xml:space="preserve">Yet Ball, Maguire and Braun (2012) caution that educational policies are not implemented mechanically; rather, they are ‘enacted’ through processes of interpretation, negotiation and adaptation shaped by institutional contexts, professional cultures and available resources. This insight carries </w:t>
      </w:r>
      <w:proofErr w:type="gramStart"/>
      <w:r>
        <w:t>particular weight</w:t>
      </w:r>
      <w:proofErr w:type="gramEnd"/>
      <w:r>
        <w:t xml:space="preserve"> in Wales, where implementation has coincided with post-pandemic recovery, curriculum reform and significant financial constraint. The ALN reforms, therefore, cannot be evaluated solely </w:t>
      </w:r>
      <w:proofErr w:type="gramStart"/>
      <w:r>
        <w:t>on the basis of</w:t>
      </w:r>
      <w:proofErr w:type="gramEnd"/>
      <w:r>
        <w:t xml:space="preserve"> legislative intent; they must be examined critically </w:t>
      </w:r>
      <w:proofErr w:type="gramStart"/>
      <w:r>
        <w:t>in light of</w:t>
      </w:r>
      <w:proofErr w:type="gramEnd"/>
      <w:r>
        <w:t xml:space="preserve"> the institutional conditions and stakeholder experiences that have shaped their enactment.</w:t>
      </w:r>
    </w:p>
    <w:p w14:paraId="158EAFC4" w14:textId="77777777" w:rsidR="00821F79" w:rsidRDefault="00000000">
      <w:pPr>
        <w:pStyle w:val="Heading1"/>
      </w:pPr>
      <w:r>
        <w:t>3. Critical Analysis: Policy Discourses, Tensions and Contradictions</w:t>
      </w:r>
    </w:p>
    <w:p w14:paraId="1DF9BAD0" w14:textId="77777777" w:rsidR="00821F79" w:rsidRDefault="00000000">
      <w:pPr>
        <w:spacing w:after="200"/>
        <w:jc w:val="both"/>
      </w:pPr>
      <w:r>
        <w:t>Official policy discourse has presented the ALN reforms as a transformative shift towards inclusion, participation and equity. A closer examination, however, reveals persistent tensions between reform rhetoric and implementation reality. Four interrelated tensions are considered below: the contested nature of inclusion itself, the gap between rhetorical and substantive learner participation, the persistence of local variation despite the pursuit of national consistency, and the paradox of bureaucratisation within a reform designed to reduce it.</w:t>
      </w:r>
    </w:p>
    <w:p w14:paraId="1080716B" w14:textId="77777777" w:rsidR="00821F79" w:rsidRDefault="00000000">
      <w:pPr>
        <w:pStyle w:val="Heading2"/>
      </w:pPr>
      <w:r>
        <w:t>3.1 The Contested Nature of Inclusion</w:t>
      </w:r>
    </w:p>
    <w:p w14:paraId="2A8BBDA9" w14:textId="77777777" w:rsidR="00821F79" w:rsidRDefault="00000000">
      <w:pPr>
        <w:spacing w:after="200"/>
        <w:jc w:val="both"/>
      </w:pPr>
      <w:r>
        <w:t xml:space="preserve">The reforms position inclusion as a central organising principle, yet the concept remains deeply contested within educational scholarship. Ainscow (2020) argues that inclusion cannot be reduced to placement within mainstream settings or the production of statutory plans; genuine inclusion requires continuous, systemic attention to the barriers that prevent full participation in educational life. Florian (2019) similarly maintains that inclusive practice depends upon fundamental shifts in professional </w:t>
      </w:r>
      <w:r>
        <w:lastRenderedPageBreak/>
        <w:t>belief and pedagogy, rather than procedural reform alone. From this perspective, the introduction of IDPs and the extension of statutory entitlement, while significant, represent necessary but insufficient conditions for genuine inclusion.</w:t>
      </w:r>
    </w:p>
    <w:p w14:paraId="4DF7C12E" w14:textId="77777777" w:rsidR="00821F79" w:rsidRDefault="00000000">
      <w:pPr>
        <w:spacing w:after="200"/>
        <w:jc w:val="both"/>
      </w:pPr>
      <w:r>
        <w:t>Emerging evidence suggests that the reforms may have inadvertently raised the threshold for identification. Since the new system was introduced, the number of learners recognised as having ALN fell by 53%, from approximately 92,668 in 2020/21 to 43,885 in 2024/25 (Senedd Research, 2024). This decline has occurred despite evidence that children are presenting with increasingly complex needs. CYPE Committee scrutiny of this trend has raised urgent questions about whether learners whose needs can be met through ‘universal provision’ are effectively being removed from statutory support, or whether the bar for identification has been raised in ways that exclude vulnerable learners. The Welsh Government’s explanation that this reflects more accurate identification and improved universal provision has not been universally accepted by families, advocacy organisations or independent researchers (Children’s Commissioner for Wales, 2024).</w:t>
      </w:r>
    </w:p>
    <w:p w14:paraId="34BAD1CF" w14:textId="77777777" w:rsidR="00821F79" w:rsidRDefault="00000000">
      <w:pPr>
        <w:spacing w:after="200"/>
        <w:jc w:val="both"/>
      </w:pPr>
      <w:r>
        <w:t>Slee (2018) argues that inclusion policies frequently adopt progressive language while reproducing exclusionary outcomes through definitional and classificatory mechanisms. The ALN reforms illustrate this tension acutely: the broadening of terminology from SEN to ALN was intended to reduce stigma and widen access, yet the practical effect of raising the threshold for statutory provision may be that fewer learners receive the individualised support previously available to them. This tension between inclusive rhetoric and exclusionary practice is also apparent in the way the reforms have approached learner participation, which the following subsection examines.</w:t>
      </w:r>
    </w:p>
    <w:p w14:paraId="7E0FD2B4" w14:textId="77777777" w:rsidR="00821F79" w:rsidRDefault="00000000">
      <w:pPr>
        <w:pStyle w:val="Heading2"/>
      </w:pPr>
      <w:r>
        <w:t>3.2 Learner Voice, Participation and Power</w:t>
      </w:r>
    </w:p>
    <w:p w14:paraId="401341CC" w14:textId="77777777" w:rsidR="00821F79" w:rsidRDefault="00000000">
      <w:pPr>
        <w:spacing w:after="200"/>
        <w:jc w:val="both"/>
      </w:pPr>
      <w:r>
        <w:t>A central concern arising from Section 3.1 is whether the reforms’ emphasis on learner and family participation represents a genuine redistribution of decision-making power or a largely procedural commitment. The ALN Code places statutory obligations on schools and local authorities to involve children, young people and parents in the development and review of IDPs (Welsh Government, 2021a), reflecting both the participatory rights in Article 12 of the United Nations Convention on the Rights of the Child and the broader Welsh Government commitment to co-production in public services.</w:t>
      </w:r>
    </w:p>
    <w:p w14:paraId="3DCFF312" w14:textId="77777777" w:rsidR="00821F79" w:rsidRDefault="00000000">
      <w:pPr>
        <w:spacing w:after="200"/>
        <w:jc w:val="both"/>
      </w:pPr>
      <w:r>
        <w:t xml:space="preserve">Lundy (2007) argues that voice alone is insufficient unless children also have space to express views, an audience that genuinely listens and influence over decisions. Murphy et al. (2025), drawing on focus group research with ALNCos across South Wales, found that participation processes in practice were frequently shaped by professional priorities and institutional pressures rather than learner-centred values. ALNCos reported tension between the statutory requirements of the IDP process and meaningful engagement with learners and families, particularly where workload pressures were acute. Arad Research (2024), commissioned to conduct the Welsh Government’s own evaluation of ALN implementation, similarly found variability in the quality and accessibility of information provided to parents, with many families reporting insufficient transparency and communication. Taken together, these findings complicate the official narrative of strengthened participation and suggest that procedural compliance with IDP requirements does not necessarily produce genuine </w:t>
      </w:r>
      <w:r>
        <w:lastRenderedPageBreak/>
        <w:t>co-production. Whether geographical consistency has fared any better is the question this analysis now turns to address.</w:t>
      </w:r>
    </w:p>
    <w:p w14:paraId="6DACC9B6" w14:textId="77777777" w:rsidR="00821F79" w:rsidRDefault="00000000">
      <w:pPr>
        <w:pStyle w:val="Heading2"/>
      </w:pPr>
      <w:r>
        <w:t>3.3 Consistency, Local Variation and the Persistence of Inequality</w:t>
      </w:r>
    </w:p>
    <w:p w14:paraId="18C33299" w14:textId="77777777" w:rsidR="00821F79" w:rsidRDefault="00000000">
      <w:pPr>
        <w:spacing w:after="200"/>
        <w:jc w:val="both"/>
      </w:pPr>
      <w:r>
        <w:t>Having considered participation at the level of the individual learner, this section shifts focus to the system level, examining whether the reforms have succeeded in their aim of eliminating geographical inconsistency in provision.</w:t>
      </w:r>
    </w:p>
    <w:p w14:paraId="1378C537" w14:textId="77777777" w:rsidR="00821F79" w:rsidRDefault="00000000">
      <w:pPr>
        <w:spacing w:after="200"/>
        <w:jc w:val="both"/>
      </w:pPr>
      <w:r>
        <w:t>Reducing geographical inequalities in provision was a central rationale for ALN reform. The CYPE Committee, alongside advocacy organisations and families, had long argued that the SEN system produced a postcode lottery in which access to support depended more on local authority capacity than learner need (Welsh Government, 2017). The unified IDP framework and national ALN Code were intended to address this structural inequality.</w:t>
      </w:r>
    </w:p>
    <w:p w14:paraId="1B329A36" w14:textId="77777777" w:rsidR="00821F79" w:rsidRDefault="00000000">
      <w:pPr>
        <w:spacing w:after="200"/>
        <w:jc w:val="both"/>
      </w:pPr>
      <w:r>
        <w:t>Policy enactment theory, however, challenges the assumption that legislative consistency produces substantive equality. Ball, Maguire and Braun (2012) demonstrate that national policies are always mediated by local contexts, professional judgements and resource availability, producing diverse patterns of implementation even within common statutory frameworks. Evidence from Wales bears this out: Estyn (2023) identified significant variation in implementation readiness and quality across schools and local authorities, while Senedd Research (2024) and the CYPE Committee highlighted continuing disparities in waiting times for assessment, access to specialist services and the consistency of IDP quality. The Education Tribunal Wales (2025) further noted that the application of the ALN definition varied considerably across settings, producing inconsistency in identification that mirrors the inequalities the reforms were designed to eliminate.</w:t>
      </w:r>
    </w:p>
    <w:p w14:paraId="7F52CB2D" w14:textId="77777777" w:rsidR="00821F79" w:rsidRDefault="00000000">
      <w:pPr>
        <w:spacing w:after="200"/>
        <w:jc w:val="both"/>
      </w:pPr>
      <w:r>
        <w:t xml:space="preserve">Murphy et al. (2025) offer a particularly important Wales-specific perspective, showing that ALNCos experienced the reform process as characterised by compliance pressures, role ambiguity and insufficient guidance on what inclusive education </w:t>
      </w:r>
      <w:proofErr w:type="gramStart"/>
      <w:r>
        <w:t>actually looks</w:t>
      </w:r>
      <w:proofErr w:type="gramEnd"/>
      <w:r>
        <w:t xml:space="preserve"> like within local contexts post-reform. Legislative change has not resolved the structural inequalities that characterised the previous SEN system; rather, it has reconfigured them within a new framework. A related irony is that the administrative apparatus designed to resolve these inequalities has itself become a source of significant difficulty, as the following subsection explores.</w:t>
      </w:r>
    </w:p>
    <w:p w14:paraId="26497B14" w14:textId="77777777" w:rsidR="00821F79" w:rsidRDefault="00000000">
      <w:pPr>
        <w:pStyle w:val="Heading2"/>
      </w:pPr>
      <w:r>
        <w:t>3.4 Bureaucratisation and the Paradox of Procedural Reform</w:t>
      </w:r>
    </w:p>
    <w:p w14:paraId="6C038029" w14:textId="77777777" w:rsidR="00821F79" w:rsidRDefault="00000000">
      <w:pPr>
        <w:spacing w:after="200"/>
        <w:jc w:val="both"/>
      </w:pPr>
      <w:r>
        <w:t>The preceding analysis has shown that inclusion, participation and consistency are all imperfectly realised in practice. A further structural tension concerns the IDP itself: the very planning mechanism introduced to simplify and personalise provision may be undermining the relational, learner-centred practice the reforms were designed to promote.</w:t>
      </w:r>
    </w:p>
    <w:p w14:paraId="5D589330" w14:textId="77777777" w:rsidR="00821F79" w:rsidRDefault="00000000">
      <w:pPr>
        <w:spacing w:after="200"/>
        <w:jc w:val="both"/>
      </w:pPr>
      <w:r>
        <w:t xml:space="preserve">IDPs were intended to simplify planning arrangements and reduce fragmentation. Evidence from practitioners suggests, however, that the IDP process has generated significant new administrative burdens. Murphy et al. (2025) found that ALNCos experienced statutory IDP requirements as time-consuming and administratively demanding, reducing their capacity for direct engagement with learners and families. Arad Research (2024) corroborated this, with practitioners across schools, local </w:t>
      </w:r>
      <w:r>
        <w:lastRenderedPageBreak/>
        <w:t>authorities and further education institutions reporting that workload pressures were a major barrier to effective implementation.</w:t>
      </w:r>
    </w:p>
    <w:p w14:paraId="2A1380AA" w14:textId="77777777" w:rsidR="00821F79" w:rsidRDefault="00000000">
      <w:pPr>
        <w:spacing w:after="200"/>
        <w:jc w:val="both"/>
      </w:pPr>
      <w:r>
        <w:t xml:space="preserve">Norwich (2014) identifies this as a recurring tension in inclusive education policy: the administrative machinery intended to secure support can become an </w:t>
      </w:r>
      <w:proofErr w:type="gramStart"/>
      <w:r>
        <w:t>end in itself, displacing</w:t>
      </w:r>
      <w:proofErr w:type="gramEnd"/>
      <w:r>
        <w:t xml:space="preserve"> the educational relationships and responsive practices that </w:t>
      </w:r>
      <w:proofErr w:type="gramStart"/>
      <w:r>
        <w:t>actually improve</w:t>
      </w:r>
      <w:proofErr w:type="gramEnd"/>
      <w:r>
        <w:t xml:space="preserve"> learner outcomes. The risk in Wales is that IDPs function primarily as bureaucratic artefacts rather than as living documents that meaningfully guide provision. A reform designed to promote personalised, learner-centred support may, paradoxically, reduce the time available for the very relational work that inclusion requires, representing a significant and unintended policy paradox.</w:t>
      </w:r>
    </w:p>
    <w:p w14:paraId="493BC6A2" w14:textId="77777777" w:rsidR="00821F79" w:rsidRDefault="00000000">
      <w:pPr>
        <w:spacing w:after="200"/>
        <w:jc w:val="both"/>
      </w:pPr>
      <w:r>
        <w:t>Taken together, the analysis across Sections 3.1 to 3.4 reveals that the ALN reforms, while progressive in intent, are characterised by persistent tensions between aspiration and enactment. Inclusion remains contested, participation uneven, consistency elusive and bureaucracy burdensome. These tensions are not incidental but reflect deeper structural challenges in the Welsh educational system that legislation alone cannot resolve.</w:t>
      </w:r>
    </w:p>
    <w:p w14:paraId="15401CA1" w14:textId="77777777" w:rsidR="00821F79" w:rsidRDefault="00000000">
      <w:pPr>
        <w:pStyle w:val="Heading1"/>
      </w:pPr>
      <w:r>
        <w:t>4. Implementation Challenges and Stakeholder Perspectives</w:t>
      </w:r>
    </w:p>
    <w:p w14:paraId="579715EB" w14:textId="77777777" w:rsidR="00821F79" w:rsidRDefault="00000000">
      <w:pPr>
        <w:spacing w:after="200"/>
        <w:jc w:val="both"/>
      </w:pPr>
      <w:r>
        <w:t>The implementation of ALN reform in Wales has been shaped by a complex interplay of workforce pressures, resource constraints, multi-agency challenges and competing reform demands. A critical evaluation of these challenges requires engagement with stakeholder perspectives that extend beyond official government and inspection narratives.</w:t>
      </w:r>
    </w:p>
    <w:p w14:paraId="5A30B282" w14:textId="77777777" w:rsidR="00821F79" w:rsidRDefault="00000000">
      <w:pPr>
        <w:spacing w:after="200"/>
        <w:jc w:val="both"/>
      </w:pPr>
      <w:r>
        <w:t xml:space="preserve">Workforce capacity is one of the most significant implementation constraints. The expanded role of the Additional Learning Needs Coordinator (ALNCo), which encompasses strategic leadership, IDP coordination, multi-agency liaison and professional development, places substantial demands on individuals who, in many schools, lack adequate time, administrative support and specialist expertise. Murphy et al. (2025) found that ALNCos in Welsh primary schools navigated considerable tension between mandated compliance with new statutory requirements and their professional commitment to inclusive educational values. Many felt insufficiently supported by school leadership and uncertain about how ALN reform related to the concurrent demands of </w:t>
      </w:r>
      <w:r>
        <w:rPr>
          <w:i/>
          <w:iCs/>
        </w:rPr>
        <w:t>Curriculum for Wales</w:t>
      </w:r>
      <w:r>
        <w:t xml:space="preserve"> implementation, a finding that points to a systemic failure to recognise the cumulative burden of concurrent reform on practitioners with finite professional capacity (Fullan, 2007).</w:t>
      </w:r>
    </w:p>
    <w:p w14:paraId="193D12C6" w14:textId="77777777" w:rsidR="00821F79" w:rsidRDefault="00000000">
      <w:pPr>
        <w:spacing w:after="200"/>
        <w:jc w:val="both"/>
      </w:pPr>
      <w:r>
        <w:t>Financial pressures compound these workforce limitations. Despite a £20 million additional funding announcement for ALN provision in schools in May 2024 (Children’s Commissioner for Wales, 2024), local authorities and schools continue to face difficulties recruiting educational psychologists, speech and language therapists and other specialists whose timely input is essential for effective IDP development. OECD (2023) argues that inclusive reforms consistently fail to deliver equitable outcomes when policy expectations outpace institutional resourcing. Families in Wales have reported that delays in assessment and specialist provision undermine the rights-based promises of the legislation, with the Senedd Petitions Committee (2024) receiving evidence of significant local authority failures to meet statutory IDP timelines.</w:t>
      </w:r>
    </w:p>
    <w:p w14:paraId="5705FED5" w14:textId="77777777" w:rsidR="00821F79" w:rsidRDefault="00000000">
      <w:pPr>
        <w:spacing w:after="200"/>
        <w:jc w:val="both"/>
      </w:pPr>
      <w:r>
        <w:lastRenderedPageBreak/>
        <w:t xml:space="preserve">Multi-agency collaboration between education, health and social care, while central to the ALN framework, has proven difficult to operationalise consistently, as different agencies operate under separate governance structures, budgetary constraints and professional priorities. The Education Tribunal Wales (2025) identified NHS bodies’ obligations to provide additional learning provision within IDPs as a particularly complex area, noting that inconsistent application across health boards has produced inequitable outcomes for learners with complex needs. Estyn (2025) similarly identified variability in post-16 transition planning, with further education institutions varying considerably in their capacity to fulfil ALN duties. Where multi-agency systems are poorly aligned, responsibility can become </w:t>
      </w:r>
      <w:proofErr w:type="gramStart"/>
      <w:r>
        <w:t>fragmented</w:t>
      </w:r>
      <w:proofErr w:type="gramEnd"/>
      <w:r>
        <w:t xml:space="preserve"> and families may experience gaps in provision that undermine the holistic support the reforms were designed to deliver.</w:t>
      </w:r>
    </w:p>
    <w:p w14:paraId="1C0E2778" w14:textId="77777777" w:rsidR="00821F79" w:rsidRDefault="00000000">
      <w:pPr>
        <w:spacing w:after="200"/>
        <w:jc w:val="both"/>
      </w:pPr>
      <w:r>
        <w:t xml:space="preserve">Families and learners themselves represent a critical stakeholder perspective that official implementation narratives have frequently marginalised. Evidence submitted to the CYPE </w:t>
      </w:r>
      <w:proofErr w:type="gramStart"/>
      <w:r>
        <w:t>Committee</w:t>
      </w:r>
      <w:proofErr w:type="gramEnd"/>
      <w:r>
        <w:t xml:space="preserve"> and the Senedd Petitions Committee (2024) reveals that many families experience the ALN system as opaque, inconsistent and adversarial, concerns that closely mirror those that motivated the original SEN reform. The Children’s Commissioner for Wales (2024) has highlighted continuing barriers to support across education and health services, calling for systematic review of the use of reduced timetables, which may exclude children from full participation without adequate justification. Such testimony challenges the Welsh Government’s characterisation of the reforms as broadly on track and suggests that the gap between legislative aspiration and lived experience remains substantial.</w:t>
      </w:r>
    </w:p>
    <w:p w14:paraId="660CE442" w14:textId="77777777" w:rsidR="00821F79" w:rsidRDefault="00000000">
      <w:pPr>
        <w:spacing w:after="200"/>
        <w:jc w:val="both"/>
      </w:pPr>
      <w:r>
        <w:t xml:space="preserve">Implementation has also coincided with other significant educational reforms, most notably the rollout of the </w:t>
      </w:r>
      <w:r>
        <w:rPr>
          <w:i/>
          <w:iCs/>
        </w:rPr>
        <w:t>Curriculum for Wales</w:t>
      </w:r>
      <w:r>
        <w:t>. Fullan (2007) argues that organisations possess finite capacities for change and that reform overload can reduce implementation fidelity. Without sustained investment, workforce development and collaborative leadership, there remains a risk that ALN reforms will generate procedural compliance rather than the transformative change their architects envisaged.</w:t>
      </w:r>
    </w:p>
    <w:p w14:paraId="179DA4A0" w14:textId="77777777" w:rsidR="00821F79" w:rsidRDefault="00000000">
      <w:pPr>
        <w:pStyle w:val="Heading1"/>
      </w:pPr>
      <w:r>
        <w:t>5. Policy Outcomes and Evaluation</w:t>
      </w:r>
    </w:p>
    <w:p w14:paraId="15C15024" w14:textId="77777777" w:rsidR="00821F79" w:rsidRDefault="00000000">
      <w:pPr>
        <w:spacing w:after="200"/>
        <w:jc w:val="both"/>
      </w:pPr>
      <w:r>
        <w:t xml:space="preserve">Evaluating the outcomes of ALN reform in Wales requires critical engagement with both the available evidence and its methodological limitations. </w:t>
      </w:r>
      <w:proofErr w:type="gramStart"/>
      <w:r>
        <w:t>The majority of</w:t>
      </w:r>
      <w:proofErr w:type="gramEnd"/>
      <w:r>
        <w:t xml:space="preserve"> evaluation data currently available concerns process indicators, specifically the numbers of IDPs produced, implementation readiness across settings and practitioner perceptions, rather than robust longitudinal measures of learner outcomes (Duggan et al., 2023). This evidential gap is itself significant: it reflects a broader weakness in the evaluation architecture of the reforms and makes it difficult to determine with confidence whether procedural change has translated into improved educational experiences.</w:t>
      </w:r>
    </w:p>
    <w:p w14:paraId="342C2987" w14:textId="77777777" w:rsidR="00821F79" w:rsidRDefault="00000000">
      <w:pPr>
        <w:spacing w:after="200"/>
        <w:jc w:val="both"/>
      </w:pPr>
      <w:r>
        <w:t xml:space="preserve">The most significant and troubling outcome to date is the dramatic reduction in the number of learners identified as having ALN. A 53% decrease, from approximately 92,668 learners in 2020/21 to 43,885 in 2024/25, was neither anticipated by the Welsh Government when the legislation was passed nor consistent with evidence of increasing complexity of need among the school-age population (Senedd Research, 2024). The Welsh Government attributes this to more accurate identification and </w:t>
      </w:r>
      <w:r>
        <w:lastRenderedPageBreak/>
        <w:t>improved universal provision, but the CYPE Committee, advocacy organisations and legal practitioners have contested this explanation, warning that the effective raising of the ALN threshold may be excluding learners with genuine additional needs from statutory protection (Education Tribunal Wales, 2025). Slee’s (2018) broader warning that inclusion reforms risk reproducing exclusionary dynamics under the guise of improved universal provision appears particularly prescient here.</w:t>
      </w:r>
    </w:p>
    <w:p w14:paraId="1D41FF94" w14:textId="77777777" w:rsidR="00821F79" w:rsidRDefault="00000000">
      <w:pPr>
        <w:spacing w:after="200"/>
        <w:jc w:val="both"/>
      </w:pPr>
      <w:r>
        <w:t xml:space="preserve">Where the reforms have achieved more consistent progress is </w:t>
      </w:r>
      <w:proofErr w:type="gramStart"/>
      <w:r>
        <w:t>in the area of</w:t>
      </w:r>
      <w:proofErr w:type="gramEnd"/>
      <w:r>
        <w:t xml:space="preserve"> coherence and statutory clarity. The unified IDP framework has the potential to improve continuity across educational transitions, and emerging evidence suggests that some schools have developed stronger, more collaborative relationships with families through person-centred planning approaches (Arad Research, 2024). Estyn (2023) found examples of effective inclusive practice in settings where leadership, professional development and collaborative culture were well established. Yet these positive developments remain unevenly distributed. Ainscow (2020) argues that sustainable inclusive practice requires systemic cultural change rather than isolated pockets of good practice, and the current evidence suggests that Wales has not yet achieved the conditions necessary for consistent, equity-driven implementation.</w:t>
      </w:r>
    </w:p>
    <w:p w14:paraId="07F69AF3" w14:textId="77777777" w:rsidR="00821F79" w:rsidRDefault="00000000">
      <w:pPr>
        <w:spacing w:after="200"/>
        <w:jc w:val="both"/>
      </w:pPr>
      <w:r>
        <w:t>Knight et al. (2024), examining the quantitative impact of ALN identification on academic outcomes, highlight the complex and contested effects of labelling and categorisation on learner attainment and self-concept. Their research underscores the importance of evaluating ALN reform not merely through identification rates or IDP compliance, but through its demonstrable impact on learners’ educational trajectories. At present, such evidence remains insufficient to support confident conclusions about the reforms’ effectiveness.</w:t>
      </w:r>
    </w:p>
    <w:p w14:paraId="1AA30903" w14:textId="77777777" w:rsidR="00821F79" w:rsidRDefault="00000000">
      <w:pPr>
        <w:spacing w:after="200"/>
        <w:jc w:val="both"/>
      </w:pPr>
      <w:r>
        <w:t>The limitations of the current evidence base, including those of this report, warrant acknowledgement. The analysis draws predominantly upon secondary sources, including inspection reports, government evaluations and academic literature, rather than primary research involving learners, families or practitioners directly. Much of the available evidence also focuses on process indicators rather than longitudinal outcomes, making it difficult to assess the reforms’ full impact. Duggan et al. (2023) note that robust longitudinal evaluation remains absent, and this represents a significant gap that policymakers must urgently address. Notwithstanding these limitations, the evidence consistently suggests that the ALN reforms remain stronger in legislative design than in consistently demonstrated outcomes, and that Wales has yet to create the systemic conditions necessary to fulfil their considerable promise.</w:t>
      </w:r>
    </w:p>
    <w:p w14:paraId="7B9D7C6C" w14:textId="77777777" w:rsidR="00821F79" w:rsidRDefault="00000000">
      <w:pPr>
        <w:pStyle w:val="Heading1"/>
      </w:pPr>
      <w:r>
        <w:t>6. Recommendations for Policy and Practice</w:t>
      </w:r>
    </w:p>
    <w:p w14:paraId="63BB2E3F" w14:textId="77777777" w:rsidR="00821F79" w:rsidRDefault="00000000">
      <w:pPr>
        <w:spacing w:after="200"/>
        <w:jc w:val="both"/>
      </w:pPr>
      <w:r>
        <w:t>The critical analysis presented in this report points to several priority areas for policy reform and practice development. Drawing upon the theoretical frameworks of Ball, Maguire and Braun (2012), Ainscow (2020) and Fullan (2007), the recommendations below are grounded in evidence and oriented towards the systemic conditions necessary for genuine inclusive reform rather than procedural compliance alone.</w:t>
      </w:r>
    </w:p>
    <w:p w14:paraId="1EEA2033" w14:textId="77777777" w:rsidR="00821F79" w:rsidRDefault="00000000">
      <w:pPr>
        <w:spacing w:after="200"/>
        <w:jc w:val="both"/>
      </w:pPr>
      <w:r>
        <w:t xml:space="preserve">First, the Welsh Government must urgently address the dramatic decline in ALN identification by commissioning independent research that examines whether learners with genuine additional needs are being excluded from statutory support. The CYPE Committee’s concerns and the Education Tribunal Wales (2025) review both indicate </w:t>
      </w:r>
      <w:r>
        <w:lastRenderedPageBreak/>
        <w:t>that definitional ambiguity and threshold variation are producing inequitable outcomes. A review of the boundary between universal provision and statutory ALN, informed by family and practitioner perspectives, is essential if the reforms are to fulfil their equity objectives.</w:t>
      </w:r>
    </w:p>
    <w:p w14:paraId="16E1FAEE" w14:textId="77777777" w:rsidR="00821F79" w:rsidRDefault="00000000">
      <w:pPr>
        <w:spacing w:after="200"/>
        <w:jc w:val="both"/>
      </w:pPr>
      <w:r>
        <w:t>Second, investment in workforce capacity must be substantially increased. Murphy et al. (2025) demonstrate that ALNCos are operating under unsustainable pressures that compromise the quality of ALN provision. Protected time, specialist support and career development pathways for ALNCos should be statutory requirements rather than discretionary provisions. Fullan (2007) argues that sustainable educational change requires continuous, well-resourced professional learning; piecemeal training provision is insufficient for the scale of reform demanded by the ALN system.</w:t>
      </w:r>
    </w:p>
    <w:p w14:paraId="76642AFD" w14:textId="77777777" w:rsidR="00821F79" w:rsidRDefault="00000000">
      <w:pPr>
        <w:spacing w:after="200"/>
        <w:jc w:val="both"/>
      </w:pPr>
      <w:r>
        <w:t>Third, multi-agency coordination must be strengthened through shared accountability mechanisms, joint planning structures and clearer statutory guidance on NHS obligations within the IDP framework. The Education Tribunal Wales (2025) has identified this as a critical area of legal and practical complexity. Without clearer frameworks and adequate health service capacity, the aspiration of holistic, integrated support for learners with complex needs will remain unrealised.</w:t>
      </w:r>
    </w:p>
    <w:p w14:paraId="7BD22464" w14:textId="77777777" w:rsidR="00821F79" w:rsidRDefault="00000000">
      <w:pPr>
        <w:spacing w:after="200"/>
        <w:jc w:val="both"/>
      </w:pPr>
      <w:r>
        <w:t>Finally, longitudinal evaluation must be prioritised, with meaningful measures of learner outcomes including attainment, wellbeing, post-school destinations and family experience, rather than process compliance alone. Duggan et al. (2023) argue that robust, independent evaluation is indispensable if policymakers are to determine whether the reforms have improved life opportunities for learners with ALN. The current evaluation architecture, while promising, must be accelerated and its findings must genuinely inform policy revision.</w:t>
      </w:r>
    </w:p>
    <w:p w14:paraId="47CB1387" w14:textId="77777777" w:rsidR="00821F79" w:rsidRDefault="00000000">
      <w:pPr>
        <w:pStyle w:val="Heading1"/>
      </w:pPr>
      <w:r>
        <w:t>7. Conclusion</w:t>
      </w:r>
    </w:p>
    <w:p w14:paraId="54B8FDFB" w14:textId="77777777" w:rsidR="00821F79" w:rsidRDefault="00000000">
      <w:pPr>
        <w:spacing w:after="200"/>
        <w:jc w:val="both"/>
      </w:pPr>
      <w:r>
        <w:t>The Additional Learning Needs reforms in Wales represent a significant and well-intentioned attempt to establish a more inclusive, rights-based system of educational support. The legislative framework, with its emphasis on person-centred planning, extended entitlement and multi-agency collaboration, reflects contemporary understandings of equity, participation and children’s rights. However, this report has argued that the gap between legislative aspiration and implementation reality remains substantial and, in some respects, is widening.</w:t>
      </w:r>
    </w:p>
    <w:p w14:paraId="57F45B27" w14:textId="77777777" w:rsidR="00821F79" w:rsidRDefault="00000000">
      <w:pPr>
        <w:spacing w:after="200"/>
        <w:jc w:val="both"/>
      </w:pPr>
      <w:r>
        <w:t>The 53% decline in ALN identification, the persistence of geographical inequalities, the bureaucratisation of the IDP process and the evidence of family and practitioner frustration collectively suggest that the reforms have not yet achieved their transformative potential. The dominance of Welsh Government and Estyn perspectives in official implementation narratives has obscured a more complex and contested picture, one that emerges from independent academic research, CYPE Committee scrutiny and the testimony of families and practitioners. Critically, Slee (2018), Ainscow (2020) and Murphy et al. (2025) all caution that inclusive reform cannot be achieved through legislation alone; it requires systemic cultural change, adequate resourcing and critical reflection on the unintended consequences of policy enactment.</w:t>
      </w:r>
    </w:p>
    <w:p w14:paraId="5459C042" w14:textId="77777777" w:rsidR="00821F79" w:rsidRDefault="00000000">
      <w:pPr>
        <w:spacing w:after="200"/>
        <w:jc w:val="both"/>
      </w:pPr>
      <w:r>
        <w:t xml:space="preserve">Wales has an opportunity to build a genuinely inclusive educational system, but realising this ambition demands honest evaluation, sustained investment and a </w:t>
      </w:r>
      <w:r>
        <w:lastRenderedPageBreak/>
        <w:t>willingness to engage critically with evidence that challenges official accounts of progress. Without these conditions, the reforms risk producing procedural change while leaving the structural determinants of educational inequality fundamentally unaddressed.</w:t>
      </w:r>
    </w:p>
    <w:p w14:paraId="12317CB2" w14:textId="77777777" w:rsidR="00821F79" w:rsidRDefault="00000000">
      <w:pPr>
        <w:pStyle w:val="Heading1"/>
      </w:pPr>
      <w:r>
        <w:t>References</w:t>
      </w:r>
    </w:p>
    <w:p w14:paraId="0F896E8A" w14:textId="77777777" w:rsidR="00821F79" w:rsidRDefault="00000000">
      <w:pPr>
        <w:spacing w:after="160"/>
        <w:ind w:left="720" w:hanging="720"/>
      </w:pPr>
      <w:r>
        <w:t xml:space="preserve">Ainscow, M. (2020) ‘Promoting inclusion and equity in education: lessons from international experiences’, </w:t>
      </w:r>
      <w:r>
        <w:rPr>
          <w:i/>
          <w:iCs/>
        </w:rPr>
        <w:t>Nordic Journal of Studies in Educational Policy</w:t>
      </w:r>
      <w:r>
        <w:t>, 6(1), pp. 7–16.</w:t>
      </w:r>
    </w:p>
    <w:p w14:paraId="26626E9D" w14:textId="77777777" w:rsidR="00821F79" w:rsidRDefault="00000000">
      <w:pPr>
        <w:spacing w:after="160"/>
        <w:ind w:left="720" w:hanging="720"/>
      </w:pPr>
      <w:r>
        <w:t xml:space="preserve">Arad Research (2024) </w:t>
      </w:r>
      <w:r>
        <w:rPr>
          <w:i/>
          <w:iCs/>
        </w:rPr>
        <w:t>Evaluation of the Additional Learning Needs System: Survey of Practitioners and Professionals</w:t>
      </w:r>
      <w:r>
        <w:t>. Welsh Government.</w:t>
      </w:r>
    </w:p>
    <w:p w14:paraId="293A45A4" w14:textId="77777777" w:rsidR="00821F79" w:rsidRDefault="00000000">
      <w:pPr>
        <w:spacing w:after="160"/>
        <w:ind w:left="720" w:hanging="720"/>
      </w:pPr>
      <w:r>
        <w:t xml:space="preserve">Ball, S.J., Maguire, M. and Braun, A. (2012) </w:t>
      </w:r>
      <w:r>
        <w:rPr>
          <w:i/>
          <w:iCs/>
        </w:rPr>
        <w:t>How Schools Do Policy: Policy Enactments in Secondary Schools</w:t>
      </w:r>
      <w:r>
        <w:t>. Routledge.</w:t>
      </w:r>
    </w:p>
    <w:p w14:paraId="3B8E7ECB" w14:textId="77777777" w:rsidR="00821F79" w:rsidRDefault="00000000">
      <w:pPr>
        <w:spacing w:after="160"/>
        <w:ind w:left="720" w:hanging="720"/>
      </w:pPr>
      <w:r>
        <w:t xml:space="preserve">Children’s Commissioner for Wales (2024) </w:t>
      </w:r>
      <w:r>
        <w:rPr>
          <w:i/>
          <w:iCs/>
        </w:rPr>
        <w:t>Additional Learning Needs: Policy Position</w:t>
      </w:r>
      <w:r>
        <w:t>. Children’s Commissioner for Wales.</w:t>
      </w:r>
    </w:p>
    <w:p w14:paraId="64A2FFE5" w14:textId="77777777" w:rsidR="00821F79" w:rsidRDefault="00000000">
      <w:pPr>
        <w:spacing w:after="160"/>
        <w:ind w:left="720" w:hanging="720"/>
      </w:pPr>
      <w:r>
        <w:t xml:space="preserve">Department for Education and Skills (2001) </w:t>
      </w:r>
      <w:r>
        <w:rPr>
          <w:i/>
          <w:iCs/>
        </w:rPr>
        <w:t>Special Educational Needs Code of Practice</w:t>
      </w:r>
      <w:r>
        <w:t>. Department for Education and Skills.</w:t>
      </w:r>
    </w:p>
    <w:p w14:paraId="5C3FDF56" w14:textId="77777777" w:rsidR="00821F79" w:rsidRDefault="00000000">
      <w:pPr>
        <w:spacing w:after="160"/>
        <w:ind w:left="720" w:hanging="720"/>
      </w:pPr>
      <w:r>
        <w:t xml:space="preserve">Duggan, D. et al. (2023) </w:t>
      </w:r>
      <w:r>
        <w:rPr>
          <w:i/>
          <w:iCs/>
        </w:rPr>
        <w:t>Evaluation of the Additional Learning Needs System: Scoping Report</w:t>
      </w:r>
      <w:r>
        <w:t>. Welsh Government.</w:t>
      </w:r>
    </w:p>
    <w:p w14:paraId="1967DCB5" w14:textId="77777777" w:rsidR="00821F79" w:rsidRDefault="00000000">
      <w:pPr>
        <w:spacing w:after="160"/>
        <w:ind w:left="720" w:hanging="720"/>
      </w:pPr>
      <w:r>
        <w:t xml:space="preserve">Education Tribunal Wales (2025) </w:t>
      </w:r>
      <w:r>
        <w:rPr>
          <w:i/>
          <w:iCs/>
        </w:rPr>
        <w:t>Review of the Additional Learning Needs Legislative Framework in Wales</w:t>
      </w:r>
      <w:r>
        <w:t>. Education Tribunal Wales.</w:t>
      </w:r>
    </w:p>
    <w:p w14:paraId="408AC5E6" w14:textId="77777777" w:rsidR="00821F79" w:rsidRDefault="00000000">
      <w:pPr>
        <w:spacing w:after="160"/>
        <w:ind w:left="720" w:hanging="720"/>
      </w:pPr>
      <w:r>
        <w:t xml:space="preserve">Estyn (2023) </w:t>
      </w:r>
      <w:r>
        <w:rPr>
          <w:i/>
          <w:iCs/>
        </w:rPr>
        <w:t>The New Additional Learning Needs System</w:t>
      </w:r>
      <w:r>
        <w:t>. Estyn.</w:t>
      </w:r>
    </w:p>
    <w:p w14:paraId="26D6E099" w14:textId="77777777" w:rsidR="00821F79" w:rsidRDefault="00000000">
      <w:pPr>
        <w:spacing w:after="160"/>
        <w:ind w:left="720" w:hanging="720"/>
      </w:pPr>
      <w:r>
        <w:t xml:space="preserve">Estyn (2025) </w:t>
      </w:r>
      <w:r>
        <w:rPr>
          <w:i/>
          <w:iCs/>
        </w:rPr>
        <w:t>Implementation of Post-16 Aspects of Additional Learning Needs Reform in Further Education Institutions</w:t>
      </w:r>
      <w:r>
        <w:t>. Estyn.</w:t>
      </w:r>
    </w:p>
    <w:p w14:paraId="1C731178" w14:textId="77777777" w:rsidR="00821F79" w:rsidRDefault="00000000">
      <w:pPr>
        <w:spacing w:after="160"/>
        <w:ind w:left="720" w:hanging="720"/>
      </w:pPr>
      <w:r>
        <w:t xml:space="preserve">Florian, L. (2019) ‘On the necessary co-existence of special and inclusive education’, </w:t>
      </w:r>
      <w:r>
        <w:rPr>
          <w:i/>
          <w:iCs/>
        </w:rPr>
        <w:t>International Journal of Inclusive Education</w:t>
      </w:r>
      <w:r>
        <w:t>, 23(7–8), pp. 691–704.</w:t>
      </w:r>
    </w:p>
    <w:p w14:paraId="0571F1CD" w14:textId="77777777" w:rsidR="00821F79" w:rsidRDefault="00000000">
      <w:pPr>
        <w:spacing w:after="160"/>
        <w:ind w:left="720" w:hanging="720"/>
      </w:pPr>
      <w:r>
        <w:t xml:space="preserve">Fullan, M. (2007) </w:t>
      </w:r>
      <w:r>
        <w:rPr>
          <w:i/>
          <w:iCs/>
        </w:rPr>
        <w:t>The New Meaning of Educational Change</w:t>
      </w:r>
      <w:r>
        <w:t xml:space="preserve">. 4th </w:t>
      </w:r>
      <w:proofErr w:type="spellStart"/>
      <w:r>
        <w:t>edn</w:t>
      </w:r>
      <w:proofErr w:type="spellEnd"/>
      <w:r>
        <w:t>. Teachers College Press.</w:t>
      </w:r>
    </w:p>
    <w:p w14:paraId="7F560AB4" w14:textId="77777777" w:rsidR="00821F79" w:rsidRDefault="00000000">
      <w:pPr>
        <w:spacing w:after="160"/>
        <w:ind w:left="720" w:hanging="720"/>
      </w:pPr>
      <w:r>
        <w:t xml:space="preserve">Knight, C. et al. (2024) </w:t>
      </w:r>
      <w:r>
        <w:rPr>
          <w:i/>
          <w:iCs/>
        </w:rPr>
        <w:t>Quantifying the Impact of Additional Learning Needs Identification in Wales</w:t>
      </w:r>
      <w:r>
        <w:t>. University of Bristol.</w:t>
      </w:r>
    </w:p>
    <w:p w14:paraId="22E5954D" w14:textId="77777777" w:rsidR="00821F79" w:rsidRDefault="00000000">
      <w:pPr>
        <w:spacing w:after="160"/>
        <w:ind w:left="720" w:hanging="720"/>
      </w:pPr>
      <w:r>
        <w:t xml:space="preserve">Lundy, L. (2007) ‘Voice is not enough: conceptualising Article 12 of the United Nations Convention on the Rights of the Child’, </w:t>
      </w:r>
      <w:r>
        <w:rPr>
          <w:i/>
          <w:iCs/>
        </w:rPr>
        <w:t>British Educational Research Journal</w:t>
      </w:r>
      <w:r>
        <w:t>, 33(6), pp. 927–942.</w:t>
      </w:r>
    </w:p>
    <w:p w14:paraId="5C9D72D4" w14:textId="77777777" w:rsidR="00821F79" w:rsidRDefault="00000000">
      <w:pPr>
        <w:spacing w:after="160"/>
        <w:ind w:left="720" w:hanging="720"/>
      </w:pPr>
      <w:r>
        <w:t xml:space="preserve">Murphy, A., Greenway, C. and Conn, C. (2025) ‘Negotiating additional learning needs reform in Wales: the voice of the ALNCo’, </w:t>
      </w:r>
      <w:r>
        <w:rPr>
          <w:i/>
          <w:iCs/>
        </w:rPr>
        <w:t>British Journal of Special Education</w:t>
      </w:r>
      <w:r>
        <w:t>, 52, pp. 18–26.</w:t>
      </w:r>
    </w:p>
    <w:p w14:paraId="1F4B1046" w14:textId="77777777" w:rsidR="00821F79" w:rsidRDefault="00000000">
      <w:pPr>
        <w:spacing w:after="160"/>
        <w:ind w:left="720" w:hanging="720"/>
      </w:pPr>
      <w:r>
        <w:t xml:space="preserve">Norwich, B. (2014) ‘Recognising value tensions that underlie problems in inclusive education’, </w:t>
      </w:r>
      <w:r>
        <w:rPr>
          <w:i/>
          <w:iCs/>
        </w:rPr>
        <w:t>Cambridge Journal of Education</w:t>
      </w:r>
      <w:r>
        <w:t>, 44(4), pp. 495–510.</w:t>
      </w:r>
    </w:p>
    <w:p w14:paraId="1DBC1E6E" w14:textId="77777777" w:rsidR="00821F79" w:rsidRDefault="00000000">
      <w:pPr>
        <w:spacing w:after="160"/>
        <w:ind w:left="720" w:hanging="720"/>
      </w:pPr>
      <w:r>
        <w:t xml:space="preserve">OECD (2023) </w:t>
      </w:r>
      <w:r>
        <w:rPr>
          <w:i/>
          <w:iCs/>
        </w:rPr>
        <w:t>Equity and Inclusion in Education: Finding Strength through Diversity</w:t>
      </w:r>
      <w:r>
        <w:t>. OECD Publishing.</w:t>
      </w:r>
    </w:p>
    <w:p w14:paraId="54E822FF" w14:textId="77777777" w:rsidR="00821F79" w:rsidRDefault="00000000">
      <w:pPr>
        <w:spacing w:after="160"/>
        <w:ind w:left="720" w:hanging="720"/>
      </w:pPr>
      <w:r>
        <w:lastRenderedPageBreak/>
        <w:t xml:space="preserve">Senedd Research (2024) </w:t>
      </w:r>
      <w:r>
        <w:rPr>
          <w:i/>
          <w:iCs/>
        </w:rPr>
        <w:t>Reviewing the ALN Reforms: In Brief</w:t>
      </w:r>
      <w:r>
        <w:t>. Senedd Cymru.</w:t>
      </w:r>
    </w:p>
    <w:p w14:paraId="689383F3" w14:textId="77777777" w:rsidR="00821F79" w:rsidRDefault="00000000">
      <w:pPr>
        <w:spacing w:after="160"/>
        <w:ind w:left="720" w:hanging="720"/>
      </w:pPr>
      <w:r>
        <w:t xml:space="preserve">Senedd Petitions Committee (2024) </w:t>
      </w:r>
      <w:r>
        <w:rPr>
          <w:i/>
          <w:iCs/>
        </w:rPr>
        <w:t>Additional Learning Needs Reform Wales: Petition Evidence</w:t>
      </w:r>
      <w:r>
        <w:t>. Senedd Cymru.</w:t>
      </w:r>
    </w:p>
    <w:p w14:paraId="7E39F005" w14:textId="77777777" w:rsidR="00821F79" w:rsidRDefault="00000000">
      <w:pPr>
        <w:spacing w:after="160"/>
        <w:ind w:left="720" w:hanging="720"/>
      </w:pPr>
      <w:r>
        <w:t xml:space="preserve">Slee, R. (2018) </w:t>
      </w:r>
      <w:r>
        <w:rPr>
          <w:i/>
          <w:iCs/>
        </w:rPr>
        <w:t>Inclusive Education Isn’t Dead, It Just Smells Funny</w:t>
      </w:r>
      <w:r>
        <w:t>. Routledge.</w:t>
      </w:r>
    </w:p>
    <w:p w14:paraId="0FB9DB7E" w14:textId="77777777" w:rsidR="00821F79" w:rsidRDefault="00000000">
      <w:pPr>
        <w:spacing w:after="160"/>
        <w:ind w:left="720" w:hanging="720"/>
      </w:pPr>
      <w:r>
        <w:t xml:space="preserve">UNICEF (1989) </w:t>
      </w:r>
      <w:r>
        <w:rPr>
          <w:i/>
          <w:iCs/>
        </w:rPr>
        <w:t>United Nations Convention on the Rights of the Child</w:t>
      </w:r>
      <w:r>
        <w:t>. United Nations.</w:t>
      </w:r>
    </w:p>
    <w:p w14:paraId="682624FF" w14:textId="77777777" w:rsidR="00821F79" w:rsidRDefault="00000000">
      <w:pPr>
        <w:spacing w:after="160"/>
        <w:ind w:left="720" w:hanging="720"/>
      </w:pPr>
      <w:r>
        <w:t xml:space="preserve">United Nations (2006) </w:t>
      </w:r>
      <w:r>
        <w:rPr>
          <w:i/>
          <w:iCs/>
        </w:rPr>
        <w:t>Convention on the Rights of Persons with Disabilities</w:t>
      </w:r>
      <w:r>
        <w:t>. United Nations.</w:t>
      </w:r>
    </w:p>
    <w:p w14:paraId="1A663BA2" w14:textId="77777777" w:rsidR="00821F79" w:rsidRDefault="00000000">
      <w:pPr>
        <w:spacing w:after="160"/>
        <w:ind w:left="720" w:hanging="720"/>
      </w:pPr>
      <w:r>
        <w:t xml:space="preserve">Welsh Government (2017) </w:t>
      </w:r>
      <w:r>
        <w:rPr>
          <w:i/>
          <w:iCs/>
        </w:rPr>
        <w:t>Draft Additional Learning Needs Code: Consultation Document</w:t>
      </w:r>
      <w:r>
        <w:t>. Welsh Government.</w:t>
      </w:r>
    </w:p>
    <w:p w14:paraId="5F0A6607" w14:textId="77777777" w:rsidR="00821F79" w:rsidRDefault="00000000">
      <w:pPr>
        <w:spacing w:after="160"/>
        <w:ind w:left="720" w:hanging="720"/>
      </w:pPr>
      <w:r>
        <w:t xml:space="preserve">Welsh Government (2018) </w:t>
      </w:r>
      <w:r>
        <w:rPr>
          <w:i/>
          <w:iCs/>
        </w:rPr>
        <w:t>Additional Learning Needs and Education Tribunal (Wales) Act 2018</w:t>
      </w:r>
      <w:r>
        <w:t>. Welsh Government.</w:t>
      </w:r>
    </w:p>
    <w:p w14:paraId="2CF912E1" w14:textId="77777777" w:rsidR="00821F79" w:rsidRDefault="00000000">
      <w:pPr>
        <w:spacing w:after="160"/>
        <w:ind w:left="720" w:hanging="720"/>
      </w:pPr>
      <w:r>
        <w:t xml:space="preserve">Welsh Government (2020) </w:t>
      </w:r>
      <w:r>
        <w:rPr>
          <w:i/>
          <w:iCs/>
        </w:rPr>
        <w:t>Curriculum for Wales Guidance</w:t>
      </w:r>
      <w:r>
        <w:t>. Welsh Government.</w:t>
      </w:r>
    </w:p>
    <w:p w14:paraId="6A5610A3" w14:textId="77777777" w:rsidR="00821F79" w:rsidRDefault="00000000">
      <w:pPr>
        <w:spacing w:after="160"/>
        <w:ind w:left="720" w:hanging="720"/>
      </w:pPr>
      <w:r>
        <w:t xml:space="preserve">Welsh Government (2021a) </w:t>
      </w:r>
      <w:r>
        <w:rPr>
          <w:i/>
          <w:iCs/>
        </w:rPr>
        <w:t>The Additional Learning Needs Code for Wales</w:t>
      </w:r>
      <w:r>
        <w:t>. Welsh Government.</w:t>
      </w:r>
    </w:p>
    <w:p w14:paraId="02C92153" w14:textId="77777777" w:rsidR="00821F79" w:rsidRDefault="00000000">
      <w:pPr>
        <w:spacing w:after="160"/>
        <w:ind w:left="720" w:hanging="720"/>
      </w:pPr>
      <w:r>
        <w:t xml:space="preserve">Welsh Government (2021b) </w:t>
      </w:r>
      <w:r>
        <w:rPr>
          <w:i/>
          <w:iCs/>
        </w:rPr>
        <w:t>Additional Learning Needs Reform: Implementation Guidance</w:t>
      </w:r>
      <w:r>
        <w:t>. Welsh Government.</w:t>
      </w:r>
    </w:p>
    <w:sectPr w:rsidR="00821F79">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0606AC"/>
    <w:multiLevelType w:val="hybridMultilevel"/>
    <w:tmpl w:val="60D8BE8A"/>
    <w:lvl w:ilvl="0" w:tplc="60B43D74">
      <w:start w:val="1"/>
      <w:numFmt w:val="bullet"/>
      <w:lvlText w:val="●"/>
      <w:lvlJc w:val="left"/>
      <w:pPr>
        <w:ind w:left="720" w:hanging="360"/>
      </w:pPr>
    </w:lvl>
    <w:lvl w:ilvl="1" w:tplc="148CB4E4">
      <w:start w:val="1"/>
      <w:numFmt w:val="bullet"/>
      <w:lvlText w:val="○"/>
      <w:lvlJc w:val="left"/>
      <w:pPr>
        <w:ind w:left="1440" w:hanging="360"/>
      </w:pPr>
    </w:lvl>
    <w:lvl w:ilvl="2" w:tplc="1C2063F0">
      <w:start w:val="1"/>
      <w:numFmt w:val="bullet"/>
      <w:lvlText w:val="■"/>
      <w:lvlJc w:val="left"/>
      <w:pPr>
        <w:ind w:left="2160" w:hanging="360"/>
      </w:pPr>
    </w:lvl>
    <w:lvl w:ilvl="3" w:tplc="4F387AC0">
      <w:start w:val="1"/>
      <w:numFmt w:val="bullet"/>
      <w:lvlText w:val="●"/>
      <w:lvlJc w:val="left"/>
      <w:pPr>
        <w:ind w:left="2880" w:hanging="360"/>
      </w:pPr>
    </w:lvl>
    <w:lvl w:ilvl="4" w:tplc="9A844D5E">
      <w:start w:val="1"/>
      <w:numFmt w:val="bullet"/>
      <w:lvlText w:val="○"/>
      <w:lvlJc w:val="left"/>
      <w:pPr>
        <w:ind w:left="3600" w:hanging="360"/>
      </w:pPr>
    </w:lvl>
    <w:lvl w:ilvl="5" w:tplc="8448436A">
      <w:start w:val="1"/>
      <w:numFmt w:val="bullet"/>
      <w:lvlText w:val="■"/>
      <w:lvlJc w:val="left"/>
      <w:pPr>
        <w:ind w:left="4320" w:hanging="360"/>
      </w:pPr>
    </w:lvl>
    <w:lvl w:ilvl="6" w:tplc="A94A1DD4">
      <w:start w:val="1"/>
      <w:numFmt w:val="bullet"/>
      <w:lvlText w:val="●"/>
      <w:lvlJc w:val="left"/>
      <w:pPr>
        <w:ind w:left="5040" w:hanging="360"/>
      </w:pPr>
    </w:lvl>
    <w:lvl w:ilvl="7" w:tplc="90A6CB66">
      <w:start w:val="1"/>
      <w:numFmt w:val="bullet"/>
      <w:lvlText w:val="●"/>
      <w:lvlJc w:val="left"/>
      <w:pPr>
        <w:ind w:left="5760" w:hanging="360"/>
      </w:pPr>
    </w:lvl>
    <w:lvl w:ilvl="8" w:tplc="B8786D08">
      <w:start w:val="1"/>
      <w:numFmt w:val="bullet"/>
      <w:lvlText w:val="●"/>
      <w:lvlJc w:val="left"/>
      <w:pPr>
        <w:ind w:left="6480" w:hanging="360"/>
      </w:pPr>
    </w:lvl>
  </w:abstractNum>
  <w:num w:numId="1" w16cid:durableId="21444271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F79"/>
    <w:rsid w:val="00630542"/>
    <w:rsid w:val="00821F79"/>
    <w:rsid w:val="00880627"/>
    <w:rsid w:val="00940596"/>
    <w:rsid w:val="00B42C61"/>
    <w:rsid w:val="00BA7831"/>
    <w:rsid w:val="00D56F01"/>
    <w:rsid w:val="00EA3C06"/>
    <w:rsid w:val="00FA0501"/>
    <w:rsid w:val="00FA4F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17099D2F"/>
  <w15:docId w15:val="{4FC2A6E5-D16B-A34A-8248-AC973E4C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000000"/>
      <w:sz w:val="28"/>
      <w:szCs w:val="28"/>
    </w:rPr>
  </w:style>
  <w:style w:type="paragraph" w:styleId="Heading2">
    <w:name w:val="heading 2"/>
    <w:uiPriority w:val="9"/>
    <w:unhideWhenUsed/>
    <w:qFormat/>
    <w:pPr>
      <w:spacing w:before="240" w:after="120"/>
      <w:outlineLvl w:val="1"/>
    </w:pPr>
    <w:rPr>
      <w:b/>
      <w:bCs/>
      <w:color w:val="000000"/>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4719</Words>
  <Characters>26902</Characters>
  <Application>Microsoft Office Word</Application>
  <DocSecurity>0</DocSecurity>
  <Lines>224</Lines>
  <Paragraphs>63</Paragraphs>
  <ScaleCrop>false</ScaleCrop>
  <Company/>
  <LinksUpToDate>false</LinksUpToDate>
  <CharactersWithSpaces>31558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Inam Alsalim (2502495)</cp:lastModifiedBy>
  <cp:revision>3</cp:revision>
  <dcterms:created xsi:type="dcterms:W3CDTF">2026-07-05T08:47:00Z</dcterms:created>
  <dcterms:modified xsi:type="dcterms:W3CDTF">2026-07-05T09:13:00Z</dcterms:modified>
</cp:coreProperties>
</file>