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4EBD2" w14:textId="77777777" w:rsidR="00EC65F4" w:rsidRDefault="00EC65F4" w:rsidP="00EC65F4">
      <w:pPr>
        <w:rPr>
          <w:b/>
          <w:bCs/>
        </w:rPr>
      </w:pPr>
      <w:r w:rsidRPr="008E6BC0">
        <w:rPr>
          <w:b/>
          <w:bCs/>
        </w:rPr>
        <w:t>Introduction:</w:t>
      </w:r>
    </w:p>
    <w:p w14:paraId="4F47D58B" w14:textId="77777777" w:rsidR="00EC65F4" w:rsidRDefault="00EC65F4" w:rsidP="00EC65F4">
      <w:pPr>
        <w:rPr>
          <w:rFonts w:cs="Arial"/>
        </w:rPr>
      </w:pPr>
      <w:r>
        <w:rPr>
          <w:rFonts w:cs="Arial"/>
        </w:rPr>
        <w:t>I am Investigating and evaluating the</w:t>
      </w:r>
      <w:r w:rsidRPr="00C15A48">
        <w:rPr>
          <w:rFonts w:cs="Arial"/>
        </w:rPr>
        <w:t xml:space="preserve"> support available to officers affected </w:t>
      </w:r>
      <w:r>
        <w:rPr>
          <w:rFonts w:cs="Arial"/>
        </w:rPr>
        <w:t>through</w:t>
      </w:r>
      <w:r w:rsidRPr="00C15A48">
        <w:rPr>
          <w:rFonts w:cs="Arial"/>
        </w:rPr>
        <w:t xml:space="preserve"> </w:t>
      </w:r>
      <w:r>
        <w:rPr>
          <w:rFonts w:cs="Arial"/>
        </w:rPr>
        <w:t xml:space="preserve">the </w:t>
      </w:r>
      <w:r w:rsidRPr="00C15A48">
        <w:rPr>
          <w:rFonts w:cs="Arial"/>
        </w:rPr>
        <w:t>exposure of critical incidents as</w:t>
      </w:r>
      <w:r>
        <w:rPr>
          <w:rFonts w:cs="Arial"/>
        </w:rPr>
        <w:t xml:space="preserve"> existing literature has proven</w:t>
      </w:r>
      <w:r w:rsidRPr="00C15A48">
        <w:rPr>
          <w:rFonts w:cs="Arial"/>
        </w:rPr>
        <w:t xml:space="preserve"> </w:t>
      </w:r>
      <w:r>
        <w:rPr>
          <w:rFonts w:cs="Arial"/>
        </w:rPr>
        <w:t xml:space="preserve">attending such </w:t>
      </w:r>
      <w:r w:rsidRPr="00C15A48">
        <w:rPr>
          <w:rFonts w:cs="Arial"/>
        </w:rPr>
        <w:t>incidents can have detrimental effects</w:t>
      </w:r>
      <w:r>
        <w:rPr>
          <w:rFonts w:cs="Arial"/>
          <w:b/>
          <w:bCs/>
        </w:rPr>
        <w:t xml:space="preserve"> </w:t>
      </w:r>
      <w:r>
        <w:rPr>
          <w:rFonts w:cs="Arial"/>
        </w:rPr>
        <w:t xml:space="preserve">on an officers mental and physical wellbeing. Within recent years, police officer suicide rates hit an all-time high in Ontario Canada (Milliard, B., 2020). These shocking statistics have put the critical evaluation of police officers’ wellbeing is in the current spotlight, with many questioning the validity of the support available to officers. </w:t>
      </w:r>
    </w:p>
    <w:p w14:paraId="11D811E3" w14:textId="77777777" w:rsidR="00EC65F4" w:rsidRDefault="00EC65F4" w:rsidP="00EC65F4">
      <w:pPr>
        <w:rPr>
          <w:rFonts w:cs="Arial"/>
        </w:rPr>
      </w:pPr>
      <w:r>
        <w:rPr>
          <w:rFonts w:cs="Arial"/>
        </w:rPr>
        <w:t xml:space="preserve">Research objectives aim to evaluate the effectiveness of support mechanisms available to officers, critically research and analyse previous and current academic literature on support offered, appropriately select a research approach to explore support available, to examine the adequacy of existing policies and interventions, explore officer perceptions and experiences regarding support, and to assess and propose recommendations for improvement. </w:t>
      </w:r>
    </w:p>
    <w:p w14:paraId="2932E385" w14:textId="77777777" w:rsidR="00EC65F4" w:rsidRPr="008F6657" w:rsidRDefault="00EC65F4" w:rsidP="00EC65F4">
      <w:r>
        <w:t xml:space="preserve">I’ve decided to research this topic as </w:t>
      </w:r>
      <w:r>
        <w:rPr>
          <w:rFonts w:cs="Arial"/>
        </w:rPr>
        <w:t xml:space="preserve">current literature emphasises the state of need for professional support systems, as well identifying where errors within the current support systems lie. Effective support is lacking due to the normalisation of the protective police culture, many officers avoid seeking help, fearing the stigma or professional repercussions as well as finding it difficult to express their feelings as they fear being viewed as inadequate by their fellow colleagues. Despite this, there are many gaps in existing literature, for example, the limited exploration on how intersectionality can impact officers’ experiences with support services, the lack of real-world applicability etc. </w:t>
      </w:r>
    </w:p>
    <w:p w14:paraId="204F25AF" w14:textId="77777777" w:rsidR="00EC65F4" w:rsidRDefault="00EC65F4" w:rsidP="00EC65F4">
      <w:pPr>
        <w:rPr>
          <w:b/>
          <w:bCs/>
        </w:rPr>
      </w:pPr>
    </w:p>
    <w:p w14:paraId="17655F2D" w14:textId="77777777" w:rsidR="00EC65F4" w:rsidRDefault="00EC65F4" w:rsidP="00EC65F4">
      <w:pPr>
        <w:rPr>
          <w:b/>
          <w:bCs/>
        </w:rPr>
      </w:pPr>
      <w:r>
        <w:rPr>
          <w:b/>
          <w:bCs/>
        </w:rPr>
        <w:t xml:space="preserve">Strategy </w:t>
      </w:r>
    </w:p>
    <w:p w14:paraId="27010875" w14:textId="77777777" w:rsidR="00EC65F4" w:rsidRDefault="00EC65F4" w:rsidP="00EC65F4">
      <w:pPr>
        <w:rPr>
          <w:b/>
          <w:bCs/>
        </w:rPr>
      </w:pPr>
    </w:p>
    <w:p w14:paraId="6DAE3270" w14:textId="77777777" w:rsidR="00EC65F4" w:rsidRDefault="00EC65F4" w:rsidP="00EC65F4">
      <w:r>
        <w:t>Researchers have argued for decades of how to define research, leaving the meaning of research subject to change between each individual researcher (</w:t>
      </w:r>
      <w:proofErr w:type="spellStart"/>
      <w:r>
        <w:t>Denicolo</w:t>
      </w:r>
      <w:proofErr w:type="spellEnd"/>
      <w:r>
        <w:t xml:space="preserve">., 2013).  Despite its transformative comprehension, a general understanding is that it’s a systematic and objective attempt to study a problem for the purpose of deriving general principles. Basic research is </w:t>
      </w:r>
      <w:r w:rsidRPr="008864E9">
        <w:t>experimental or theoretical work undertaken primarily to ac</w:t>
      </w:r>
      <w:r w:rsidRPr="008864E9">
        <w:t xml:space="preserve">quire new knowledge of the underlying foundations of phenomena and observable facts, without any </w:t>
      </w:r>
      <w:proofErr w:type="gramStart"/>
      <w:r w:rsidRPr="008864E9">
        <w:t>particular application</w:t>
      </w:r>
      <w:proofErr w:type="gramEnd"/>
      <w:r w:rsidRPr="008864E9">
        <w:t xml:space="preserve"> or use in view</w:t>
      </w:r>
      <w:r>
        <w:t xml:space="preserve"> (</w:t>
      </w:r>
      <w:proofErr w:type="spellStart"/>
      <w:r w:rsidRPr="00C30D5A">
        <w:t>Djellal</w:t>
      </w:r>
      <w:proofErr w:type="spellEnd"/>
      <w:r>
        <w:t>, F et al., 2003). Many have summarised research as totally empirical, relying solely on experience or observation (e.g., knowledge acquired via the senses) to draw conclusions. Some examples of empirical research are conducting a survey, doing a lab experiment, or observing behaviour etc. During this structured research, a scientific method, also known as a step-by-step process (Apps., 1972), is used to strategically collate data and gather judgements. These steps are often included asking questions, doing background research, forming a hypothesis, testing with an experiment, analysing the results, and finally drawing conclusions.</w:t>
      </w:r>
    </w:p>
    <w:p w14:paraId="4ED1ECE5" w14:textId="77777777" w:rsidR="00EC65F4" w:rsidRDefault="00EC65F4" w:rsidP="00EC65F4">
      <w:r>
        <w:t xml:space="preserve">The method of primary research will be examined using the research onion created by Saunders et al (2016) and will provide guidance throughout the research process, helping to identify and explain each section individually chosen for the research strategy unique to this dissertation. </w:t>
      </w:r>
    </w:p>
    <w:p w14:paraId="6679F0EB" w14:textId="77777777" w:rsidR="00EC65F4" w:rsidRDefault="00EC65F4" w:rsidP="00EC65F4">
      <w:r>
        <w:t>This chapter aims to complete the second objective:</w:t>
      </w:r>
    </w:p>
    <w:p w14:paraId="6F1C5E81" w14:textId="77777777" w:rsidR="00EC65F4" w:rsidRDefault="00EC65F4" w:rsidP="00EC65F4">
      <w:pPr>
        <w:spacing w:after="0" w:line="240" w:lineRule="auto"/>
        <w:jc w:val="center"/>
        <w:rPr>
          <w:rFonts w:cs="Arial"/>
          <w:i/>
          <w:iCs/>
        </w:rPr>
      </w:pPr>
      <w:r w:rsidRPr="00392568">
        <w:rPr>
          <w:rFonts w:cs="Arial"/>
          <w:i/>
          <w:iCs/>
        </w:rPr>
        <w:lastRenderedPageBreak/>
        <w:t>To select an appropriate research approach to explore support offered to officers affected by the exposure to critical incidents</w:t>
      </w:r>
    </w:p>
    <w:p w14:paraId="2E6273B9" w14:textId="77777777" w:rsidR="00EC65F4" w:rsidRDefault="00EC65F4" w:rsidP="00EC65F4">
      <w:pPr>
        <w:spacing w:after="0" w:line="240" w:lineRule="auto"/>
        <w:jc w:val="both"/>
        <w:rPr>
          <w:rFonts w:cs="Arial"/>
          <w:b/>
          <w:bCs/>
        </w:rPr>
      </w:pPr>
    </w:p>
    <w:p w14:paraId="11FE599A" w14:textId="77777777" w:rsidR="00EC65F4" w:rsidRDefault="00EC65F4" w:rsidP="00EC65F4">
      <w:pPr>
        <w:spacing w:after="0" w:line="240" w:lineRule="auto"/>
        <w:jc w:val="both"/>
        <w:rPr>
          <w:rFonts w:cs="Arial"/>
        </w:rPr>
      </w:pPr>
      <w:r>
        <w:rPr>
          <w:rFonts w:cs="Arial"/>
        </w:rPr>
        <w:t xml:space="preserve">To achieve this the research onion (Saunders., 2016), provides insight to the process of individual research method selection, while providing sharp understanding of the critical importance of research and its unique completion. The model will help myself as a researcher to understand the various layers involved in designing my study. </w:t>
      </w:r>
    </w:p>
    <w:p w14:paraId="65C010CE" w14:textId="77777777" w:rsidR="00EC65F4" w:rsidRDefault="00EC65F4" w:rsidP="00EC65F4">
      <w:pPr>
        <w:spacing w:after="0" w:line="240" w:lineRule="auto"/>
        <w:jc w:val="both"/>
        <w:rPr>
          <w:rFonts w:cs="Arial"/>
        </w:rPr>
      </w:pPr>
    </w:p>
    <w:p w14:paraId="1451A0F4" w14:textId="77777777" w:rsidR="00EC65F4" w:rsidRPr="00392568" w:rsidRDefault="00EC65F4" w:rsidP="00EC65F4">
      <w:pPr>
        <w:spacing w:after="0" w:line="240" w:lineRule="auto"/>
        <w:jc w:val="center"/>
        <w:rPr>
          <w:rFonts w:cs="Arial"/>
          <w:b/>
          <w:bCs/>
          <w:i/>
          <w:iCs/>
        </w:rPr>
      </w:pPr>
    </w:p>
    <w:p w14:paraId="1A987C9F" w14:textId="77777777" w:rsidR="00EC65F4" w:rsidRDefault="00EC65F4" w:rsidP="00EC65F4">
      <w:r>
        <w:t>Figure 1.1 showcases a digital diagram of the researcher’s process</w:t>
      </w:r>
    </w:p>
    <w:p w14:paraId="66F19A47" w14:textId="77777777" w:rsidR="00EC65F4" w:rsidRDefault="00EC65F4" w:rsidP="00EC65F4">
      <w:r>
        <w:rPr>
          <w:noProof/>
        </w:rPr>
        <w:drawing>
          <wp:inline distT="0" distB="0" distL="0" distR="0" wp14:anchorId="0BA58FAE" wp14:editId="6985B7D0">
            <wp:extent cx="4404360" cy="2826774"/>
            <wp:effectExtent l="0" t="0" r="0" b="0"/>
            <wp:docPr id="1191613657" name="Picture 1"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Understanding the Research Onion | Writing Guides | 15 Writers"/>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421021" cy="2837467"/>
                    </a:xfrm>
                    <a:prstGeom prst="rect">
                      <a:avLst/>
                    </a:prstGeom>
                    <a:noFill/>
                    <a:ln>
                      <a:noFill/>
                    </a:ln>
                  </pic:spPr>
                </pic:pic>
              </a:graphicData>
            </a:graphic>
          </wp:inline>
        </w:drawing>
      </w:r>
    </w:p>
    <w:p w14:paraId="5DB890AD" w14:textId="77777777" w:rsidR="00EC65F4" w:rsidRPr="00C74C7D" w:rsidRDefault="00EC65F4" w:rsidP="00EC65F4">
      <w:r>
        <w:t xml:space="preserve">The selection process for a research methodology is sought to be one of the hardest and most confusing phases that researchers face. this is down to the fact that every type of research requires a certain kind of approach and procedure. The framework is appropriate for research as it provides a multidisciplinary approach collecting meaningful data on how UK police officers experience support following critical incidents. </w:t>
      </w:r>
    </w:p>
    <w:p w14:paraId="0C93127F" w14:textId="77777777" w:rsidR="00EC65F4" w:rsidRDefault="00EC65F4" w:rsidP="00EC65F4">
      <w:r>
        <w:t xml:space="preserve">The primary data collection tool for this study is a survey questionnaire. The survey will be distributed online via police networks such as Microsoft Teams and ‘The Beat’ so that the participant pool is made up of the correct target audience. The questionnaire will contain a mix of close-ended questions (to provide quantifiable data on levels of support and mental health impacts) and open-ended questions (to explore personal experiences in greater depth). </w:t>
      </w:r>
    </w:p>
    <w:p w14:paraId="013936DB" w14:textId="77777777" w:rsidR="00EC65F4" w:rsidRDefault="00EC65F4" w:rsidP="00EC65F4">
      <w:r>
        <w:t>This strategy allows a broad sample of officers to participate, encouraging anonymity and honesty when discussing sensitive subjects like trauma. Surveys are efficient and scalable, providing both quantitative and qualitative data (Saunders et al., 2009)</w:t>
      </w:r>
    </w:p>
    <w:p w14:paraId="0AFA2330" w14:textId="77777777" w:rsidR="00EC65F4" w:rsidRDefault="00EC65F4" w:rsidP="00EC65F4">
      <w:pPr>
        <w:rPr>
          <w:b/>
          <w:bCs/>
        </w:rPr>
      </w:pPr>
      <w:r>
        <w:rPr>
          <w:b/>
          <w:bCs/>
        </w:rPr>
        <w:t xml:space="preserve">Data collection </w:t>
      </w:r>
    </w:p>
    <w:p w14:paraId="3924A1AF" w14:textId="77777777" w:rsidR="00EC65F4" w:rsidRDefault="00EC65F4" w:rsidP="00EC65F4">
      <w:r>
        <w:t>An inductive approach will be utilized when observing the data, as inductive reasoning allows researchers to generate theory from data, making it ideal for studies exploring under-researched health and social issues.  The approach provides straightforward evaluations and seeks to understand patterns in how officers experience support system and how these systems impact officers’ wellbeing.</w:t>
      </w:r>
    </w:p>
    <w:p w14:paraId="4D5B9339" w14:textId="77777777" w:rsidR="00EC65F4" w:rsidRDefault="00EC65F4" w:rsidP="00EC65F4">
      <w:r>
        <w:lastRenderedPageBreak/>
        <w:t xml:space="preserve">A mixed methods approach will be used, combining quantitative and qualitative data. Quantitative data will offer statistical insights into the prevalence and the effectiveness of support systems, while qualitative data will allow for deeper understanding of individual experiences (Hemming et al., 2021). </w:t>
      </w:r>
    </w:p>
    <w:p w14:paraId="4D2BCF5E" w14:textId="77777777" w:rsidR="00EC65F4" w:rsidRDefault="00EC65F4" w:rsidP="00EC65F4">
      <w:r>
        <w:t xml:space="preserve">This dual approach ensures comprehensive understanding of how officers perceive support structures and how these have negatively or positively impacted their mental wellbeing. It also strengthens the </w:t>
      </w:r>
      <w:proofErr w:type="spellStart"/>
      <w:r>
        <w:t>studys</w:t>
      </w:r>
      <w:proofErr w:type="spellEnd"/>
      <w:r>
        <w:t xml:space="preserve"> credibility by cross-validating findings through different types of data (Greene et al., 1989). </w:t>
      </w:r>
    </w:p>
    <w:p w14:paraId="24BF24F0" w14:textId="77777777" w:rsidR="00EC65F4" w:rsidRDefault="00EC65F4" w:rsidP="00EC65F4">
      <w:pPr>
        <w:rPr>
          <w:b/>
          <w:bCs/>
        </w:rPr>
      </w:pPr>
      <w:r>
        <w:rPr>
          <w:b/>
          <w:bCs/>
        </w:rPr>
        <w:t xml:space="preserve">Limitations &amp; problems </w:t>
      </w:r>
    </w:p>
    <w:p w14:paraId="53F8D238" w14:textId="77777777" w:rsidR="00EC65F4" w:rsidRPr="00C57699" w:rsidRDefault="00EC65F4" w:rsidP="00EC65F4">
      <w:r>
        <w:t xml:space="preserve">There are several limitations that may pose a threat towards the findings of my research, firstly, sampling bias. The fact that the survey is voluntary may alter the results, as sampling may result in responses from those with particularly strong opinions or experiences, whether that be positive or negative. Further, social desirability bias may limit the findings as respondents might downplay negative mental health impacts due to stigma. Moreover, time constraints could create a problem within research, as the fact the survey can only be handed in once prevents long-term tracking of changes in support systems or mental health outcomes of participants. Additionally, non-response bias, is a limitation to the study as officers who have not received support may avoid participating as they may feel they do not have anything to say. Having a larger participant pool of a certain gender may create limitations in findings, as women tend to be more emotional, therefore more likely to reach out for support. Further, if officers that are new to the force take part in the survey, they may not have had much experience attending critical incidents, therefore the survey is not particularly relevant to them. </w:t>
      </w:r>
    </w:p>
    <w:p w14:paraId="698034F8" w14:textId="77777777" w:rsidR="00AB52C0" w:rsidRDefault="00AB52C0"/>
    <w:p w14:paraId="0C0FD802" w14:textId="77777777" w:rsidR="002979AF" w:rsidRDefault="002979AF"/>
    <w:p w14:paraId="326535A8" w14:textId="77777777" w:rsidR="002979AF" w:rsidRDefault="002979AF"/>
    <w:p w14:paraId="6D891513" w14:textId="77777777" w:rsidR="002979AF" w:rsidRDefault="002979AF"/>
    <w:p w14:paraId="286AC3BB" w14:textId="77777777" w:rsidR="002979AF" w:rsidRDefault="002979AF"/>
    <w:p w14:paraId="147D4064" w14:textId="77777777" w:rsidR="002979AF" w:rsidRDefault="002979AF"/>
    <w:p w14:paraId="5E94E5F7" w14:textId="77777777" w:rsidR="002979AF" w:rsidRDefault="002979AF"/>
    <w:p w14:paraId="6E31E6C5" w14:textId="77777777" w:rsidR="002979AF" w:rsidRDefault="002979AF"/>
    <w:p w14:paraId="701D3DCF" w14:textId="77777777" w:rsidR="002979AF" w:rsidRPr="002979AF" w:rsidRDefault="002979AF" w:rsidP="002979AF">
      <w:pPr>
        <w:rPr>
          <w:b/>
          <w:bCs/>
        </w:rPr>
      </w:pPr>
      <w:r w:rsidRPr="002979AF">
        <w:rPr>
          <w:b/>
          <w:bCs/>
        </w:rPr>
        <w:t>Reference list</w:t>
      </w:r>
    </w:p>
    <w:p w14:paraId="2CD92C88" w14:textId="77777777" w:rsidR="002979AF" w:rsidRPr="002979AF" w:rsidRDefault="002979AF" w:rsidP="002979AF">
      <w:r w:rsidRPr="002979AF">
        <w:t xml:space="preserve">Apps, J.W. (1972). Toward a Broader Definition of Research. </w:t>
      </w:r>
      <w:r w:rsidRPr="002979AF">
        <w:rPr>
          <w:i/>
          <w:iCs/>
        </w:rPr>
        <w:t>Adult Education</w:t>
      </w:r>
      <w:r w:rsidRPr="002979AF">
        <w:t xml:space="preserve">, 23(1), pp.59–64. </w:t>
      </w:r>
      <w:proofErr w:type="spellStart"/>
      <w:proofErr w:type="gramStart"/>
      <w:r w:rsidRPr="002979AF">
        <w:t>doi:https</w:t>
      </w:r>
      <w:proofErr w:type="spellEnd"/>
      <w:r w:rsidRPr="002979AF">
        <w:t>://doi.org/10.1177/074171367202300105</w:t>
      </w:r>
      <w:proofErr w:type="gramEnd"/>
      <w:r w:rsidRPr="002979AF">
        <w:t>.</w:t>
      </w:r>
    </w:p>
    <w:p w14:paraId="228E1A7A" w14:textId="77777777" w:rsidR="002979AF" w:rsidRPr="002979AF" w:rsidRDefault="002979AF" w:rsidP="002979AF">
      <w:proofErr w:type="spellStart"/>
      <w:r w:rsidRPr="002979AF">
        <w:t>Denicolo</w:t>
      </w:r>
      <w:proofErr w:type="spellEnd"/>
      <w:r w:rsidRPr="002979AF">
        <w:t xml:space="preserve">, P. (2013). </w:t>
      </w:r>
      <w:r w:rsidRPr="002979AF">
        <w:rPr>
          <w:i/>
          <w:iCs/>
        </w:rPr>
        <w:t>Achieving Impact in Research</w:t>
      </w:r>
      <w:r w:rsidRPr="002979AF">
        <w:t>. SAGE.</w:t>
      </w:r>
    </w:p>
    <w:p w14:paraId="409A6F38" w14:textId="77777777" w:rsidR="002979AF" w:rsidRPr="002979AF" w:rsidRDefault="002979AF" w:rsidP="002979AF">
      <w:proofErr w:type="spellStart"/>
      <w:r w:rsidRPr="002979AF">
        <w:t>Djellal</w:t>
      </w:r>
      <w:proofErr w:type="spellEnd"/>
      <w:r w:rsidRPr="002979AF">
        <w:t xml:space="preserve">, F. and </w:t>
      </w:r>
      <w:proofErr w:type="spellStart"/>
      <w:r w:rsidRPr="002979AF">
        <w:t>Francoz</w:t>
      </w:r>
      <w:proofErr w:type="spellEnd"/>
      <w:r w:rsidRPr="002979AF">
        <w:t xml:space="preserve">, D. (2003). Revising the definition of research and development in the light of the specificities of services. </w:t>
      </w:r>
      <w:r w:rsidRPr="002979AF">
        <w:rPr>
          <w:i/>
          <w:iCs/>
        </w:rPr>
        <w:t>Science and Public Policy</w:t>
      </w:r>
      <w:r w:rsidRPr="002979AF">
        <w:t xml:space="preserve">, [online] 30(6), pp.415–429. </w:t>
      </w:r>
      <w:proofErr w:type="spellStart"/>
      <w:proofErr w:type="gramStart"/>
      <w:r w:rsidRPr="002979AF">
        <w:t>doi:https</w:t>
      </w:r>
      <w:proofErr w:type="spellEnd"/>
      <w:r w:rsidRPr="002979AF">
        <w:t>://doi.org/10.3152/147154303781780227</w:t>
      </w:r>
      <w:proofErr w:type="gramEnd"/>
      <w:r w:rsidRPr="002979AF">
        <w:t>.</w:t>
      </w:r>
    </w:p>
    <w:p w14:paraId="7FA99A52" w14:textId="77777777" w:rsidR="002979AF" w:rsidRPr="002979AF" w:rsidRDefault="002979AF" w:rsidP="002979AF">
      <w:r w:rsidRPr="002979AF">
        <w:lastRenderedPageBreak/>
        <w:t xml:space="preserve">Greene, J.C., </w:t>
      </w:r>
      <w:proofErr w:type="spellStart"/>
      <w:r w:rsidRPr="002979AF">
        <w:t>Caracelli</w:t>
      </w:r>
      <w:proofErr w:type="spellEnd"/>
      <w:r w:rsidRPr="002979AF">
        <w:t xml:space="preserve">, V.J. and Graham, W.F. (1989). Toward a Conceptual Framework for Mixed-Method Evaluation Designs. </w:t>
      </w:r>
      <w:r w:rsidRPr="002979AF">
        <w:rPr>
          <w:i/>
          <w:iCs/>
        </w:rPr>
        <w:t>Educational Evaluation and Policy Analysis</w:t>
      </w:r>
      <w:r w:rsidRPr="002979AF">
        <w:t xml:space="preserve">, 11(3), pp.255–274. </w:t>
      </w:r>
      <w:proofErr w:type="spellStart"/>
      <w:proofErr w:type="gramStart"/>
      <w:r w:rsidRPr="002979AF">
        <w:t>doi:https</w:t>
      </w:r>
      <w:proofErr w:type="spellEnd"/>
      <w:r w:rsidRPr="002979AF">
        <w:t>://doi.org/10.3102/01623737011003255</w:t>
      </w:r>
      <w:proofErr w:type="gramEnd"/>
      <w:r w:rsidRPr="002979AF">
        <w:t>.</w:t>
      </w:r>
    </w:p>
    <w:p w14:paraId="289239F8" w14:textId="77777777" w:rsidR="002979AF" w:rsidRPr="002979AF" w:rsidRDefault="002979AF" w:rsidP="002979AF">
      <w:r w:rsidRPr="002979AF">
        <w:t xml:space="preserve">Hemming, L., Pratt, D., Bhatti, P., Shaw, J. and Haddock, G. (2021). Involving an individual with </w:t>
      </w:r>
      <w:proofErr w:type="gramStart"/>
      <w:r w:rsidRPr="002979AF">
        <w:t>lived</w:t>
      </w:r>
      <w:r w:rsidRPr="002979AF">
        <w:rPr>
          <w:rFonts w:ascii="Cambria Math" w:hAnsi="Cambria Math" w:cs="Cambria Math"/>
        </w:rPr>
        <w:t>‐</w:t>
      </w:r>
      <w:r w:rsidRPr="002979AF">
        <w:t>experience</w:t>
      </w:r>
      <w:proofErr w:type="gramEnd"/>
      <w:r w:rsidRPr="002979AF">
        <w:t xml:space="preserve"> in a co</w:t>
      </w:r>
      <w:r w:rsidRPr="002979AF">
        <w:rPr>
          <w:rFonts w:ascii="Cambria Math" w:hAnsi="Cambria Math" w:cs="Cambria Math"/>
        </w:rPr>
        <w:t>‐</w:t>
      </w:r>
      <w:r w:rsidRPr="002979AF">
        <w:t xml:space="preserve">analysis of qualitative data. </w:t>
      </w:r>
      <w:r w:rsidRPr="002979AF">
        <w:rPr>
          <w:i/>
          <w:iCs/>
        </w:rPr>
        <w:t>Health Expectations</w:t>
      </w:r>
      <w:r w:rsidRPr="002979AF">
        <w:t xml:space="preserve">, 24(3), pp.766–775. </w:t>
      </w:r>
      <w:proofErr w:type="spellStart"/>
      <w:proofErr w:type="gramStart"/>
      <w:r w:rsidRPr="002979AF">
        <w:t>doi:https</w:t>
      </w:r>
      <w:proofErr w:type="spellEnd"/>
      <w:r w:rsidRPr="002979AF">
        <w:t>://doi.org/10.1111/hex.13188</w:t>
      </w:r>
      <w:proofErr w:type="gramEnd"/>
      <w:r w:rsidRPr="002979AF">
        <w:t>.</w:t>
      </w:r>
    </w:p>
    <w:p w14:paraId="0CC6B471" w14:textId="77777777" w:rsidR="002979AF" w:rsidRPr="002979AF" w:rsidRDefault="002979AF" w:rsidP="002979AF">
      <w:proofErr w:type="spellStart"/>
      <w:r w:rsidRPr="002979AF">
        <w:t>Malterud</w:t>
      </w:r>
      <w:proofErr w:type="spellEnd"/>
      <w:r w:rsidRPr="002979AF">
        <w:t xml:space="preserve">, K. (1993). Shared Understanding of the Qualitative Research Process. Guidelines for the Medical Researcher. </w:t>
      </w:r>
      <w:r w:rsidRPr="002979AF">
        <w:rPr>
          <w:i/>
          <w:iCs/>
        </w:rPr>
        <w:t>Family Practice</w:t>
      </w:r>
      <w:r w:rsidRPr="002979AF">
        <w:t xml:space="preserve">, 10(2), pp.201–206. </w:t>
      </w:r>
      <w:proofErr w:type="spellStart"/>
      <w:proofErr w:type="gramStart"/>
      <w:r w:rsidRPr="002979AF">
        <w:t>doi:https</w:t>
      </w:r>
      <w:proofErr w:type="spellEnd"/>
      <w:r w:rsidRPr="002979AF">
        <w:t>://doi.org/10.1093/</w:t>
      </w:r>
      <w:proofErr w:type="spellStart"/>
      <w:r w:rsidRPr="002979AF">
        <w:t>fampra</w:t>
      </w:r>
      <w:proofErr w:type="spellEnd"/>
      <w:r w:rsidRPr="002979AF">
        <w:t>/10.2.201</w:t>
      </w:r>
      <w:proofErr w:type="gramEnd"/>
      <w:r w:rsidRPr="002979AF">
        <w:t>.</w:t>
      </w:r>
    </w:p>
    <w:p w14:paraId="3E050242" w14:textId="77777777" w:rsidR="002979AF" w:rsidRPr="002979AF" w:rsidRDefault="002979AF" w:rsidP="002979AF">
      <w:r w:rsidRPr="002979AF">
        <w:t xml:space="preserve">Milliard, B. (2020). Utilization and Impact of Peer-Support Programs on Police Officers’ Mental Health. </w:t>
      </w:r>
      <w:r w:rsidRPr="002979AF">
        <w:rPr>
          <w:i/>
          <w:iCs/>
        </w:rPr>
        <w:t>Frontiers in Psychology</w:t>
      </w:r>
      <w:r w:rsidRPr="002979AF">
        <w:t xml:space="preserve">, [online] 11(11). </w:t>
      </w:r>
      <w:proofErr w:type="spellStart"/>
      <w:proofErr w:type="gramStart"/>
      <w:r w:rsidRPr="002979AF">
        <w:t>doi:https</w:t>
      </w:r>
      <w:proofErr w:type="spellEnd"/>
      <w:r w:rsidRPr="002979AF">
        <w:t>://doi.org/10.3389/fpsyg.2020.01686</w:t>
      </w:r>
      <w:proofErr w:type="gramEnd"/>
      <w:r w:rsidRPr="002979AF">
        <w:t>.</w:t>
      </w:r>
    </w:p>
    <w:p w14:paraId="61346216" w14:textId="77777777" w:rsidR="002979AF" w:rsidRPr="002979AF" w:rsidRDefault="002979AF" w:rsidP="002979AF">
      <w:r w:rsidRPr="002979AF">
        <w:t xml:space="preserve">Nickerson, C. (2024). </w:t>
      </w:r>
      <w:r w:rsidRPr="002979AF">
        <w:rPr>
          <w:i/>
          <w:iCs/>
        </w:rPr>
        <w:t>Interpretivism paradigm &amp; research philosophy</w:t>
      </w:r>
      <w:r w:rsidRPr="002979AF">
        <w:t>. [online] Simply Psychology. Available at: https://www.simplypsychology.org/interpretivism-paradigm.html.</w:t>
      </w:r>
    </w:p>
    <w:p w14:paraId="31A3C41A" w14:textId="77777777" w:rsidR="002979AF" w:rsidRPr="002979AF" w:rsidRDefault="002979AF" w:rsidP="002979AF">
      <w:r w:rsidRPr="002979AF">
        <w:t xml:space="preserve">Sahay, A. (2016). </w:t>
      </w:r>
      <w:r w:rsidRPr="002979AF">
        <w:rPr>
          <w:i/>
          <w:iCs/>
        </w:rPr>
        <w:t xml:space="preserve">Peeling </w:t>
      </w:r>
      <w:proofErr w:type="spellStart"/>
      <w:r w:rsidRPr="002979AF">
        <w:rPr>
          <w:i/>
          <w:iCs/>
        </w:rPr>
        <w:t>Saunder’s</w:t>
      </w:r>
      <w:proofErr w:type="spellEnd"/>
      <w:r w:rsidRPr="002979AF">
        <w:rPr>
          <w:i/>
          <w:iCs/>
        </w:rPr>
        <w:t xml:space="preserve"> Research Onion</w:t>
      </w:r>
      <w:r w:rsidRPr="002979AF">
        <w:t>. [online] ResearchGate. Available at: https://www.researchgate.net/profile/Arunaditya-Sahay/publication/309488459_Peeling_Saunder.</w:t>
      </w:r>
    </w:p>
    <w:p w14:paraId="72A6F8AD" w14:textId="77777777" w:rsidR="002979AF" w:rsidRPr="002979AF" w:rsidRDefault="002979AF" w:rsidP="002979AF">
      <w:r w:rsidRPr="002979AF">
        <w:t xml:space="preserve">Saunders (2009). </w:t>
      </w:r>
      <w:r w:rsidRPr="002979AF">
        <w:rPr>
          <w:i/>
          <w:iCs/>
        </w:rPr>
        <w:t>Research Methods for Business Students</w:t>
      </w:r>
      <w:r w:rsidRPr="002979AF">
        <w:t>. [online] Google Books. Available at: https://books.google.co.uk/books?hl=en&amp;lr=&amp;id=u-txtfaCFiEC&amp;oi=fnd&amp;pg=PA2&amp;dq=60.%09Saunders [Accessed 16 Jun. 2025].</w:t>
      </w:r>
    </w:p>
    <w:p w14:paraId="0A9EFFE2" w14:textId="77777777" w:rsidR="002979AF" w:rsidRPr="002979AF" w:rsidRDefault="002979AF" w:rsidP="002979AF">
      <w:r w:rsidRPr="002979AF">
        <w:t xml:space="preserve">Saunders (2016). </w:t>
      </w:r>
      <w:r w:rsidRPr="002979AF">
        <w:rPr>
          <w:i/>
          <w:iCs/>
        </w:rPr>
        <w:t>Research Methods for Business Students</w:t>
      </w:r>
      <w:r w:rsidRPr="002979AF">
        <w:t>. [online] Google Books. Available at: https://books.google.co.uk/books?hl=en&amp;lr=&amp;id=u-txtfaCFiEC&amp;oi=fnd&amp;pg=PA2&amp;dq=61.%09Saunders [Accessed 16 Jun. 2025].</w:t>
      </w:r>
    </w:p>
    <w:p w14:paraId="3BC1477E" w14:textId="77777777" w:rsidR="002979AF" w:rsidRDefault="002979AF"/>
    <w:p w14:paraId="422FD26A" w14:textId="77777777" w:rsidR="002979AF" w:rsidRDefault="002979AF"/>
    <w:p w14:paraId="2BD1B876" w14:textId="77777777" w:rsidR="002979AF" w:rsidRDefault="002979AF"/>
    <w:p w14:paraId="021BEF7D" w14:textId="77777777" w:rsidR="002979AF" w:rsidRDefault="002979AF"/>
    <w:p w14:paraId="3A7A3A2E" w14:textId="77777777" w:rsidR="002979AF" w:rsidRDefault="002979AF"/>
    <w:sectPr w:rsidR="002979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B1E"/>
    <w:rsid w:val="00065B1E"/>
    <w:rsid w:val="002979AF"/>
    <w:rsid w:val="00585364"/>
    <w:rsid w:val="00AB52C0"/>
    <w:rsid w:val="00CF6692"/>
    <w:rsid w:val="00EA6EBE"/>
    <w:rsid w:val="00EC65F4"/>
    <w:rsid w:val="00F16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A31D2"/>
  <w15:chartTrackingRefBased/>
  <w15:docId w15:val="{BCC6EB39-0581-4882-BAC3-0B6D1B486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5F4"/>
  </w:style>
  <w:style w:type="paragraph" w:styleId="Heading1">
    <w:name w:val="heading 1"/>
    <w:basedOn w:val="Normal"/>
    <w:next w:val="Normal"/>
    <w:link w:val="Heading1Char"/>
    <w:uiPriority w:val="9"/>
    <w:qFormat/>
    <w:rsid w:val="00065B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5B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5B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5B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5B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5B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5B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5B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5B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B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5B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5B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5B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5B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5B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5B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5B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5B1E"/>
    <w:rPr>
      <w:rFonts w:eastAsiaTheme="majorEastAsia" w:cstheme="majorBidi"/>
      <w:color w:val="272727" w:themeColor="text1" w:themeTint="D8"/>
    </w:rPr>
  </w:style>
  <w:style w:type="paragraph" w:styleId="Title">
    <w:name w:val="Title"/>
    <w:basedOn w:val="Normal"/>
    <w:next w:val="Normal"/>
    <w:link w:val="TitleChar"/>
    <w:uiPriority w:val="10"/>
    <w:qFormat/>
    <w:rsid w:val="00065B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5B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5B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5B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5B1E"/>
    <w:pPr>
      <w:spacing w:before="160"/>
      <w:jc w:val="center"/>
    </w:pPr>
    <w:rPr>
      <w:i/>
      <w:iCs/>
      <w:color w:val="404040" w:themeColor="text1" w:themeTint="BF"/>
    </w:rPr>
  </w:style>
  <w:style w:type="character" w:customStyle="1" w:styleId="QuoteChar">
    <w:name w:val="Quote Char"/>
    <w:basedOn w:val="DefaultParagraphFont"/>
    <w:link w:val="Quote"/>
    <w:uiPriority w:val="29"/>
    <w:rsid w:val="00065B1E"/>
    <w:rPr>
      <w:i/>
      <w:iCs/>
      <w:color w:val="404040" w:themeColor="text1" w:themeTint="BF"/>
    </w:rPr>
  </w:style>
  <w:style w:type="paragraph" w:styleId="ListParagraph">
    <w:name w:val="List Paragraph"/>
    <w:basedOn w:val="Normal"/>
    <w:uiPriority w:val="34"/>
    <w:qFormat/>
    <w:rsid w:val="00065B1E"/>
    <w:pPr>
      <w:ind w:left="720"/>
      <w:contextualSpacing/>
    </w:pPr>
  </w:style>
  <w:style w:type="character" w:styleId="IntenseEmphasis">
    <w:name w:val="Intense Emphasis"/>
    <w:basedOn w:val="DefaultParagraphFont"/>
    <w:uiPriority w:val="21"/>
    <w:qFormat/>
    <w:rsid w:val="00065B1E"/>
    <w:rPr>
      <w:i/>
      <w:iCs/>
      <w:color w:val="0F4761" w:themeColor="accent1" w:themeShade="BF"/>
    </w:rPr>
  </w:style>
  <w:style w:type="paragraph" w:styleId="IntenseQuote">
    <w:name w:val="Intense Quote"/>
    <w:basedOn w:val="Normal"/>
    <w:next w:val="Normal"/>
    <w:link w:val="IntenseQuoteChar"/>
    <w:uiPriority w:val="30"/>
    <w:qFormat/>
    <w:rsid w:val="00065B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5B1E"/>
    <w:rPr>
      <w:i/>
      <w:iCs/>
      <w:color w:val="0F4761" w:themeColor="accent1" w:themeShade="BF"/>
    </w:rPr>
  </w:style>
  <w:style w:type="character" w:styleId="IntenseReference">
    <w:name w:val="Intense Reference"/>
    <w:basedOn w:val="DefaultParagraphFont"/>
    <w:uiPriority w:val="32"/>
    <w:qFormat/>
    <w:rsid w:val="00065B1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668667">
      <w:bodyDiv w:val="1"/>
      <w:marLeft w:val="0"/>
      <w:marRight w:val="0"/>
      <w:marTop w:val="0"/>
      <w:marBottom w:val="0"/>
      <w:divBdr>
        <w:top w:val="none" w:sz="0" w:space="0" w:color="auto"/>
        <w:left w:val="none" w:sz="0" w:space="0" w:color="auto"/>
        <w:bottom w:val="none" w:sz="0" w:space="0" w:color="auto"/>
        <w:right w:val="none" w:sz="0" w:space="0" w:color="auto"/>
      </w:divBdr>
      <w:divsChild>
        <w:div w:id="1769496937">
          <w:marLeft w:val="0"/>
          <w:marRight w:val="0"/>
          <w:marTop w:val="0"/>
          <w:marBottom w:val="0"/>
          <w:divBdr>
            <w:top w:val="none" w:sz="0" w:space="0" w:color="auto"/>
            <w:left w:val="none" w:sz="0" w:space="0" w:color="auto"/>
            <w:bottom w:val="none" w:sz="0" w:space="0" w:color="auto"/>
            <w:right w:val="none" w:sz="0" w:space="0" w:color="auto"/>
          </w:divBdr>
        </w:div>
      </w:divsChild>
    </w:div>
    <w:div w:id="1844469811">
      <w:bodyDiv w:val="1"/>
      <w:marLeft w:val="0"/>
      <w:marRight w:val="0"/>
      <w:marTop w:val="0"/>
      <w:marBottom w:val="0"/>
      <w:divBdr>
        <w:top w:val="none" w:sz="0" w:space="0" w:color="auto"/>
        <w:left w:val="none" w:sz="0" w:space="0" w:color="auto"/>
        <w:bottom w:val="none" w:sz="0" w:space="0" w:color="auto"/>
        <w:right w:val="none" w:sz="0" w:space="0" w:color="auto"/>
      </w:divBdr>
      <w:divsChild>
        <w:div w:id="9339051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1391</Words>
  <Characters>7935</Characters>
  <Application>Microsoft Office Word</Application>
  <DocSecurity>0</DocSecurity>
  <Lines>66</Lines>
  <Paragraphs>18</Paragraphs>
  <ScaleCrop>false</ScaleCrop>
  <Company>Gwent Police</Company>
  <LinksUpToDate>false</LinksUpToDate>
  <CharactersWithSpaces>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Matthews-Thomas, Dafydd</dc:creator>
  <cp:keywords/>
  <dc:description/>
  <cp:lastModifiedBy>Matthews-Thomas, Dafydd</cp:lastModifiedBy>
  <cp:revision>3</cp:revision>
  <dcterms:created xsi:type="dcterms:W3CDTF">2025-06-16T18:50:00Z</dcterms:created>
  <dcterms:modified xsi:type="dcterms:W3CDTF">2025-06-16T18:51:00Z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2025-06-16T18:50:10Z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07b4c902-6a44-40fd-aeff-8e225aa07832</vt:lpwstr>
  </property>
  <property fmtid="{D5CDD505-2E9C-101B-9397-08002B2CF9AE}" pid="8" name="MSIP_Label_f2acd28b-79a3-4a0f-b0ff-4b75658b1549_ContentBits">
    <vt:lpwstr>0</vt:lpwstr>
  </property>
</Properties>
</file>