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7914F" w14:textId="56702D6D" w:rsidR="00775F47" w:rsidRPr="004D6422" w:rsidRDefault="00873B5C" w:rsidP="004D6422">
      <w:pPr>
        <w:spacing w:line="360" w:lineRule="auto"/>
        <w:rPr>
          <w:rFonts w:ascii="Arial" w:hAnsi="Arial" w:cs="Arial"/>
        </w:rPr>
      </w:pPr>
      <w:r>
        <w:rPr>
          <w:noProof/>
        </w:rPr>
        <w:drawing>
          <wp:anchor distT="0" distB="0" distL="114300" distR="114300" simplePos="0" relativeHeight="251659264" behindDoc="0" locked="0" layoutInCell="1" allowOverlap="1" wp14:anchorId="4070980C" wp14:editId="5372D822">
            <wp:simplePos x="0" y="0"/>
            <wp:positionH relativeFrom="column">
              <wp:posOffset>342900</wp:posOffset>
            </wp:positionH>
            <wp:positionV relativeFrom="paragraph">
              <wp:posOffset>11430</wp:posOffset>
            </wp:positionV>
            <wp:extent cx="5438775" cy="1218744"/>
            <wp:effectExtent l="0" t="0" r="0" b="0"/>
            <wp:wrapNone/>
            <wp:docPr id="98" name="Picture 1"/>
            <wp:cNvGraphicFramePr/>
            <a:graphic xmlns:a="http://schemas.openxmlformats.org/drawingml/2006/main">
              <a:graphicData uri="http://schemas.openxmlformats.org/drawingml/2006/picture">
                <pic:pic xmlns:pic="http://schemas.openxmlformats.org/drawingml/2006/picture">
                  <pic:nvPicPr>
                    <pic:cNvPr id="98" name="Picture 98"/>
                    <pic:cNvPicPr/>
                  </pic:nvPicPr>
                  <pic:blipFill>
                    <a:blip r:embed="rId6"/>
                    <a:stretch>
                      <a:fillRect/>
                    </a:stretch>
                  </pic:blipFill>
                  <pic:spPr>
                    <a:xfrm>
                      <a:off x="0" y="0"/>
                      <a:ext cx="5438775" cy="1218744"/>
                    </a:xfrm>
                    <a:prstGeom prst="rect">
                      <a:avLst/>
                    </a:prstGeom>
                  </pic:spPr>
                </pic:pic>
              </a:graphicData>
            </a:graphic>
          </wp:anchor>
        </w:drawing>
      </w:r>
    </w:p>
    <w:p w14:paraId="7417B228" w14:textId="68B72E18" w:rsidR="00EF50DF" w:rsidRPr="004D6422" w:rsidRDefault="00EF50DF" w:rsidP="004D6422">
      <w:pPr>
        <w:spacing w:line="360" w:lineRule="auto"/>
        <w:rPr>
          <w:rFonts w:ascii="Arial" w:hAnsi="Arial" w:cs="Arial"/>
        </w:rPr>
      </w:pPr>
    </w:p>
    <w:p w14:paraId="36EA58E8" w14:textId="77777777" w:rsidR="00EF50DF" w:rsidRPr="004D6422" w:rsidRDefault="00EF50DF" w:rsidP="004D6422">
      <w:pPr>
        <w:spacing w:line="360" w:lineRule="auto"/>
        <w:rPr>
          <w:rFonts w:ascii="Arial" w:hAnsi="Arial" w:cs="Arial"/>
        </w:rPr>
      </w:pPr>
    </w:p>
    <w:p w14:paraId="56950BC0" w14:textId="77777777" w:rsidR="00EF50DF" w:rsidRPr="004D6422" w:rsidRDefault="00EF50DF" w:rsidP="004D6422">
      <w:pPr>
        <w:spacing w:line="360" w:lineRule="auto"/>
        <w:rPr>
          <w:rFonts w:ascii="Arial" w:hAnsi="Arial" w:cs="Arial"/>
        </w:rPr>
      </w:pPr>
    </w:p>
    <w:p w14:paraId="6214A09A" w14:textId="77777777" w:rsidR="00EF50DF" w:rsidRPr="004D6422" w:rsidRDefault="00EF50DF" w:rsidP="004D6422">
      <w:pPr>
        <w:spacing w:line="360" w:lineRule="auto"/>
        <w:rPr>
          <w:rFonts w:ascii="Arial" w:hAnsi="Arial" w:cs="Arial"/>
        </w:rPr>
      </w:pPr>
    </w:p>
    <w:p w14:paraId="0A9A7F29" w14:textId="064E865D" w:rsidR="00873B5C" w:rsidRPr="00871EE8" w:rsidRDefault="00873B5C" w:rsidP="00873B5C">
      <w:pPr>
        <w:spacing w:line="360" w:lineRule="auto"/>
        <w:jc w:val="center"/>
        <w:rPr>
          <w:rFonts w:ascii="Arial" w:hAnsi="Arial" w:cs="Arial"/>
          <w:spacing w:val="-2"/>
        </w:rPr>
      </w:pPr>
      <w:r w:rsidRPr="00871EE8">
        <w:rPr>
          <w:rFonts w:ascii="Arial" w:hAnsi="Arial" w:cs="Arial"/>
          <w:b/>
          <w:bCs/>
          <w:spacing w:val="-2"/>
        </w:rPr>
        <w:t>Module:</w:t>
      </w:r>
      <w:r w:rsidRPr="00871EE8">
        <w:rPr>
          <w:rFonts w:ascii="Arial" w:hAnsi="Arial" w:cs="Arial"/>
          <w:spacing w:val="-2"/>
        </w:rPr>
        <w:t xml:space="preserve"> </w:t>
      </w:r>
      <w:r>
        <w:rPr>
          <w:rFonts w:ascii="Arial" w:hAnsi="Arial" w:cs="Arial"/>
          <w:spacing w:val="-2"/>
        </w:rPr>
        <w:t>Financial Management</w:t>
      </w:r>
    </w:p>
    <w:p w14:paraId="640CF945" w14:textId="3CFBEFCD" w:rsidR="00873B5C" w:rsidRPr="00871EE8" w:rsidRDefault="00873B5C" w:rsidP="00873B5C">
      <w:pPr>
        <w:spacing w:line="360" w:lineRule="auto"/>
        <w:jc w:val="center"/>
        <w:rPr>
          <w:rFonts w:ascii="Arial" w:hAnsi="Arial" w:cs="Arial"/>
          <w:spacing w:val="-2"/>
        </w:rPr>
      </w:pPr>
      <w:r w:rsidRPr="00871EE8">
        <w:rPr>
          <w:rFonts w:ascii="Arial" w:hAnsi="Arial" w:cs="Arial"/>
          <w:b/>
          <w:bCs/>
          <w:spacing w:val="-2"/>
        </w:rPr>
        <w:t>Module Code:</w:t>
      </w:r>
      <w:r w:rsidRPr="00871EE8">
        <w:rPr>
          <w:rFonts w:ascii="Arial" w:hAnsi="Arial" w:cs="Arial"/>
          <w:spacing w:val="-2"/>
        </w:rPr>
        <w:t xml:space="preserve"> LCMB70</w:t>
      </w:r>
      <w:r w:rsidR="00D203C7">
        <w:rPr>
          <w:rFonts w:ascii="Arial" w:hAnsi="Arial" w:cs="Arial"/>
          <w:spacing w:val="-2"/>
        </w:rPr>
        <w:t>02</w:t>
      </w:r>
    </w:p>
    <w:p w14:paraId="60C3C0CE" w14:textId="5CAF90E2" w:rsidR="00873B5C" w:rsidRPr="00871EE8" w:rsidRDefault="00873B5C" w:rsidP="00873B5C">
      <w:pPr>
        <w:spacing w:line="360" w:lineRule="auto"/>
        <w:jc w:val="center"/>
        <w:rPr>
          <w:rFonts w:ascii="Arial" w:hAnsi="Arial" w:cs="Arial"/>
          <w:spacing w:val="-2"/>
        </w:rPr>
      </w:pPr>
      <w:r w:rsidRPr="00871EE8">
        <w:rPr>
          <w:rFonts w:ascii="Arial" w:hAnsi="Arial" w:cs="Arial"/>
          <w:b/>
          <w:bCs/>
          <w:spacing w:val="-2"/>
        </w:rPr>
        <w:t>Assignment Title:</w:t>
      </w:r>
      <w:r w:rsidRPr="00871EE8">
        <w:rPr>
          <w:rFonts w:ascii="Arial" w:hAnsi="Arial" w:cs="Arial"/>
          <w:spacing w:val="-2"/>
        </w:rPr>
        <w:t xml:space="preserve"> </w:t>
      </w:r>
      <w:r w:rsidR="006F7CE6" w:rsidRPr="006F7CE6">
        <w:rPr>
          <w:rFonts w:ascii="Arial" w:hAnsi="Arial" w:cs="Arial"/>
          <w:spacing w:val="-2"/>
        </w:rPr>
        <w:t xml:space="preserve">Financial </w:t>
      </w:r>
      <w:r w:rsidR="006F7CE6">
        <w:rPr>
          <w:rFonts w:ascii="Arial" w:hAnsi="Arial" w:cs="Arial"/>
          <w:spacing w:val="-2"/>
        </w:rPr>
        <w:t>P</w:t>
      </w:r>
      <w:r w:rsidR="006F7CE6" w:rsidRPr="006F7CE6">
        <w:rPr>
          <w:rFonts w:ascii="Arial" w:hAnsi="Arial" w:cs="Arial"/>
          <w:spacing w:val="-2"/>
        </w:rPr>
        <w:t xml:space="preserve">erformance and </w:t>
      </w:r>
      <w:r w:rsidR="006F7CE6">
        <w:rPr>
          <w:rFonts w:ascii="Arial" w:hAnsi="Arial" w:cs="Arial"/>
          <w:spacing w:val="-2"/>
        </w:rPr>
        <w:t>M</w:t>
      </w:r>
      <w:r w:rsidR="006F7CE6" w:rsidRPr="006F7CE6">
        <w:rPr>
          <w:rFonts w:ascii="Arial" w:hAnsi="Arial" w:cs="Arial"/>
          <w:spacing w:val="-2"/>
        </w:rPr>
        <w:t>anagement</w:t>
      </w:r>
    </w:p>
    <w:p w14:paraId="35C496C7" w14:textId="346D8CCA" w:rsidR="00873B5C" w:rsidRPr="00871EE8" w:rsidRDefault="00873B5C" w:rsidP="00873B5C">
      <w:pPr>
        <w:spacing w:line="360" w:lineRule="auto"/>
        <w:jc w:val="center"/>
        <w:rPr>
          <w:rFonts w:ascii="Arial" w:hAnsi="Arial" w:cs="Arial"/>
          <w:spacing w:val="-2"/>
        </w:rPr>
      </w:pPr>
      <w:r w:rsidRPr="00871EE8">
        <w:rPr>
          <w:rFonts w:ascii="Arial" w:hAnsi="Arial" w:cs="Arial"/>
          <w:b/>
          <w:bCs/>
          <w:spacing w:val="-2"/>
        </w:rPr>
        <w:t>Word Count</w:t>
      </w:r>
      <w:r w:rsidRPr="00871EE8">
        <w:rPr>
          <w:rFonts w:ascii="Arial" w:hAnsi="Arial" w:cs="Arial"/>
          <w:spacing w:val="-2"/>
        </w:rPr>
        <w:t xml:space="preserve">: </w:t>
      </w:r>
      <w:r>
        <w:rPr>
          <w:rFonts w:ascii="Arial" w:hAnsi="Arial" w:cs="Arial"/>
          <w:spacing w:val="-2"/>
        </w:rPr>
        <w:t>4528</w:t>
      </w:r>
    </w:p>
    <w:p w14:paraId="51D931EC" w14:textId="24DAB509" w:rsidR="00873B5C" w:rsidRPr="00871EE8" w:rsidRDefault="00873B5C" w:rsidP="00873B5C">
      <w:pPr>
        <w:spacing w:line="360" w:lineRule="auto"/>
        <w:jc w:val="center"/>
        <w:rPr>
          <w:rFonts w:ascii="Arial" w:hAnsi="Arial" w:cs="Arial"/>
          <w:spacing w:val="-2"/>
        </w:rPr>
      </w:pPr>
      <w:r w:rsidRPr="00871EE8">
        <w:rPr>
          <w:rFonts w:ascii="Arial" w:hAnsi="Arial" w:cs="Arial"/>
          <w:b/>
          <w:bCs/>
          <w:spacing w:val="-2"/>
        </w:rPr>
        <w:t>Submission Date:</w:t>
      </w:r>
      <w:r w:rsidRPr="00871EE8">
        <w:rPr>
          <w:rFonts w:ascii="Arial" w:hAnsi="Arial" w:cs="Arial"/>
          <w:spacing w:val="-2"/>
        </w:rPr>
        <w:t xml:space="preserve"> </w:t>
      </w:r>
      <w:r>
        <w:rPr>
          <w:rFonts w:ascii="Arial" w:hAnsi="Arial" w:cs="Arial"/>
          <w:spacing w:val="-2"/>
        </w:rPr>
        <w:t>Monday</w:t>
      </w:r>
      <w:r w:rsidRPr="00871EE8">
        <w:rPr>
          <w:rFonts w:ascii="Arial" w:hAnsi="Arial" w:cs="Arial"/>
          <w:spacing w:val="-2"/>
        </w:rPr>
        <w:t xml:space="preserve">, </w:t>
      </w:r>
      <w:r>
        <w:rPr>
          <w:rFonts w:ascii="Arial" w:hAnsi="Arial" w:cs="Arial"/>
          <w:spacing w:val="-2"/>
        </w:rPr>
        <w:t>24</w:t>
      </w:r>
      <w:r w:rsidRPr="00871EE8">
        <w:rPr>
          <w:rFonts w:ascii="Arial" w:hAnsi="Arial" w:cs="Arial"/>
          <w:spacing w:val="-2"/>
        </w:rPr>
        <w:t xml:space="preserve"> </w:t>
      </w:r>
      <w:r>
        <w:rPr>
          <w:rFonts w:ascii="Arial" w:hAnsi="Arial" w:cs="Arial"/>
          <w:spacing w:val="-2"/>
        </w:rPr>
        <w:t>November</w:t>
      </w:r>
      <w:r w:rsidRPr="00871EE8">
        <w:rPr>
          <w:rFonts w:ascii="Arial" w:hAnsi="Arial" w:cs="Arial"/>
          <w:spacing w:val="-2"/>
        </w:rPr>
        <w:t xml:space="preserve"> 2025, by 2:00 PM</w:t>
      </w:r>
    </w:p>
    <w:p w14:paraId="145D1E94" w14:textId="2C1D05C0" w:rsidR="00873B5C" w:rsidRPr="00871EE8" w:rsidRDefault="00873B5C" w:rsidP="00873B5C">
      <w:pPr>
        <w:spacing w:line="360" w:lineRule="auto"/>
        <w:jc w:val="center"/>
        <w:rPr>
          <w:rFonts w:ascii="Arial" w:hAnsi="Arial" w:cs="Arial"/>
          <w:spacing w:val="-2"/>
        </w:rPr>
      </w:pPr>
      <w:r w:rsidRPr="00871EE8">
        <w:rPr>
          <w:rFonts w:ascii="Arial" w:hAnsi="Arial" w:cs="Arial"/>
          <w:b/>
          <w:bCs/>
          <w:spacing w:val="-2"/>
        </w:rPr>
        <w:t>Lecturer:</w:t>
      </w:r>
      <w:r w:rsidRPr="00871EE8">
        <w:rPr>
          <w:rFonts w:ascii="Arial" w:hAnsi="Arial" w:cs="Arial"/>
          <w:spacing w:val="-2"/>
        </w:rPr>
        <w:t xml:space="preserve"> </w:t>
      </w:r>
      <w:r w:rsidRPr="00873B5C">
        <w:rPr>
          <w:rFonts w:ascii="Arial" w:hAnsi="Arial" w:cs="Arial"/>
          <w:spacing w:val="-2"/>
        </w:rPr>
        <w:t>Patrick Yeboah</w:t>
      </w:r>
    </w:p>
    <w:p w14:paraId="536AC032" w14:textId="77777777" w:rsidR="00873B5C" w:rsidRPr="00871EE8" w:rsidRDefault="00873B5C" w:rsidP="00873B5C">
      <w:pPr>
        <w:spacing w:line="360" w:lineRule="auto"/>
        <w:jc w:val="center"/>
        <w:rPr>
          <w:rFonts w:ascii="Arial" w:hAnsi="Arial" w:cs="Arial"/>
          <w:spacing w:val="-2"/>
        </w:rPr>
      </w:pPr>
      <w:r w:rsidRPr="00871EE8">
        <w:rPr>
          <w:rFonts w:ascii="Arial" w:hAnsi="Arial" w:cs="Arial"/>
          <w:b/>
          <w:bCs/>
          <w:spacing w:val="-2"/>
        </w:rPr>
        <w:t>Student Name:</w:t>
      </w:r>
      <w:r w:rsidRPr="00871EE8">
        <w:rPr>
          <w:rFonts w:ascii="Arial" w:hAnsi="Arial" w:cs="Arial"/>
          <w:spacing w:val="-2"/>
        </w:rPr>
        <w:t xml:space="preserve"> Dragos Rosu</w:t>
      </w:r>
    </w:p>
    <w:p w14:paraId="415C335A" w14:textId="77777777" w:rsidR="00873B5C" w:rsidRPr="00871EE8" w:rsidRDefault="00873B5C" w:rsidP="00873B5C">
      <w:pPr>
        <w:spacing w:line="360" w:lineRule="auto"/>
        <w:jc w:val="center"/>
        <w:rPr>
          <w:rFonts w:ascii="Arial" w:hAnsi="Arial" w:cs="Arial"/>
          <w:spacing w:val="-2"/>
        </w:rPr>
      </w:pPr>
      <w:r w:rsidRPr="00871EE8">
        <w:rPr>
          <w:rFonts w:ascii="Arial" w:hAnsi="Arial" w:cs="Arial"/>
          <w:b/>
          <w:bCs/>
          <w:spacing w:val="-2"/>
        </w:rPr>
        <w:t>Student ID:</w:t>
      </w:r>
      <w:r w:rsidRPr="00871EE8">
        <w:rPr>
          <w:rFonts w:ascii="Arial" w:hAnsi="Arial" w:cs="Arial"/>
          <w:spacing w:val="-2"/>
        </w:rPr>
        <w:t xml:space="preserve"> 2210549</w:t>
      </w:r>
    </w:p>
    <w:p w14:paraId="0A71F5FC" w14:textId="77777777" w:rsidR="00873B5C" w:rsidRPr="00871EE8" w:rsidRDefault="00873B5C" w:rsidP="00873B5C">
      <w:pPr>
        <w:spacing w:line="360" w:lineRule="auto"/>
        <w:rPr>
          <w:rFonts w:ascii="Arial" w:hAnsi="Arial" w:cs="Arial"/>
          <w:spacing w:val="-2"/>
        </w:rPr>
      </w:pPr>
      <w:r w:rsidRPr="00871EE8">
        <w:rPr>
          <w:rFonts w:ascii="Arial" w:hAnsi="Arial" w:cs="Arial"/>
          <w:spacing w:val="-2"/>
        </w:rPr>
        <w:t>Submitted in partial fulfilment of the requirements for the award of the Master of Business Administration (MBA).</w:t>
      </w:r>
    </w:p>
    <w:p w14:paraId="6961420F" w14:textId="77777777" w:rsidR="00EF50DF" w:rsidRPr="004D6422" w:rsidRDefault="00EF50DF" w:rsidP="004D6422">
      <w:pPr>
        <w:spacing w:line="360" w:lineRule="auto"/>
        <w:rPr>
          <w:rFonts w:ascii="Arial" w:hAnsi="Arial" w:cs="Arial"/>
        </w:rPr>
      </w:pPr>
    </w:p>
    <w:p w14:paraId="7A1E047C" w14:textId="77777777" w:rsidR="00EF50DF" w:rsidRPr="004D6422" w:rsidRDefault="00EF50DF" w:rsidP="004D6422">
      <w:pPr>
        <w:spacing w:line="360" w:lineRule="auto"/>
        <w:rPr>
          <w:rFonts w:ascii="Arial" w:hAnsi="Arial" w:cs="Arial"/>
        </w:rPr>
      </w:pPr>
    </w:p>
    <w:p w14:paraId="4A86C427" w14:textId="77777777" w:rsidR="00EF50DF" w:rsidRPr="004D6422" w:rsidRDefault="00EF50DF" w:rsidP="004D6422">
      <w:pPr>
        <w:spacing w:line="360" w:lineRule="auto"/>
        <w:rPr>
          <w:rFonts w:ascii="Arial" w:hAnsi="Arial" w:cs="Arial"/>
        </w:rPr>
      </w:pPr>
    </w:p>
    <w:p w14:paraId="7457BCF3" w14:textId="77777777" w:rsidR="00EF50DF" w:rsidRPr="004D6422" w:rsidRDefault="00EF50DF" w:rsidP="004D6422">
      <w:pPr>
        <w:spacing w:line="360" w:lineRule="auto"/>
        <w:rPr>
          <w:rFonts w:ascii="Arial" w:hAnsi="Arial" w:cs="Arial"/>
        </w:rPr>
      </w:pPr>
    </w:p>
    <w:p w14:paraId="32FC2FC3" w14:textId="77777777" w:rsidR="00EF50DF" w:rsidRPr="004D6422" w:rsidRDefault="00EF50DF" w:rsidP="004D6422">
      <w:pPr>
        <w:spacing w:line="360" w:lineRule="auto"/>
        <w:rPr>
          <w:rFonts w:ascii="Arial" w:hAnsi="Arial" w:cs="Arial"/>
        </w:rPr>
      </w:pPr>
    </w:p>
    <w:p w14:paraId="7D4E52B8" w14:textId="77777777" w:rsidR="00EF50DF" w:rsidRPr="004D6422" w:rsidRDefault="00EF50DF" w:rsidP="004D6422">
      <w:pPr>
        <w:spacing w:line="360" w:lineRule="auto"/>
        <w:rPr>
          <w:rFonts w:ascii="Arial" w:hAnsi="Arial" w:cs="Arial"/>
        </w:rPr>
      </w:pPr>
    </w:p>
    <w:p w14:paraId="7D240D7C" w14:textId="77777777" w:rsidR="00EF50DF" w:rsidRDefault="00EF50DF" w:rsidP="004D6422">
      <w:pPr>
        <w:spacing w:line="360" w:lineRule="auto"/>
        <w:rPr>
          <w:rFonts w:ascii="Arial" w:hAnsi="Arial" w:cs="Arial"/>
        </w:rPr>
      </w:pPr>
    </w:p>
    <w:p w14:paraId="7C53D954" w14:textId="77777777" w:rsidR="00166FED" w:rsidRDefault="00166FED" w:rsidP="004D6422">
      <w:pPr>
        <w:spacing w:line="360" w:lineRule="auto"/>
        <w:rPr>
          <w:rFonts w:ascii="Arial" w:hAnsi="Arial" w:cs="Arial"/>
        </w:rPr>
      </w:pPr>
    </w:p>
    <w:p w14:paraId="2C12BFF9" w14:textId="77777777" w:rsidR="00166FED" w:rsidRPr="004D6422" w:rsidRDefault="00166FED" w:rsidP="004D6422">
      <w:pPr>
        <w:spacing w:line="360" w:lineRule="auto"/>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864175354"/>
        <w:docPartObj>
          <w:docPartGallery w:val="Table of Contents"/>
          <w:docPartUnique/>
        </w:docPartObj>
      </w:sdtPr>
      <w:sdtEndPr>
        <w:rPr>
          <w:b/>
          <w:bCs/>
          <w:noProof/>
        </w:rPr>
      </w:sdtEndPr>
      <w:sdtContent>
        <w:p w14:paraId="285EED6F" w14:textId="59A2C0BA" w:rsidR="004D6422" w:rsidRDefault="004D6422">
          <w:pPr>
            <w:pStyle w:val="TOCHeading"/>
          </w:pPr>
          <w:r>
            <w:t>Contents</w:t>
          </w:r>
        </w:p>
        <w:p w14:paraId="3D52F9B9" w14:textId="67FA88AB" w:rsidR="004D6422" w:rsidRDefault="004D6422">
          <w:pPr>
            <w:pStyle w:val="TOC1"/>
            <w:tabs>
              <w:tab w:val="right" w:leader="dot" w:pos="9016"/>
            </w:tabs>
            <w:rPr>
              <w:noProof/>
            </w:rPr>
          </w:pPr>
          <w:r>
            <w:fldChar w:fldCharType="begin"/>
          </w:r>
          <w:r>
            <w:instrText xml:space="preserve"> TOC \o "1-3" \h \z \u </w:instrText>
          </w:r>
          <w:r>
            <w:fldChar w:fldCharType="separate"/>
          </w:r>
          <w:hyperlink w:anchor="_Toc214875653" w:history="1">
            <w:r w:rsidRPr="007372B1">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_Toc214875653 \h </w:instrText>
            </w:r>
            <w:r>
              <w:rPr>
                <w:noProof/>
                <w:webHidden/>
              </w:rPr>
            </w:r>
            <w:r>
              <w:rPr>
                <w:noProof/>
                <w:webHidden/>
              </w:rPr>
              <w:fldChar w:fldCharType="separate"/>
            </w:r>
            <w:r>
              <w:rPr>
                <w:noProof/>
                <w:webHidden/>
              </w:rPr>
              <w:t>2</w:t>
            </w:r>
            <w:r>
              <w:rPr>
                <w:noProof/>
                <w:webHidden/>
              </w:rPr>
              <w:fldChar w:fldCharType="end"/>
            </w:r>
          </w:hyperlink>
        </w:p>
        <w:p w14:paraId="33431409" w14:textId="45BC0CCC" w:rsidR="004D6422" w:rsidRDefault="004D6422">
          <w:pPr>
            <w:pStyle w:val="TOC1"/>
            <w:tabs>
              <w:tab w:val="right" w:leader="dot" w:pos="9016"/>
            </w:tabs>
            <w:rPr>
              <w:noProof/>
            </w:rPr>
          </w:pPr>
          <w:hyperlink w:anchor="_Toc214875654" w:history="1">
            <w:r w:rsidRPr="007372B1">
              <w:rPr>
                <w:rStyle w:val="Hyperlink"/>
                <w:rFonts w:ascii="Arial" w:hAnsi="Arial" w:cs="Arial"/>
                <w:noProof/>
              </w:rPr>
              <w:t>1: Financial Health Check</w:t>
            </w:r>
            <w:r>
              <w:rPr>
                <w:noProof/>
                <w:webHidden/>
              </w:rPr>
              <w:tab/>
            </w:r>
            <w:r>
              <w:rPr>
                <w:noProof/>
                <w:webHidden/>
              </w:rPr>
              <w:fldChar w:fldCharType="begin"/>
            </w:r>
            <w:r>
              <w:rPr>
                <w:noProof/>
                <w:webHidden/>
              </w:rPr>
              <w:instrText xml:space="preserve"> PAGEREF _Toc214875654 \h </w:instrText>
            </w:r>
            <w:r>
              <w:rPr>
                <w:noProof/>
                <w:webHidden/>
              </w:rPr>
            </w:r>
            <w:r>
              <w:rPr>
                <w:noProof/>
                <w:webHidden/>
              </w:rPr>
              <w:fldChar w:fldCharType="separate"/>
            </w:r>
            <w:r>
              <w:rPr>
                <w:noProof/>
                <w:webHidden/>
              </w:rPr>
              <w:t>3</w:t>
            </w:r>
            <w:r>
              <w:rPr>
                <w:noProof/>
                <w:webHidden/>
              </w:rPr>
              <w:fldChar w:fldCharType="end"/>
            </w:r>
          </w:hyperlink>
        </w:p>
        <w:p w14:paraId="2F647157" w14:textId="77FE088E" w:rsidR="004D6422" w:rsidRDefault="004D6422">
          <w:pPr>
            <w:pStyle w:val="TOC2"/>
            <w:tabs>
              <w:tab w:val="right" w:leader="dot" w:pos="9016"/>
            </w:tabs>
            <w:rPr>
              <w:noProof/>
            </w:rPr>
          </w:pPr>
          <w:hyperlink w:anchor="_Toc214875655" w:history="1">
            <w:r w:rsidRPr="007372B1">
              <w:rPr>
                <w:rStyle w:val="Hyperlink"/>
                <w:rFonts w:ascii="Arial" w:hAnsi="Arial" w:cs="Arial"/>
                <w:noProof/>
              </w:rPr>
              <w:t>1.1 Profitability Performance</w:t>
            </w:r>
            <w:r>
              <w:rPr>
                <w:noProof/>
                <w:webHidden/>
              </w:rPr>
              <w:tab/>
            </w:r>
            <w:r>
              <w:rPr>
                <w:noProof/>
                <w:webHidden/>
              </w:rPr>
              <w:fldChar w:fldCharType="begin"/>
            </w:r>
            <w:r>
              <w:rPr>
                <w:noProof/>
                <w:webHidden/>
              </w:rPr>
              <w:instrText xml:space="preserve"> PAGEREF _Toc214875655 \h </w:instrText>
            </w:r>
            <w:r>
              <w:rPr>
                <w:noProof/>
                <w:webHidden/>
              </w:rPr>
            </w:r>
            <w:r>
              <w:rPr>
                <w:noProof/>
                <w:webHidden/>
              </w:rPr>
              <w:fldChar w:fldCharType="separate"/>
            </w:r>
            <w:r>
              <w:rPr>
                <w:noProof/>
                <w:webHidden/>
              </w:rPr>
              <w:t>3</w:t>
            </w:r>
            <w:r>
              <w:rPr>
                <w:noProof/>
                <w:webHidden/>
              </w:rPr>
              <w:fldChar w:fldCharType="end"/>
            </w:r>
          </w:hyperlink>
        </w:p>
        <w:p w14:paraId="3B5CE8CD" w14:textId="460C9AFF" w:rsidR="004D6422" w:rsidRDefault="004D6422">
          <w:pPr>
            <w:pStyle w:val="TOC2"/>
            <w:tabs>
              <w:tab w:val="right" w:leader="dot" w:pos="9016"/>
            </w:tabs>
            <w:rPr>
              <w:noProof/>
            </w:rPr>
          </w:pPr>
          <w:hyperlink w:anchor="_Toc214875656" w:history="1">
            <w:r w:rsidRPr="007372B1">
              <w:rPr>
                <w:rStyle w:val="Hyperlink"/>
                <w:rFonts w:ascii="Arial" w:hAnsi="Arial" w:cs="Arial"/>
                <w:noProof/>
              </w:rPr>
              <w:t>1.2 Liquidity Position</w:t>
            </w:r>
            <w:r>
              <w:rPr>
                <w:noProof/>
                <w:webHidden/>
              </w:rPr>
              <w:tab/>
            </w:r>
            <w:r>
              <w:rPr>
                <w:noProof/>
                <w:webHidden/>
              </w:rPr>
              <w:fldChar w:fldCharType="begin"/>
            </w:r>
            <w:r>
              <w:rPr>
                <w:noProof/>
                <w:webHidden/>
              </w:rPr>
              <w:instrText xml:space="preserve"> PAGEREF _Toc214875656 \h </w:instrText>
            </w:r>
            <w:r>
              <w:rPr>
                <w:noProof/>
                <w:webHidden/>
              </w:rPr>
            </w:r>
            <w:r>
              <w:rPr>
                <w:noProof/>
                <w:webHidden/>
              </w:rPr>
              <w:fldChar w:fldCharType="separate"/>
            </w:r>
            <w:r>
              <w:rPr>
                <w:noProof/>
                <w:webHidden/>
              </w:rPr>
              <w:t>4</w:t>
            </w:r>
            <w:r>
              <w:rPr>
                <w:noProof/>
                <w:webHidden/>
              </w:rPr>
              <w:fldChar w:fldCharType="end"/>
            </w:r>
          </w:hyperlink>
        </w:p>
        <w:p w14:paraId="765BE446" w14:textId="44FBEFFC" w:rsidR="004D6422" w:rsidRDefault="004D6422">
          <w:pPr>
            <w:pStyle w:val="TOC2"/>
            <w:tabs>
              <w:tab w:val="right" w:leader="dot" w:pos="9016"/>
            </w:tabs>
            <w:rPr>
              <w:noProof/>
            </w:rPr>
          </w:pPr>
          <w:hyperlink w:anchor="_Toc214875657" w:history="1">
            <w:r w:rsidRPr="007372B1">
              <w:rPr>
                <w:rStyle w:val="Hyperlink"/>
                <w:rFonts w:ascii="Arial" w:hAnsi="Arial" w:cs="Arial"/>
                <w:noProof/>
              </w:rPr>
              <w:t>1.3 Efficiency and Asset Utilisation</w:t>
            </w:r>
            <w:r>
              <w:rPr>
                <w:noProof/>
                <w:webHidden/>
              </w:rPr>
              <w:tab/>
            </w:r>
            <w:r>
              <w:rPr>
                <w:noProof/>
                <w:webHidden/>
              </w:rPr>
              <w:fldChar w:fldCharType="begin"/>
            </w:r>
            <w:r>
              <w:rPr>
                <w:noProof/>
                <w:webHidden/>
              </w:rPr>
              <w:instrText xml:space="preserve"> PAGEREF _Toc214875657 \h </w:instrText>
            </w:r>
            <w:r>
              <w:rPr>
                <w:noProof/>
                <w:webHidden/>
              </w:rPr>
            </w:r>
            <w:r>
              <w:rPr>
                <w:noProof/>
                <w:webHidden/>
              </w:rPr>
              <w:fldChar w:fldCharType="separate"/>
            </w:r>
            <w:r>
              <w:rPr>
                <w:noProof/>
                <w:webHidden/>
              </w:rPr>
              <w:t>4</w:t>
            </w:r>
            <w:r>
              <w:rPr>
                <w:noProof/>
                <w:webHidden/>
              </w:rPr>
              <w:fldChar w:fldCharType="end"/>
            </w:r>
          </w:hyperlink>
        </w:p>
        <w:p w14:paraId="3E514F89" w14:textId="781A2E23" w:rsidR="004D6422" w:rsidRDefault="004D6422">
          <w:pPr>
            <w:pStyle w:val="TOC2"/>
            <w:tabs>
              <w:tab w:val="right" w:leader="dot" w:pos="9016"/>
            </w:tabs>
            <w:rPr>
              <w:noProof/>
            </w:rPr>
          </w:pPr>
          <w:hyperlink w:anchor="_Toc214875658" w:history="1">
            <w:r w:rsidRPr="007372B1">
              <w:rPr>
                <w:rStyle w:val="Hyperlink"/>
                <w:rFonts w:ascii="Arial" w:hAnsi="Arial" w:cs="Arial"/>
                <w:noProof/>
              </w:rPr>
              <w:t>1.4 Leverage and Solvency (GEARING)</w:t>
            </w:r>
            <w:r>
              <w:rPr>
                <w:noProof/>
                <w:webHidden/>
              </w:rPr>
              <w:tab/>
            </w:r>
            <w:r>
              <w:rPr>
                <w:noProof/>
                <w:webHidden/>
              </w:rPr>
              <w:fldChar w:fldCharType="begin"/>
            </w:r>
            <w:r>
              <w:rPr>
                <w:noProof/>
                <w:webHidden/>
              </w:rPr>
              <w:instrText xml:space="preserve"> PAGEREF _Toc214875658 \h </w:instrText>
            </w:r>
            <w:r>
              <w:rPr>
                <w:noProof/>
                <w:webHidden/>
              </w:rPr>
            </w:r>
            <w:r>
              <w:rPr>
                <w:noProof/>
                <w:webHidden/>
              </w:rPr>
              <w:fldChar w:fldCharType="separate"/>
            </w:r>
            <w:r>
              <w:rPr>
                <w:noProof/>
                <w:webHidden/>
              </w:rPr>
              <w:t>5</w:t>
            </w:r>
            <w:r>
              <w:rPr>
                <w:noProof/>
                <w:webHidden/>
              </w:rPr>
              <w:fldChar w:fldCharType="end"/>
            </w:r>
          </w:hyperlink>
        </w:p>
        <w:p w14:paraId="50650938" w14:textId="16B14255" w:rsidR="004D6422" w:rsidRDefault="004D6422">
          <w:pPr>
            <w:pStyle w:val="TOC2"/>
            <w:tabs>
              <w:tab w:val="right" w:leader="dot" w:pos="9016"/>
            </w:tabs>
            <w:rPr>
              <w:noProof/>
            </w:rPr>
          </w:pPr>
          <w:hyperlink w:anchor="_Toc214875659" w:history="1">
            <w:r w:rsidRPr="007372B1">
              <w:rPr>
                <w:rStyle w:val="Hyperlink"/>
                <w:rFonts w:ascii="Arial" w:hAnsi="Arial" w:cs="Arial"/>
                <w:noProof/>
              </w:rPr>
              <w:t>1.5 Investment Performance (EPS)</w:t>
            </w:r>
            <w:r>
              <w:rPr>
                <w:noProof/>
                <w:webHidden/>
              </w:rPr>
              <w:tab/>
            </w:r>
            <w:r>
              <w:rPr>
                <w:noProof/>
                <w:webHidden/>
              </w:rPr>
              <w:fldChar w:fldCharType="begin"/>
            </w:r>
            <w:r>
              <w:rPr>
                <w:noProof/>
                <w:webHidden/>
              </w:rPr>
              <w:instrText xml:space="preserve"> PAGEREF _Toc214875659 \h </w:instrText>
            </w:r>
            <w:r>
              <w:rPr>
                <w:noProof/>
                <w:webHidden/>
              </w:rPr>
            </w:r>
            <w:r>
              <w:rPr>
                <w:noProof/>
                <w:webHidden/>
              </w:rPr>
              <w:fldChar w:fldCharType="separate"/>
            </w:r>
            <w:r>
              <w:rPr>
                <w:noProof/>
                <w:webHidden/>
              </w:rPr>
              <w:t>5</w:t>
            </w:r>
            <w:r>
              <w:rPr>
                <w:noProof/>
                <w:webHidden/>
              </w:rPr>
              <w:fldChar w:fldCharType="end"/>
            </w:r>
          </w:hyperlink>
        </w:p>
        <w:p w14:paraId="4F1F8A00" w14:textId="25A5A4D4" w:rsidR="004D6422" w:rsidRDefault="004D6422">
          <w:pPr>
            <w:pStyle w:val="TOC2"/>
            <w:tabs>
              <w:tab w:val="right" w:leader="dot" w:pos="9016"/>
            </w:tabs>
            <w:rPr>
              <w:noProof/>
            </w:rPr>
          </w:pPr>
          <w:hyperlink w:anchor="_Toc214875660" w:history="1">
            <w:r w:rsidRPr="007372B1">
              <w:rPr>
                <w:rStyle w:val="Hyperlink"/>
                <w:rFonts w:ascii="Arial" w:hAnsi="Arial" w:cs="Arial"/>
                <w:noProof/>
              </w:rPr>
              <w:t>1.6 Cash Flow Quality</w:t>
            </w:r>
            <w:r>
              <w:rPr>
                <w:noProof/>
                <w:webHidden/>
              </w:rPr>
              <w:tab/>
            </w:r>
            <w:r>
              <w:rPr>
                <w:noProof/>
                <w:webHidden/>
              </w:rPr>
              <w:fldChar w:fldCharType="begin"/>
            </w:r>
            <w:r>
              <w:rPr>
                <w:noProof/>
                <w:webHidden/>
              </w:rPr>
              <w:instrText xml:space="preserve"> PAGEREF _Toc214875660 \h </w:instrText>
            </w:r>
            <w:r>
              <w:rPr>
                <w:noProof/>
                <w:webHidden/>
              </w:rPr>
            </w:r>
            <w:r>
              <w:rPr>
                <w:noProof/>
                <w:webHidden/>
              </w:rPr>
              <w:fldChar w:fldCharType="separate"/>
            </w:r>
            <w:r>
              <w:rPr>
                <w:noProof/>
                <w:webHidden/>
              </w:rPr>
              <w:t>6</w:t>
            </w:r>
            <w:r>
              <w:rPr>
                <w:noProof/>
                <w:webHidden/>
              </w:rPr>
              <w:fldChar w:fldCharType="end"/>
            </w:r>
          </w:hyperlink>
        </w:p>
        <w:p w14:paraId="07FE07FB" w14:textId="4D3B4147" w:rsidR="004D6422" w:rsidRDefault="004D6422">
          <w:pPr>
            <w:pStyle w:val="TOC2"/>
            <w:tabs>
              <w:tab w:val="right" w:leader="dot" w:pos="9016"/>
            </w:tabs>
            <w:rPr>
              <w:noProof/>
            </w:rPr>
          </w:pPr>
          <w:hyperlink w:anchor="_Toc214875661" w:history="1">
            <w:r w:rsidRPr="007372B1">
              <w:rPr>
                <w:rStyle w:val="Hyperlink"/>
                <w:rFonts w:ascii="Arial" w:hAnsi="Arial" w:cs="Arial"/>
                <w:noProof/>
              </w:rPr>
              <w:t>1.7 Distress Risk: Altman Z-Score Assessment</w:t>
            </w:r>
            <w:r>
              <w:rPr>
                <w:noProof/>
                <w:webHidden/>
              </w:rPr>
              <w:tab/>
            </w:r>
            <w:r>
              <w:rPr>
                <w:noProof/>
                <w:webHidden/>
              </w:rPr>
              <w:fldChar w:fldCharType="begin"/>
            </w:r>
            <w:r>
              <w:rPr>
                <w:noProof/>
                <w:webHidden/>
              </w:rPr>
              <w:instrText xml:space="preserve"> PAGEREF _Toc214875661 \h </w:instrText>
            </w:r>
            <w:r>
              <w:rPr>
                <w:noProof/>
                <w:webHidden/>
              </w:rPr>
            </w:r>
            <w:r>
              <w:rPr>
                <w:noProof/>
                <w:webHidden/>
              </w:rPr>
              <w:fldChar w:fldCharType="separate"/>
            </w:r>
            <w:r>
              <w:rPr>
                <w:noProof/>
                <w:webHidden/>
              </w:rPr>
              <w:t>6</w:t>
            </w:r>
            <w:r>
              <w:rPr>
                <w:noProof/>
                <w:webHidden/>
              </w:rPr>
              <w:fldChar w:fldCharType="end"/>
            </w:r>
          </w:hyperlink>
        </w:p>
        <w:p w14:paraId="3784E3D4" w14:textId="4EAAC273" w:rsidR="004D6422" w:rsidRDefault="004D6422">
          <w:pPr>
            <w:pStyle w:val="TOC2"/>
            <w:tabs>
              <w:tab w:val="right" w:leader="dot" w:pos="9016"/>
            </w:tabs>
            <w:rPr>
              <w:noProof/>
            </w:rPr>
          </w:pPr>
          <w:hyperlink w:anchor="_Toc214875662" w:history="1">
            <w:r w:rsidRPr="007372B1">
              <w:rPr>
                <w:rStyle w:val="Hyperlink"/>
                <w:rFonts w:ascii="Arial" w:hAnsi="Arial" w:cs="Arial"/>
                <w:noProof/>
              </w:rPr>
              <w:t>1.8 Section Conclusion</w:t>
            </w:r>
            <w:r>
              <w:rPr>
                <w:noProof/>
                <w:webHidden/>
              </w:rPr>
              <w:tab/>
            </w:r>
            <w:r>
              <w:rPr>
                <w:noProof/>
                <w:webHidden/>
              </w:rPr>
              <w:fldChar w:fldCharType="begin"/>
            </w:r>
            <w:r>
              <w:rPr>
                <w:noProof/>
                <w:webHidden/>
              </w:rPr>
              <w:instrText xml:space="preserve"> PAGEREF _Toc214875662 \h </w:instrText>
            </w:r>
            <w:r>
              <w:rPr>
                <w:noProof/>
                <w:webHidden/>
              </w:rPr>
            </w:r>
            <w:r>
              <w:rPr>
                <w:noProof/>
                <w:webHidden/>
              </w:rPr>
              <w:fldChar w:fldCharType="separate"/>
            </w:r>
            <w:r>
              <w:rPr>
                <w:noProof/>
                <w:webHidden/>
              </w:rPr>
              <w:t>6</w:t>
            </w:r>
            <w:r>
              <w:rPr>
                <w:noProof/>
                <w:webHidden/>
              </w:rPr>
              <w:fldChar w:fldCharType="end"/>
            </w:r>
          </w:hyperlink>
        </w:p>
        <w:p w14:paraId="002505F9" w14:textId="7EB33B1F" w:rsidR="004D6422" w:rsidRDefault="004D6422">
          <w:pPr>
            <w:pStyle w:val="TOC1"/>
            <w:tabs>
              <w:tab w:val="right" w:leader="dot" w:pos="9016"/>
            </w:tabs>
            <w:rPr>
              <w:noProof/>
            </w:rPr>
          </w:pPr>
          <w:hyperlink w:anchor="_Toc214875663" w:history="1">
            <w:r w:rsidRPr="007372B1">
              <w:rPr>
                <w:rStyle w:val="Hyperlink"/>
                <w:rFonts w:ascii="Arial" w:hAnsi="Arial" w:cs="Arial"/>
                <w:noProof/>
              </w:rPr>
              <w:t>2: Working Capital Management</w:t>
            </w:r>
            <w:r>
              <w:rPr>
                <w:noProof/>
                <w:webHidden/>
              </w:rPr>
              <w:tab/>
            </w:r>
            <w:r>
              <w:rPr>
                <w:noProof/>
                <w:webHidden/>
              </w:rPr>
              <w:fldChar w:fldCharType="begin"/>
            </w:r>
            <w:r>
              <w:rPr>
                <w:noProof/>
                <w:webHidden/>
              </w:rPr>
              <w:instrText xml:space="preserve"> PAGEREF _Toc214875663 \h </w:instrText>
            </w:r>
            <w:r>
              <w:rPr>
                <w:noProof/>
                <w:webHidden/>
              </w:rPr>
            </w:r>
            <w:r>
              <w:rPr>
                <w:noProof/>
                <w:webHidden/>
              </w:rPr>
              <w:fldChar w:fldCharType="separate"/>
            </w:r>
            <w:r>
              <w:rPr>
                <w:noProof/>
                <w:webHidden/>
              </w:rPr>
              <w:t>7</w:t>
            </w:r>
            <w:r>
              <w:rPr>
                <w:noProof/>
                <w:webHidden/>
              </w:rPr>
              <w:fldChar w:fldCharType="end"/>
            </w:r>
          </w:hyperlink>
        </w:p>
        <w:p w14:paraId="2762DFA6" w14:textId="5E798B91" w:rsidR="004D6422" w:rsidRDefault="004D6422">
          <w:pPr>
            <w:pStyle w:val="TOC2"/>
            <w:tabs>
              <w:tab w:val="right" w:leader="dot" w:pos="9016"/>
            </w:tabs>
            <w:rPr>
              <w:noProof/>
            </w:rPr>
          </w:pPr>
          <w:hyperlink w:anchor="_Toc214875664" w:history="1">
            <w:r w:rsidRPr="007372B1">
              <w:rPr>
                <w:rStyle w:val="Hyperlink"/>
                <w:rFonts w:ascii="Arial" w:hAnsi="Arial" w:cs="Arial"/>
                <w:noProof/>
              </w:rPr>
              <w:t>2.1 Working Capital Position and Trends</w:t>
            </w:r>
            <w:r>
              <w:rPr>
                <w:noProof/>
                <w:webHidden/>
              </w:rPr>
              <w:tab/>
            </w:r>
            <w:r>
              <w:rPr>
                <w:noProof/>
                <w:webHidden/>
              </w:rPr>
              <w:fldChar w:fldCharType="begin"/>
            </w:r>
            <w:r>
              <w:rPr>
                <w:noProof/>
                <w:webHidden/>
              </w:rPr>
              <w:instrText xml:space="preserve"> PAGEREF _Toc214875664 \h </w:instrText>
            </w:r>
            <w:r>
              <w:rPr>
                <w:noProof/>
                <w:webHidden/>
              </w:rPr>
            </w:r>
            <w:r>
              <w:rPr>
                <w:noProof/>
                <w:webHidden/>
              </w:rPr>
              <w:fldChar w:fldCharType="separate"/>
            </w:r>
            <w:r>
              <w:rPr>
                <w:noProof/>
                <w:webHidden/>
              </w:rPr>
              <w:t>7</w:t>
            </w:r>
            <w:r>
              <w:rPr>
                <w:noProof/>
                <w:webHidden/>
              </w:rPr>
              <w:fldChar w:fldCharType="end"/>
            </w:r>
          </w:hyperlink>
        </w:p>
        <w:p w14:paraId="172AB402" w14:textId="381710B8" w:rsidR="004D6422" w:rsidRDefault="004D6422">
          <w:pPr>
            <w:pStyle w:val="TOC2"/>
            <w:tabs>
              <w:tab w:val="right" w:leader="dot" w:pos="9016"/>
            </w:tabs>
            <w:rPr>
              <w:noProof/>
            </w:rPr>
          </w:pPr>
          <w:hyperlink w:anchor="_Toc214875665" w:history="1">
            <w:r w:rsidRPr="007372B1">
              <w:rPr>
                <w:rStyle w:val="Hyperlink"/>
                <w:rFonts w:ascii="Arial" w:hAnsi="Arial" w:cs="Arial"/>
                <w:noProof/>
              </w:rPr>
              <w:t>2.2 Cash Conversion Cycle (CCC) and Efficiency</w:t>
            </w:r>
            <w:r>
              <w:rPr>
                <w:noProof/>
                <w:webHidden/>
              </w:rPr>
              <w:tab/>
            </w:r>
            <w:r>
              <w:rPr>
                <w:noProof/>
                <w:webHidden/>
              </w:rPr>
              <w:fldChar w:fldCharType="begin"/>
            </w:r>
            <w:r>
              <w:rPr>
                <w:noProof/>
                <w:webHidden/>
              </w:rPr>
              <w:instrText xml:space="preserve"> PAGEREF _Toc214875665 \h </w:instrText>
            </w:r>
            <w:r>
              <w:rPr>
                <w:noProof/>
                <w:webHidden/>
              </w:rPr>
            </w:r>
            <w:r>
              <w:rPr>
                <w:noProof/>
                <w:webHidden/>
              </w:rPr>
              <w:fldChar w:fldCharType="separate"/>
            </w:r>
            <w:r>
              <w:rPr>
                <w:noProof/>
                <w:webHidden/>
              </w:rPr>
              <w:t>7</w:t>
            </w:r>
            <w:r>
              <w:rPr>
                <w:noProof/>
                <w:webHidden/>
              </w:rPr>
              <w:fldChar w:fldCharType="end"/>
            </w:r>
          </w:hyperlink>
        </w:p>
        <w:p w14:paraId="5C486447" w14:textId="788225FC" w:rsidR="004D6422" w:rsidRDefault="004D6422">
          <w:pPr>
            <w:pStyle w:val="TOC2"/>
            <w:tabs>
              <w:tab w:val="right" w:leader="dot" w:pos="9016"/>
            </w:tabs>
            <w:rPr>
              <w:noProof/>
            </w:rPr>
          </w:pPr>
          <w:hyperlink w:anchor="_Toc214875666" w:history="1">
            <w:r w:rsidRPr="007372B1">
              <w:rPr>
                <w:rStyle w:val="Hyperlink"/>
                <w:rFonts w:ascii="Arial" w:hAnsi="Arial" w:cs="Arial"/>
                <w:noProof/>
              </w:rPr>
              <w:t>2.3 Payables and Short-Term Financing Pressure</w:t>
            </w:r>
            <w:r>
              <w:rPr>
                <w:noProof/>
                <w:webHidden/>
              </w:rPr>
              <w:tab/>
            </w:r>
            <w:r>
              <w:rPr>
                <w:noProof/>
                <w:webHidden/>
              </w:rPr>
              <w:fldChar w:fldCharType="begin"/>
            </w:r>
            <w:r>
              <w:rPr>
                <w:noProof/>
                <w:webHidden/>
              </w:rPr>
              <w:instrText xml:space="preserve"> PAGEREF _Toc214875666 \h </w:instrText>
            </w:r>
            <w:r>
              <w:rPr>
                <w:noProof/>
                <w:webHidden/>
              </w:rPr>
            </w:r>
            <w:r>
              <w:rPr>
                <w:noProof/>
                <w:webHidden/>
              </w:rPr>
              <w:fldChar w:fldCharType="separate"/>
            </w:r>
            <w:r>
              <w:rPr>
                <w:noProof/>
                <w:webHidden/>
              </w:rPr>
              <w:t>8</w:t>
            </w:r>
            <w:r>
              <w:rPr>
                <w:noProof/>
                <w:webHidden/>
              </w:rPr>
              <w:fldChar w:fldCharType="end"/>
            </w:r>
          </w:hyperlink>
        </w:p>
        <w:p w14:paraId="603BD06E" w14:textId="55656BFA" w:rsidR="004D6422" w:rsidRDefault="004D6422">
          <w:pPr>
            <w:pStyle w:val="TOC2"/>
            <w:tabs>
              <w:tab w:val="right" w:leader="dot" w:pos="9016"/>
            </w:tabs>
            <w:rPr>
              <w:noProof/>
            </w:rPr>
          </w:pPr>
          <w:hyperlink w:anchor="_Toc214875667" w:history="1">
            <w:r w:rsidRPr="007372B1">
              <w:rPr>
                <w:rStyle w:val="Hyperlink"/>
                <w:rFonts w:ascii="Arial" w:hAnsi="Arial" w:cs="Arial"/>
                <w:noProof/>
              </w:rPr>
              <w:t>2.4 Impact on Liquidity and Profitability</w:t>
            </w:r>
            <w:r>
              <w:rPr>
                <w:noProof/>
                <w:webHidden/>
              </w:rPr>
              <w:tab/>
            </w:r>
            <w:r>
              <w:rPr>
                <w:noProof/>
                <w:webHidden/>
              </w:rPr>
              <w:fldChar w:fldCharType="begin"/>
            </w:r>
            <w:r>
              <w:rPr>
                <w:noProof/>
                <w:webHidden/>
              </w:rPr>
              <w:instrText xml:space="preserve"> PAGEREF _Toc214875667 \h </w:instrText>
            </w:r>
            <w:r>
              <w:rPr>
                <w:noProof/>
                <w:webHidden/>
              </w:rPr>
            </w:r>
            <w:r>
              <w:rPr>
                <w:noProof/>
                <w:webHidden/>
              </w:rPr>
              <w:fldChar w:fldCharType="separate"/>
            </w:r>
            <w:r>
              <w:rPr>
                <w:noProof/>
                <w:webHidden/>
              </w:rPr>
              <w:t>8</w:t>
            </w:r>
            <w:r>
              <w:rPr>
                <w:noProof/>
                <w:webHidden/>
              </w:rPr>
              <w:fldChar w:fldCharType="end"/>
            </w:r>
          </w:hyperlink>
        </w:p>
        <w:p w14:paraId="71B80797" w14:textId="37884593" w:rsidR="004D6422" w:rsidRDefault="004D6422">
          <w:pPr>
            <w:pStyle w:val="TOC2"/>
            <w:tabs>
              <w:tab w:val="right" w:leader="dot" w:pos="9016"/>
            </w:tabs>
            <w:rPr>
              <w:noProof/>
            </w:rPr>
          </w:pPr>
          <w:hyperlink w:anchor="_Toc214875668" w:history="1">
            <w:r w:rsidRPr="007372B1">
              <w:rPr>
                <w:rStyle w:val="Hyperlink"/>
                <w:rFonts w:ascii="Arial" w:hAnsi="Arial" w:cs="Arial"/>
                <w:noProof/>
              </w:rPr>
              <w:t>2.5 Short-Term vs Long-Term Financing Options</w:t>
            </w:r>
            <w:r>
              <w:rPr>
                <w:noProof/>
                <w:webHidden/>
              </w:rPr>
              <w:tab/>
            </w:r>
            <w:r>
              <w:rPr>
                <w:noProof/>
                <w:webHidden/>
              </w:rPr>
              <w:fldChar w:fldCharType="begin"/>
            </w:r>
            <w:r>
              <w:rPr>
                <w:noProof/>
                <w:webHidden/>
              </w:rPr>
              <w:instrText xml:space="preserve"> PAGEREF _Toc214875668 \h </w:instrText>
            </w:r>
            <w:r>
              <w:rPr>
                <w:noProof/>
                <w:webHidden/>
              </w:rPr>
            </w:r>
            <w:r>
              <w:rPr>
                <w:noProof/>
                <w:webHidden/>
              </w:rPr>
              <w:fldChar w:fldCharType="separate"/>
            </w:r>
            <w:r>
              <w:rPr>
                <w:noProof/>
                <w:webHidden/>
              </w:rPr>
              <w:t>9</w:t>
            </w:r>
            <w:r>
              <w:rPr>
                <w:noProof/>
                <w:webHidden/>
              </w:rPr>
              <w:fldChar w:fldCharType="end"/>
            </w:r>
          </w:hyperlink>
        </w:p>
        <w:p w14:paraId="3C0820D2" w14:textId="51F1FEE5" w:rsidR="004D6422" w:rsidRDefault="004D6422">
          <w:pPr>
            <w:pStyle w:val="TOC2"/>
            <w:tabs>
              <w:tab w:val="right" w:leader="dot" w:pos="9016"/>
            </w:tabs>
            <w:rPr>
              <w:noProof/>
            </w:rPr>
          </w:pPr>
          <w:hyperlink w:anchor="_Toc214875669" w:history="1">
            <w:r w:rsidRPr="007372B1">
              <w:rPr>
                <w:rStyle w:val="Hyperlink"/>
                <w:rFonts w:ascii="Arial" w:hAnsi="Arial" w:cs="Arial"/>
                <w:noProof/>
              </w:rPr>
              <w:t>2.6 Recommended Working Capital Improvements</w:t>
            </w:r>
            <w:r>
              <w:rPr>
                <w:noProof/>
                <w:webHidden/>
              </w:rPr>
              <w:tab/>
            </w:r>
            <w:r>
              <w:rPr>
                <w:noProof/>
                <w:webHidden/>
              </w:rPr>
              <w:fldChar w:fldCharType="begin"/>
            </w:r>
            <w:r>
              <w:rPr>
                <w:noProof/>
                <w:webHidden/>
              </w:rPr>
              <w:instrText xml:space="preserve"> PAGEREF _Toc214875669 \h </w:instrText>
            </w:r>
            <w:r>
              <w:rPr>
                <w:noProof/>
                <w:webHidden/>
              </w:rPr>
            </w:r>
            <w:r>
              <w:rPr>
                <w:noProof/>
                <w:webHidden/>
              </w:rPr>
              <w:fldChar w:fldCharType="separate"/>
            </w:r>
            <w:r>
              <w:rPr>
                <w:noProof/>
                <w:webHidden/>
              </w:rPr>
              <w:t>9</w:t>
            </w:r>
            <w:r>
              <w:rPr>
                <w:noProof/>
                <w:webHidden/>
              </w:rPr>
              <w:fldChar w:fldCharType="end"/>
            </w:r>
          </w:hyperlink>
        </w:p>
        <w:p w14:paraId="1EDFE099" w14:textId="0001A717" w:rsidR="004D6422" w:rsidRDefault="004D6422">
          <w:pPr>
            <w:pStyle w:val="TOC2"/>
            <w:tabs>
              <w:tab w:val="right" w:leader="dot" w:pos="9016"/>
            </w:tabs>
            <w:rPr>
              <w:noProof/>
            </w:rPr>
          </w:pPr>
          <w:hyperlink w:anchor="_Toc214875670" w:history="1">
            <w:r w:rsidRPr="007372B1">
              <w:rPr>
                <w:rStyle w:val="Hyperlink"/>
                <w:rFonts w:ascii="Arial" w:hAnsi="Arial" w:cs="Arial"/>
                <w:noProof/>
              </w:rPr>
              <w:t>2.7 Section Conclusion</w:t>
            </w:r>
            <w:r>
              <w:rPr>
                <w:noProof/>
                <w:webHidden/>
              </w:rPr>
              <w:tab/>
            </w:r>
            <w:r>
              <w:rPr>
                <w:noProof/>
                <w:webHidden/>
              </w:rPr>
              <w:fldChar w:fldCharType="begin"/>
            </w:r>
            <w:r>
              <w:rPr>
                <w:noProof/>
                <w:webHidden/>
              </w:rPr>
              <w:instrText xml:space="preserve"> PAGEREF _Toc214875670 \h </w:instrText>
            </w:r>
            <w:r>
              <w:rPr>
                <w:noProof/>
                <w:webHidden/>
              </w:rPr>
            </w:r>
            <w:r>
              <w:rPr>
                <w:noProof/>
                <w:webHidden/>
              </w:rPr>
              <w:fldChar w:fldCharType="separate"/>
            </w:r>
            <w:r>
              <w:rPr>
                <w:noProof/>
                <w:webHidden/>
              </w:rPr>
              <w:t>10</w:t>
            </w:r>
            <w:r>
              <w:rPr>
                <w:noProof/>
                <w:webHidden/>
              </w:rPr>
              <w:fldChar w:fldCharType="end"/>
            </w:r>
          </w:hyperlink>
        </w:p>
        <w:p w14:paraId="0DB80BED" w14:textId="27B7D1B6" w:rsidR="004D6422" w:rsidRDefault="004D6422">
          <w:pPr>
            <w:pStyle w:val="TOC1"/>
            <w:tabs>
              <w:tab w:val="right" w:leader="dot" w:pos="9016"/>
            </w:tabs>
            <w:rPr>
              <w:noProof/>
            </w:rPr>
          </w:pPr>
          <w:hyperlink w:anchor="_Toc214875671" w:history="1">
            <w:r w:rsidRPr="007372B1">
              <w:rPr>
                <w:rStyle w:val="Hyperlink"/>
                <w:rFonts w:ascii="Arial" w:hAnsi="Arial" w:cs="Arial"/>
                <w:noProof/>
              </w:rPr>
              <w:t>3: Strategic Financial Restructuring Plan</w:t>
            </w:r>
            <w:r>
              <w:rPr>
                <w:noProof/>
                <w:webHidden/>
              </w:rPr>
              <w:tab/>
            </w:r>
            <w:r>
              <w:rPr>
                <w:noProof/>
                <w:webHidden/>
              </w:rPr>
              <w:fldChar w:fldCharType="begin"/>
            </w:r>
            <w:r>
              <w:rPr>
                <w:noProof/>
                <w:webHidden/>
              </w:rPr>
              <w:instrText xml:space="preserve"> PAGEREF _Toc214875671 \h </w:instrText>
            </w:r>
            <w:r>
              <w:rPr>
                <w:noProof/>
                <w:webHidden/>
              </w:rPr>
            </w:r>
            <w:r>
              <w:rPr>
                <w:noProof/>
                <w:webHidden/>
              </w:rPr>
              <w:fldChar w:fldCharType="separate"/>
            </w:r>
            <w:r>
              <w:rPr>
                <w:noProof/>
                <w:webHidden/>
              </w:rPr>
              <w:t>10</w:t>
            </w:r>
            <w:r>
              <w:rPr>
                <w:noProof/>
                <w:webHidden/>
              </w:rPr>
              <w:fldChar w:fldCharType="end"/>
            </w:r>
          </w:hyperlink>
        </w:p>
        <w:p w14:paraId="68AE3B5E" w14:textId="3C7E3889" w:rsidR="004D6422" w:rsidRDefault="004D6422">
          <w:pPr>
            <w:pStyle w:val="TOC2"/>
            <w:tabs>
              <w:tab w:val="right" w:leader="dot" w:pos="9016"/>
            </w:tabs>
            <w:rPr>
              <w:noProof/>
            </w:rPr>
          </w:pPr>
          <w:hyperlink w:anchor="_Toc214875672" w:history="1">
            <w:r w:rsidRPr="007372B1">
              <w:rPr>
                <w:rStyle w:val="Hyperlink"/>
                <w:rFonts w:ascii="Arial" w:hAnsi="Arial" w:cs="Arial"/>
                <w:noProof/>
              </w:rPr>
              <w:t>3.1 Rationale for Financial Restructuring</w:t>
            </w:r>
            <w:r>
              <w:rPr>
                <w:noProof/>
                <w:webHidden/>
              </w:rPr>
              <w:tab/>
            </w:r>
            <w:r>
              <w:rPr>
                <w:noProof/>
                <w:webHidden/>
              </w:rPr>
              <w:fldChar w:fldCharType="begin"/>
            </w:r>
            <w:r>
              <w:rPr>
                <w:noProof/>
                <w:webHidden/>
              </w:rPr>
              <w:instrText xml:space="preserve"> PAGEREF _Toc214875672 \h </w:instrText>
            </w:r>
            <w:r>
              <w:rPr>
                <w:noProof/>
                <w:webHidden/>
              </w:rPr>
            </w:r>
            <w:r>
              <w:rPr>
                <w:noProof/>
                <w:webHidden/>
              </w:rPr>
              <w:fldChar w:fldCharType="separate"/>
            </w:r>
            <w:r>
              <w:rPr>
                <w:noProof/>
                <w:webHidden/>
              </w:rPr>
              <w:t>10</w:t>
            </w:r>
            <w:r>
              <w:rPr>
                <w:noProof/>
                <w:webHidden/>
              </w:rPr>
              <w:fldChar w:fldCharType="end"/>
            </w:r>
          </w:hyperlink>
        </w:p>
        <w:p w14:paraId="7F286ECB" w14:textId="617B4313" w:rsidR="004D6422" w:rsidRDefault="004D6422">
          <w:pPr>
            <w:pStyle w:val="TOC2"/>
            <w:tabs>
              <w:tab w:val="right" w:leader="dot" w:pos="9016"/>
            </w:tabs>
            <w:rPr>
              <w:noProof/>
            </w:rPr>
          </w:pPr>
          <w:hyperlink w:anchor="_Toc214875673" w:history="1">
            <w:r w:rsidRPr="007372B1">
              <w:rPr>
                <w:rStyle w:val="Hyperlink"/>
                <w:rFonts w:ascii="Arial" w:hAnsi="Arial" w:cs="Arial"/>
                <w:noProof/>
              </w:rPr>
              <w:t>3.2 Capital Structure Reform and Debt Reduction</w:t>
            </w:r>
            <w:r>
              <w:rPr>
                <w:noProof/>
                <w:webHidden/>
              </w:rPr>
              <w:tab/>
            </w:r>
            <w:r>
              <w:rPr>
                <w:noProof/>
                <w:webHidden/>
              </w:rPr>
              <w:fldChar w:fldCharType="begin"/>
            </w:r>
            <w:r>
              <w:rPr>
                <w:noProof/>
                <w:webHidden/>
              </w:rPr>
              <w:instrText xml:space="preserve"> PAGEREF _Toc214875673 \h </w:instrText>
            </w:r>
            <w:r>
              <w:rPr>
                <w:noProof/>
                <w:webHidden/>
              </w:rPr>
            </w:r>
            <w:r>
              <w:rPr>
                <w:noProof/>
                <w:webHidden/>
              </w:rPr>
              <w:fldChar w:fldCharType="separate"/>
            </w:r>
            <w:r>
              <w:rPr>
                <w:noProof/>
                <w:webHidden/>
              </w:rPr>
              <w:t>11</w:t>
            </w:r>
            <w:r>
              <w:rPr>
                <w:noProof/>
                <w:webHidden/>
              </w:rPr>
              <w:fldChar w:fldCharType="end"/>
            </w:r>
          </w:hyperlink>
        </w:p>
        <w:p w14:paraId="4D2F664B" w14:textId="4E141256" w:rsidR="004D6422" w:rsidRDefault="004D6422">
          <w:pPr>
            <w:pStyle w:val="TOC2"/>
            <w:tabs>
              <w:tab w:val="right" w:leader="dot" w:pos="9016"/>
            </w:tabs>
            <w:rPr>
              <w:noProof/>
            </w:rPr>
          </w:pPr>
          <w:hyperlink w:anchor="_Toc214875674" w:history="1">
            <w:r w:rsidRPr="007372B1">
              <w:rPr>
                <w:rStyle w:val="Hyperlink"/>
                <w:rFonts w:ascii="Arial" w:hAnsi="Arial" w:cs="Arial"/>
                <w:noProof/>
              </w:rPr>
              <w:t>3.3 Operational Cost Restructuring</w:t>
            </w:r>
            <w:r>
              <w:rPr>
                <w:noProof/>
                <w:webHidden/>
              </w:rPr>
              <w:tab/>
            </w:r>
            <w:r>
              <w:rPr>
                <w:noProof/>
                <w:webHidden/>
              </w:rPr>
              <w:fldChar w:fldCharType="begin"/>
            </w:r>
            <w:r>
              <w:rPr>
                <w:noProof/>
                <w:webHidden/>
              </w:rPr>
              <w:instrText xml:space="preserve"> PAGEREF _Toc214875674 \h </w:instrText>
            </w:r>
            <w:r>
              <w:rPr>
                <w:noProof/>
                <w:webHidden/>
              </w:rPr>
            </w:r>
            <w:r>
              <w:rPr>
                <w:noProof/>
                <w:webHidden/>
              </w:rPr>
              <w:fldChar w:fldCharType="separate"/>
            </w:r>
            <w:r>
              <w:rPr>
                <w:noProof/>
                <w:webHidden/>
              </w:rPr>
              <w:t>12</w:t>
            </w:r>
            <w:r>
              <w:rPr>
                <w:noProof/>
                <w:webHidden/>
              </w:rPr>
              <w:fldChar w:fldCharType="end"/>
            </w:r>
          </w:hyperlink>
        </w:p>
        <w:p w14:paraId="2E743186" w14:textId="55FBFA57" w:rsidR="004D6422" w:rsidRDefault="004D6422">
          <w:pPr>
            <w:pStyle w:val="TOC2"/>
            <w:tabs>
              <w:tab w:val="right" w:leader="dot" w:pos="9016"/>
            </w:tabs>
            <w:rPr>
              <w:noProof/>
            </w:rPr>
          </w:pPr>
          <w:hyperlink w:anchor="_Toc214875675" w:history="1">
            <w:r w:rsidRPr="007372B1">
              <w:rPr>
                <w:rStyle w:val="Hyperlink"/>
                <w:rFonts w:ascii="Arial" w:hAnsi="Arial" w:cs="Arial"/>
                <w:noProof/>
              </w:rPr>
              <w:t>3.4 Strategic Divestiture as a Core Restructuring Option</w:t>
            </w:r>
            <w:r>
              <w:rPr>
                <w:noProof/>
                <w:webHidden/>
              </w:rPr>
              <w:tab/>
            </w:r>
            <w:r>
              <w:rPr>
                <w:noProof/>
                <w:webHidden/>
              </w:rPr>
              <w:fldChar w:fldCharType="begin"/>
            </w:r>
            <w:r>
              <w:rPr>
                <w:noProof/>
                <w:webHidden/>
              </w:rPr>
              <w:instrText xml:space="preserve"> PAGEREF _Toc214875675 \h </w:instrText>
            </w:r>
            <w:r>
              <w:rPr>
                <w:noProof/>
                <w:webHidden/>
              </w:rPr>
            </w:r>
            <w:r>
              <w:rPr>
                <w:noProof/>
                <w:webHidden/>
              </w:rPr>
              <w:fldChar w:fldCharType="separate"/>
            </w:r>
            <w:r>
              <w:rPr>
                <w:noProof/>
                <w:webHidden/>
              </w:rPr>
              <w:t>12</w:t>
            </w:r>
            <w:r>
              <w:rPr>
                <w:noProof/>
                <w:webHidden/>
              </w:rPr>
              <w:fldChar w:fldCharType="end"/>
            </w:r>
          </w:hyperlink>
        </w:p>
        <w:p w14:paraId="3A9CB932" w14:textId="5A75B589" w:rsidR="004D6422" w:rsidRDefault="004D6422">
          <w:pPr>
            <w:pStyle w:val="TOC2"/>
            <w:tabs>
              <w:tab w:val="right" w:leader="dot" w:pos="9016"/>
            </w:tabs>
            <w:rPr>
              <w:noProof/>
            </w:rPr>
          </w:pPr>
          <w:hyperlink w:anchor="_Toc214875676" w:history="1">
            <w:r w:rsidRPr="007372B1">
              <w:rPr>
                <w:rStyle w:val="Hyperlink"/>
                <w:rFonts w:ascii="Arial" w:hAnsi="Arial" w:cs="Arial"/>
                <w:noProof/>
              </w:rPr>
              <w:t>3.5 Impact on Shareholder Value</w:t>
            </w:r>
            <w:r>
              <w:rPr>
                <w:noProof/>
                <w:webHidden/>
              </w:rPr>
              <w:tab/>
            </w:r>
            <w:r>
              <w:rPr>
                <w:noProof/>
                <w:webHidden/>
              </w:rPr>
              <w:fldChar w:fldCharType="begin"/>
            </w:r>
            <w:r>
              <w:rPr>
                <w:noProof/>
                <w:webHidden/>
              </w:rPr>
              <w:instrText xml:space="preserve"> PAGEREF _Toc214875676 \h </w:instrText>
            </w:r>
            <w:r>
              <w:rPr>
                <w:noProof/>
                <w:webHidden/>
              </w:rPr>
            </w:r>
            <w:r>
              <w:rPr>
                <w:noProof/>
                <w:webHidden/>
              </w:rPr>
              <w:fldChar w:fldCharType="separate"/>
            </w:r>
            <w:r>
              <w:rPr>
                <w:noProof/>
                <w:webHidden/>
              </w:rPr>
              <w:t>12</w:t>
            </w:r>
            <w:r>
              <w:rPr>
                <w:noProof/>
                <w:webHidden/>
              </w:rPr>
              <w:fldChar w:fldCharType="end"/>
            </w:r>
          </w:hyperlink>
        </w:p>
        <w:p w14:paraId="29799300" w14:textId="63A241BD" w:rsidR="004D6422" w:rsidRDefault="004D6422">
          <w:pPr>
            <w:pStyle w:val="TOC2"/>
            <w:tabs>
              <w:tab w:val="right" w:leader="dot" w:pos="9016"/>
            </w:tabs>
            <w:rPr>
              <w:noProof/>
            </w:rPr>
          </w:pPr>
          <w:hyperlink w:anchor="_Toc214875677" w:history="1">
            <w:r w:rsidRPr="007372B1">
              <w:rPr>
                <w:rStyle w:val="Hyperlink"/>
                <w:rFonts w:ascii="Arial" w:hAnsi="Arial" w:cs="Arial"/>
                <w:noProof/>
              </w:rPr>
              <w:t>3.6 Impact on Debt Structure and Solvency</w:t>
            </w:r>
            <w:r>
              <w:rPr>
                <w:noProof/>
                <w:webHidden/>
              </w:rPr>
              <w:tab/>
            </w:r>
            <w:r>
              <w:rPr>
                <w:noProof/>
                <w:webHidden/>
              </w:rPr>
              <w:fldChar w:fldCharType="begin"/>
            </w:r>
            <w:r>
              <w:rPr>
                <w:noProof/>
                <w:webHidden/>
              </w:rPr>
              <w:instrText xml:space="preserve"> PAGEREF _Toc214875677 \h </w:instrText>
            </w:r>
            <w:r>
              <w:rPr>
                <w:noProof/>
                <w:webHidden/>
              </w:rPr>
            </w:r>
            <w:r>
              <w:rPr>
                <w:noProof/>
                <w:webHidden/>
              </w:rPr>
              <w:fldChar w:fldCharType="separate"/>
            </w:r>
            <w:r>
              <w:rPr>
                <w:noProof/>
                <w:webHidden/>
              </w:rPr>
              <w:t>13</w:t>
            </w:r>
            <w:r>
              <w:rPr>
                <w:noProof/>
                <w:webHidden/>
              </w:rPr>
              <w:fldChar w:fldCharType="end"/>
            </w:r>
          </w:hyperlink>
        </w:p>
        <w:p w14:paraId="380926B1" w14:textId="1A077947" w:rsidR="004D6422" w:rsidRDefault="004D6422">
          <w:pPr>
            <w:pStyle w:val="TOC2"/>
            <w:tabs>
              <w:tab w:val="right" w:leader="dot" w:pos="9016"/>
            </w:tabs>
            <w:rPr>
              <w:noProof/>
            </w:rPr>
          </w:pPr>
          <w:hyperlink w:anchor="_Toc214875678" w:history="1">
            <w:r w:rsidRPr="007372B1">
              <w:rPr>
                <w:rStyle w:val="Hyperlink"/>
                <w:rFonts w:ascii="Arial" w:hAnsi="Arial" w:cs="Arial"/>
                <w:noProof/>
              </w:rPr>
              <w:t>3.7 International and Ethical Considerations</w:t>
            </w:r>
            <w:r>
              <w:rPr>
                <w:noProof/>
                <w:webHidden/>
              </w:rPr>
              <w:tab/>
            </w:r>
            <w:r>
              <w:rPr>
                <w:noProof/>
                <w:webHidden/>
              </w:rPr>
              <w:fldChar w:fldCharType="begin"/>
            </w:r>
            <w:r>
              <w:rPr>
                <w:noProof/>
                <w:webHidden/>
              </w:rPr>
              <w:instrText xml:space="preserve"> PAGEREF _Toc214875678 \h </w:instrText>
            </w:r>
            <w:r>
              <w:rPr>
                <w:noProof/>
                <w:webHidden/>
              </w:rPr>
            </w:r>
            <w:r>
              <w:rPr>
                <w:noProof/>
                <w:webHidden/>
              </w:rPr>
              <w:fldChar w:fldCharType="separate"/>
            </w:r>
            <w:r>
              <w:rPr>
                <w:noProof/>
                <w:webHidden/>
              </w:rPr>
              <w:t>13</w:t>
            </w:r>
            <w:r>
              <w:rPr>
                <w:noProof/>
                <w:webHidden/>
              </w:rPr>
              <w:fldChar w:fldCharType="end"/>
            </w:r>
          </w:hyperlink>
        </w:p>
        <w:p w14:paraId="521E16E9" w14:textId="2549FDC2" w:rsidR="004D6422" w:rsidRDefault="004D6422">
          <w:pPr>
            <w:pStyle w:val="TOC2"/>
            <w:tabs>
              <w:tab w:val="right" w:leader="dot" w:pos="9016"/>
            </w:tabs>
            <w:rPr>
              <w:noProof/>
            </w:rPr>
          </w:pPr>
          <w:hyperlink w:anchor="_Toc214875679" w:history="1">
            <w:r w:rsidRPr="007372B1">
              <w:rPr>
                <w:rStyle w:val="Hyperlink"/>
                <w:rFonts w:ascii="Arial" w:hAnsi="Arial" w:cs="Arial"/>
                <w:noProof/>
              </w:rPr>
              <w:t>3.8 Section Conclusion</w:t>
            </w:r>
            <w:r>
              <w:rPr>
                <w:noProof/>
                <w:webHidden/>
              </w:rPr>
              <w:tab/>
            </w:r>
            <w:r>
              <w:rPr>
                <w:noProof/>
                <w:webHidden/>
              </w:rPr>
              <w:fldChar w:fldCharType="begin"/>
            </w:r>
            <w:r>
              <w:rPr>
                <w:noProof/>
                <w:webHidden/>
              </w:rPr>
              <w:instrText xml:space="preserve"> PAGEREF _Toc214875679 \h </w:instrText>
            </w:r>
            <w:r>
              <w:rPr>
                <w:noProof/>
                <w:webHidden/>
              </w:rPr>
            </w:r>
            <w:r>
              <w:rPr>
                <w:noProof/>
                <w:webHidden/>
              </w:rPr>
              <w:fldChar w:fldCharType="separate"/>
            </w:r>
            <w:r>
              <w:rPr>
                <w:noProof/>
                <w:webHidden/>
              </w:rPr>
              <w:t>13</w:t>
            </w:r>
            <w:r>
              <w:rPr>
                <w:noProof/>
                <w:webHidden/>
              </w:rPr>
              <w:fldChar w:fldCharType="end"/>
            </w:r>
          </w:hyperlink>
        </w:p>
        <w:p w14:paraId="6761D4D7" w14:textId="57908BE5" w:rsidR="004D6422" w:rsidRDefault="004D6422">
          <w:pPr>
            <w:pStyle w:val="TOC1"/>
            <w:tabs>
              <w:tab w:val="right" w:leader="dot" w:pos="9016"/>
            </w:tabs>
            <w:rPr>
              <w:noProof/>
            </w:rPr>
          </w:pPr>
          <w:hyperlink w:anchor="_Toc214875680" w:history="1">
            <w:r w:rsidRPr="007372B1">
              <w:rPr>
                <w:rStyle w:val="Hyperlink"/>
                <w:rFonts w:ascii="Arial" w:hAnsi="Arial" w:cs="Arial"/>
                <w:noProof/>
              </w:rPr>
              <w:t>4: Investing Appraisal &amp; Capital Budgeting</w:t>
            </w:r>
            <w:r>
              <w:rPr>
                <w:noProof/>
                <w:webHidden/>
              </w:rPr>
              <w:tab/>
            </w:r>
            <w:r>
              <w:rPr>
                <w:noProof/>
                <w:webHidden/>
              </w:rPr>
              <w:fldChar w:fldCharType="begin"/>
            </w:r>
            <w:r>
              <w:rPr>
                <w:noProof/>
                <w:webHidden/>
              </w:rPr>
              <w:instrText xml:space="preserve"> PAGEREF _Toc214875680 \h </w:instrText>
            </w:r>
            <w:r>
              <w:rPr>
                <w:noProof/>
                <w:webHidden/>
              </w:rPr>
            </w:r>
            <w:r>
              <w:rPr>
                <w:noProof/>
                <w:webHidden/>
              </w:rPr>
              <w:fldChar w:fldCharType="separate"/>
            </w:r>
            <w:r>
              <w:rPr>
                <w:noProof/>
                <w:webHidden/>
              </w:rPr>
              <w:t>14</w:t>
            </w:r>
            <w:r>
              <w:rPr>
                <w:noProof/>
                <w:webHidden/>
              </w:rPr>
              <w:fldChar w:fldCharType="end"/>
            </w:r>
          </w:hyperlink>
        </w:p>
        <w:p w14:paraId="2F2F2109" w14:textId="2B9159D5" w:rsidR="004D6422" w:rsidRDefault="004D6422">
          <w:pPr>
            <w:pStyle w:val="TOC2"/>
            <w:tabs>
              <w:tab w:val="right" w:leader="dot" w:pos="9016"/>
            </w:tabs>
            <w:rPr>
              <w:noProof/>
            </w:rPr>
          </w:pPr>
          <w:hyperlink w:anchor="_Toc214875681" w:history="1">
            <w:r w:rsidRPr="007372B1">
              <w:rPr>
                <w:rStyle w:val="Hyperlink"/>
                <w:rFonts w:ascii="Arial" w:hAnsi="Arial" w:cs="Arial"/>
                <w:noProof/>
              </w:rPr>
              <w:t>4.1 Project Overview</w:t>
            </w:r>
            <w:r>
              <w:rPr>
                <w:noProof/>
                <w:webHidden/>
              </w:rPr>
              <w:tab/>
            </w:r>
            <w:r>
              <w:rPr>
                <w:noProof/>
                <w:webHidden/>
              </w:rPr>
              <w:fldChar w:fldCharType="begin"/>
            </w:r>
            <w:r>
              <w:rPr>
                <w:noProof/>
                <w:webHidden/>
              </w:rPr>
              <w:instrText xml:space="preserve"> PAGEREF _Toc214875681 \h </w:instrText>
            </w:r>
            <w:r>
              <w:rPr>
                <w:noProof/>
                <w:webHidden/>
              </w:rPr>
            </w:r>
            <w:r>
              <w:rPr>
                <w:noProof/>
                <w:webHidden/>
              </w:rPr>
              <w:fldChar w:fldCharType="separate"/>
            </w:r>
            <w:r>
              <w:rPr>
                <w:noProof/>
                <w:webHidden/>
              </w:rPr>
              <w:t>14</w:t>
            </w:r>
            <w:r>
              <w:rPr>
                <w:noProof/>
                <w:webHidden/>
              </w:rPr>
              <w:fldChar w:fldCharType="end"/>
            </w:r>
          </w:hyperlink>
        </w:p>
        <w:p w14:paraId="3E132372" w14:textId="096233EB" w:rsidR="004D6422" w:rsidRDefault="004D6422">
          <w:pPr>
            <w:pStyle w:val="TOC2"/>
            <w:tabs>
              <w:tab w:val="right" w:leader="dot" w:pos="9016"/>
            </w:tabs>
            <w:rPr>
              <w:noProof/>
            </w:rPr>
          </w:pPr>
          <w:hyperlink w:anchor="_Toc214875682" w:history="1">
            <w:r w:rsidRPr="007372B1">
              <w:rPr>
                <w:rStyle w:val="Hyperlink"/>
                <w:rFonts w:ascii="Arial" w:hAnsi="Arial" w:cs="Arial"/>
                <w:noProof/>
              </w:rPr>
              <w:t>4.2 Payback Period</w:t>
            </w:r>
            <w:r>
              <w:rPr>
                <w:noProof/>
                <w:webHidden/>
              </w:rPr>
              <w:tab/>
            </w:r>
            <w:r>
              <w:rPr>
                <w:noProof/>
                <w:webHidden/>
              </w:rPr>
              <w:fldChar w:fldCharType="begin"/>
            </w:r>
            <w:r>
              <w:rPr>
                <w:noProof/>
                <w:webHidden/>
              </w:rPr>
              <w:instrText xml:space="preserve"> PAGEREF _Toc214875682 \h </w:instrText>
            </w:r>
            <w:r>
              <w:rPr>
                <w:noProof/>
                <w:webHidden/>
              </w:rPr>
            </w:r>
            <w:r>
              <w:rPr>
                <w:noProof/>
                <w:webHidden/>
              </w:rPr>
              <w:fldChar w:fldCharType="separate"/>
            </w:r>
            <w:r>
              <w:rPr>
                <w:noProof/>
                <w:webHidden/>
              </w:rPr>
              <w:t>14</w:t>
            </w:r>
            <w:r>
              <w:rPr>
                <w:noProof/>
                <w:webHidden/>
              </w:rPr>
              <w:fldChar w:fldCharType="end"/>
            </w:r>
          </w:hyperlink>
        </w:p>
        <w:p w14:paraId="7F43A9B2" w14:textId="0254C309" w:rsidR="004D6422" w:rsidRDefault="004D6422">
          <w:pPr>
            <w:pStyle w:val="TOC2"/>
            <w:tabs>
              <w:tab w:val="right" w:leader="dot" w:pos="9016"/>
            </w:tabs>
            <w:rPr>
              <w:noProof/>
            </w:rPr>
          </w:pPr>
          <w:hyperlink w:anchor="_Toc214875683" w:history="1">
            <w:r w:rsidRPr="007372B1">
              <w:rPr>
                <w:rStyle w:val="Hyperlink"/>
                <w:rFonts w:ascii="Arial" w:hAnsi="Arial" w:cs="Arial"/>
                <w:noProof/>
              </w:rPr>
              <w:t>4.3 Accounting Rate of Return (ARR)</w:t>
            </w:r>
            <w:r>
              <w:rPr>
                <w:noProof/>
                <w:webHidden/>
              </w:rPr>
              <w:tab/>
            </w:r>
            <w:r>
              <w:rPr>
                <w:noProof/>
                <w:webHidden/>
              </w:rPr>
              <w:fldChar w:fldCharType="begin"/>
            </w:r>
            <w:r>
              <w:rPr>
                <w:noProof/>
                <w:webHidden/>
              </w:rPr>
              <w:instrText xml:space="preserve"> PAGEREF _Toc214875683 \h </w:instrText>
            </w:r>
            <w:r>
              <w:rPr>
                <w:noProof/>
                <w:webHidden/>
              </w:rPr>
            </w:r>
            <w:r>
              <w:rPr>
                <w:noProof/>
                <w:webHidden/>
              </w:rPr>
              <w:fldChar w:fldCharType="separate"/>
            </w:r>
            <w:r>
              <w:rPr>
                <w:noProof/>
                <w:webHidden/>
              </w:rPr>
              <w:t>15</w:t>
            </w:r>
            <w:r>
              <w:rPr>
                <w:noProof/>
                <w:webHidden/>
              </w:rPr>
              <w:fldChar w:fldCharType="end"/>
            </w:r>
          </w:hyperlink>
        </w:p>
        <w:p w14:paraId="61D21756" w14:textId="6D1DDAA3" w:rsidR="004D6422" w:rsidRDefault="004D6422">
          <w:pPr>
            <w:pStyle w:val="TOC2"/>
            <w:tabs>
              <w:tab w:val="right" w:leader="dot" w:pos="9016"/>
            </w:tabs>
            <w:rPr>
              <w:noProof/>
            </w:rPr>
          </w:pPr>
          <w:hyperlink w:anchor="_Toc214875684" w:history="1">
            <w:r w:rsidRPr="007372B1">
              <w:rPr>
                <w:rStyle w:val="Hyperlink"/>
                <w:rFonts w:ascii="Arial" w:hAnsi="Arial" w:cs="Arial"/>
                <w:noProof/>
              </w:rPr>
              <w:t>4.4 Net Present Value (NPV)</w:t>
            </w:r>
            <w:r>
              <w:rPr>
                <w:noProof/>
                <w:webHidden/>
              </w:rPr>
              <w:tab/>
            </w:r>
            <w:r>
              <w:rPr>
                <w:noProof/>
                <w:webHidden/>
              </w:rPr>
              <w:fldChar w:fldCharType="begin"/>
            </w:r>
            <w:r>
              <w:rPr>
                <w:noProof/>
                <w:webHidden/>
              </w:rPr>
              <w:instrText xml:space="preserve"> PAGEREF _Toc214875684 \h </w:instrText>
            </w:r>
            <w:r>
              <w:rPr>
                <w:noProof/>
                <w:webHidden/>
              </w:rPr>
            </w:r>
            <w:r>
              <w:rPr>
                <w:noProof/>
                <w:webHidden/>
              </w:rPr>
              <w:fldChar w:fldCharType="separate"/>
            </w:r>
            <w:r>
              <w:rPr>
                <w:noProof/>
                <w:webHidden/>
              </w:rPr>
              <w:t>15</w:t>
            </w:r>
            <w:r>
              <w:rPr>
                <w:noProof/>
                <w:webHidden/>
              </w:rPr>
              <w:fldChar w:fldCharType="end"/>
            </w:r>
          </w:hyperlink>
        </w:p>
        <w:p w14:paraId="53D619E1" w14:textId="604148C8" w:rsidR="004D6422" w:rsidRDefault="004D6422">
          <w:pPr>
            <w:pStyle w:val="TOC2"/>
            <w:tabs>
              <w:tab w:val="right" w:leader="dot" w:pos="9016"/>
            </w:tabs>
            <w:rPr>
              <w:noProof/>
            </w:rPr>
          </w:pPr>
          <w:hyperlink w:anchor="_Toc214875685" w:history="1">
            <w:r w:rsidRPr="007372B1">
              <w:rPr>
                <w:rStyle w:val="Hyperlink"/>
                <w:rFonts w:ascii="Arial" w:hAnsi="Arial" w:cs="Arial"/>
                <w:noProof/>
              </w:rPr>
              <w:t>4.5 Profitability Index (PI)</w:t>
            </w:r>
            <w:r>
              <w:rPr>
                <w:noProof/>
                <w:webHidden/>
              </w:rPr>
              <w:tab/>
            </w:r>
            <w:r>
              <w:rPr>
                <w:noProof/>
                <w:webHidden/>
              </w:rPr>
              <w:fldChar w:fldCharType="begin"/>
            </w:r>
            <w:r>
              <w:rPr>
                <w:noProof/>
                <w:webHidden/>
              </w:rPr>
              <w:instrText xml:space="preserve"> PAGEREF _Toc214875685 \h </w:instrText>
            </w:r>
            <w:r>
              <w:rPr>
                <w:noProof/>
                <w:webHidden/>
              </w:rPr>
            </w:r>
            <w:r>
              <w:rPr>
                <w:noProof/>
                <w:webHidden/>
              </w:rPr>
              <w:fldChar w:fldCharType="separate"/>
            </w:r>
            <w:r>
              <w:rPr>
                <w:noProof/>
                <w:webHidden/>
              </w:rPr>
              <w:t>15</w:t>
            </w:r>
            <w:r>
              <w:rPr>
                <w:noProof/>
                <w:webHidden/>
              </w:rPr>
              <w:fldChar w:fldCharType="end"/>
            </w:r>
          </w:hyperlink>
        </w:p>
        <w:p w14:paraId="57ABAC32" w14:textId="5406F781" w:rsidR="004D6422" w:rsidRDefault="004D6422">
          <w:pPr>
            <w:pStyle w:val="TOC2"/>
            <w:tabs>
              <w:tab w:val="right" w:leader="dot" w:pos="9016"/>
            </w:tabs>
            <w:rPr>
              <w:noProof/>
            </w:rPr>
          </w:pPr>
          <w:hyperlink w:anchor="_Toc214875686" w:history="1">
            <w:r w:rsidRPr="007372B1">
              <w:rPr>
                <w:rStyle w:val="Hyperlink"/>
                <w:rFonts w:ascii="Arial" w:hAnsi="Arial" w:cs="Arial"/>
                <w:noProof/>
              </w:rPr>
              <w:t>4.6 Internal Rate of Return (IRR)</w:t>
            </w:r>
            <w:r>
              <w:rPr>
                <w:noProof/>
                <w:webHidden/>
              </w:rPr>
              <w:tab/>
            </w:r>
            <w:r>
              <w:rPr>
                <w:noProof/>
                <w:webHidden/>
              </w:rPr>
              <w:fldChar w:fldCharType="begin"/>
            </w:r>
            <w:r>
              <w:rPr>
                <w:noProof/>
                <w:webHidden/>
              </w:rPr>
              <w:instrText xml:space="preserve"> PAGEREF _Toc214875686 \h </w:instrText>
            </w:r>
            <w:r>
              <w:rPr>
                <w:noProof/>
                <w:webHidden/>
              </w:rPr>
            </w:r>
            <w:r>
              <w:rPr>
                <w:noProof/>
                <w:webHidden/>
              </w:rPr>
              <w:fldChar w:fldCharType="separate"/>
            </w:r>
            <w:r>
              <w:rPr>
                <w:noProof/>
                <w:webHidden/>
              </w:rPr>
              <w:t>16</w:t>
            </w:r>
            <w:r>
              <w:rPr>
                <w:noProof/>
                <w:webHidden/>
              </w:rPr>
              <w:fldChar w:fldCharType="end"/>
            </w:r>
          </w:hyperlink>
        </w:p>
        <w:p w14:paraId="6FF9E3BC" w14:textId="243487EB" w:rsidR="004D6422" w:rsidRDefault="004D6422">
          <w:pPr>
            <w:pStyle w:val="TOC2"/>
            <w:tabs>
              <w:tab w:val="right" w:leader="dot" w:pos="9016"/>
            </w:tabs>
            <w:rPr>
              <w:noProof/>
            </w:rPr>
          </w:pPr>
          <w:hyperlink w:anchor="_Toc214875687" w:history="1">
            <w:r w:rsidRPr="007372B1">
              <w:rPr>
                <w:rStyle w:val="Hyperlink"/>
                <w:rFonts w:ascii="Arial" w:hAnsi="Arial" w:cs="Arial"/>
                <w:noProof/>
              </w:rPr>
              <w:t>4.7 Risk and Cash Flow Volatility</w:t>
            </w:r>
            <w:r>
              <w:rPr>
                <w:noProof/>
                <w:webHidden/>
              </w:rPr>
              <w:tab/>
            </w:r>
            <w:r>
              <w:rPr>
                <w:noProof/>
                <w:webHidden/>
              </w:rPr>
              <w:fldChar w:fldCharType="begin"/>
            </w:r>
            <w:r>
              <w:rPr>
                <w:noProof/>
                <w:webHidden/>
              </w:rPr>
              <w:instrText xml:space="preserve"> PAGEREF _Toc214875687 \h </w:instrText>
            </w:r>
            <w:r>
              <w:rPr>
                <w:noProof/>
                <w:webHidden/>
              </w:rPr>
            </w:r>
            <w:r>
              <w:rPr>
                <w:noProof/>
                <w:webHidden/>
              </w:rPr>
              <w:fldChar w:fldCharType="separate"/>
            </w:r>
            <w:r>
              <w:rPr>
                <w:noProof/>
                <w:webHidden/>
              </w:rPr>
              <w:t>16</w:t>
            </w:r>
            <w:r>
              <w:rPr>
                <w:noProof/>
                <w:webHidden/>
              </w:rPr>
              <w:fldChar w:fldCharType="end"/>
            </w:r>
          </w:hyperlink>
        </w:p>
        <w:p w14:paraId="60A2A0E0" w14:textId="077F28E5" w:rsidR="004D6422" w:rsidRDefault="004D6422">
          <w:pPr>
            <w:pStyle w:val="TOC2"/>
            <w:tabs>
              <w:tab w:val="right" w:leader="dot" w:pos="9016"/>
            </w:tabs>
            <w:rPr>
              <w:noProof/>
            </w:rPr>
          </w:pPr>
          <w:hyperlink w:anchor="_Toc214875688" w:history="1">
            <w:r w:rsidRPr="007372B1">
              <w:rPr>
                <w:rStyle w:val="Hyperlink"/>
                <w:rFonts w:ascii="Arial" w:hAnsi="Arial" w:cs="Arial"/>
                <w:noProof/>
              </w:rPr>
              <w:t>4.8 Strategic Fit with Financial Condition</w:t>
            </w:r>
            <w:r>
              <w:rPr>
                <w:noProof/>
                <w:webHidden/>
              </w:rPr>
              <w:tab/>
            </w:r>
            <w:r>
              <w:rPr>
                <w:noProof/>
                <w:webHidden/>
              </w:rPr>
              <w:fldChar w:fldCharType="begin"/>
            </w:r>
            <w:r>
              <w:rPr>
                <w:noProof/>
                <w:webHidden/>
              </w:rPr>
              <w:instrText xml:space="preserve"> PAGEREF _Toc214875688 \h </w:instrText>
            </w:r>
            <w:r>
              <w:rPr>
                <w:noProof/>
                <w:webHidden/>
              </w:rPr>
            </w:r>
            <w:r>
              <w:rPr>
                <w:noProof/>
                <w:webHidden/>
              </w:rPr>
              <w:fldChar w:fldCharType="separate"/>
            </w:r>
            <w:r>
              <w:rPr>
                <w:noProof/>
                <w:webHidden/>
              </w:rPr>
              <w:t>16</w:t>
            </w:r>
            <w:r>
              <w:rPr>
                <w:noProof/>
                <w:webHidden/>
              </w:rPr>
              <w:fldChar w:fldCharType="end"/>
            </w:r>
          </w:hyperlink>
        </w:p>
        <w:p w14:paraId="5A029BB2" w14:textId="1053F7C1" w:rsidR="004D6422" w:rsidRDefault="004D6422">
          <w:pPr>
            <w:pStyle w:val="TOC2"/>
            <w:tabs>
              <w:tab w:val="right" w:leader="dot" w:pos="9016"/>
            </w:tabs>
            <w:rPr>
              <w:noProof/>
            </w:rPr>
          </w:pPr>
          <w:hyperlink w:anchor="_Toc214875689" w:history="1">
            <w:r w:rsidRPr="007372B1">
              <w:rPr>
                <w:rStyle w:val="Hyperlink"/>
                <w:rFonts w:ascii="Arial" w:hAnsi="Arial" w:cs="Arial"/>
                <w:noProof/>
              </w:rPr>
              <w:t>4.9 Capital Rationing Decision</w:t>
            </w:r>
            <w:r>
              <w:rPr>
                <w:noProof/>
                <w:webHidden/>
              </w:rPr>
              <w:tab/>
            </w:r>
            <w:r>
              <w:rPr>
                <w:noProof/>
                <w:webHidden/>
              </w:rPr>
              <w:fldChar w:fldCharType="begin"/>
            </w:r>
            <w:r>
              <w:rPr>
                <w:noProof/>
                <w:webHidden/>
              </w:rPr>
              <w:instrText xml:space="preserve"> PAGEREF _Toc214875689 \h </w:instrText>
            </w:r>
            <w:r>
              <w:rPr>
                <w:noProof/>
                <w:webHidden/>
              </w:rPr>
            </w:r>
            <w:r>
              <w:rPr>
                <w:noProof/>
                <w:webHidden/>
              </w:rPr>
              <w:fldChar w:fldCharType="separate"/>
            </w:r>
            <w:r>
              <w:rPr>
                <w:noProof/>
                <w:webHidden/>
              </w:rPr>
              <w:t>17</w:t>
            </w:r>
            <w:r>
              <w:rPr>
                <w:noProof/>
                <w:webHidden/>
              </w:rPr>
              <w:fldChar w:fldCharType="end"/>
            </w:r>
          </w:hyperlink>
        </w:p>
        <w:p w14:paraId="311BF234" w14:textId="40A27354" w:rsidR="004D6422" w:rsidRDefault="004D6422">
          <w:pPr>
            <w:pStyle w:val="TOC2"/>
            <w:tabs>
              <w:tab w:val="right" w:leader="dot" w:pos="9016"/>
            </w:tabs>
            <w:rPr>
              <w:noProof/>
            </w:rPr>
          </w:pPr>
          <w:hyperlink w:anchor="_Toc214875690" w:history="1">
            <w:r w:rsidRPr="007372B1">
              <w:rPr>
                <w:rStyle w:val="Hyperlink"/>
                <w:rFonts w:ascii="Arial" w:hAnsi="Arial" w:cs="Arial"/>
                <w:noProof/>
              </w:rPr>
              <w:t>4.10 Section Conclusion</w:t>
            </w:r>
            <w:r>
              <w:rPr>
                <w:noProof/>
                <w:webHidden/>
              </w:rPr>
              <w:tab/>
            </w:r>
            <w:r>
              <w:rPr>
                <w:noProof/>
                <w:webHidden/>
              </w:rPr>
              <w:fldChar w:fldCharType="begin"/>
            </w:r>
            <w:r>
              <w:rPr>
                <w:noProof/>
                <w:webHidden/>
              </w:rPr>
              <w:instrText xml:space="preserve"> PAGEREF _Toc214875690 \h </w:instrText>
            </w:r>
            <w:r>
              <w:rPr>
                <w:noProof/>
                <w:webHidden/>
              </w:rPr>
            </w:r>
            <w:r>
              <w:rPr>
                <w:noProof/>
                <w:webHidden/>
              </w:rPr>
              <w:fldChar w:fldCharType="separate"/>
            </w:r>
            <w:r>
              <w:rPr>
                <w:noProof/>
                <w:webHidden/>
              </w:rPr>
              <w:t>17</w:t>
            </w:r>
            <w:r>
              <w:rPr>
                <w:noProof/>
                <w:webHidden/>
              </w:rPr>
              <w:fldChar w:fldCharType="end"/>
            </w:r>
          </w:hyperlink>
        </w:p>
        <w:p w14:paraId="18277602" w14:textId="33B3B1E8" w:rsidR="004D6422" w:rsidRDefault="004D6422">
          <w:pPr>
            <w:pStyle w:val="TOC1"/>
            <w:tabs>
              <w:tab w:val="right" w:leader="dot" w:pos="9016"/>
            </w:tabs>
            <w:rPr>
              <w:noProof/>
            </w:rPr>
          </w:pPr>
          <w:hyperlink w:anchor="_Toc214875691" w:history="1">
            <w:r w:rsidRPr="007372B1">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_Toc214875691 \h </w:instrText>
            </w:r>
            <w:r>
              <w:rPr>
                <w:noProof/>
                <w:webHidden/>
              </w:rPr>
            </w:r>
            <w:r>
              <w:rPr>
                <w:noProof/>
                <w:webHidden/>
              </w:rPr>
              <w:fldChar w:fldCharType="separate"/>
            </w:r>
            <w:r>
              <w:rPr>
                <w:noProof/>
                <w:webHidden/>
              </w:rPr>
              <w:t>18</w:t>
            </w:r>
            <w:r>
              <w:rPr>
                <w:noProof/>
                <w:webHidden/>
              </w:rPr>
              <w:fldChar w:fldCharType="end"/>
            </w:r>
          </w:hyperlink>
        </w:p>
        <w:p w14:paraId="3CE6D849" w14:textId="598CE45C" w:rsidR="004D6422" w:rsidRDefault="004D6422">
          <w:pPr>
            <w:pStyle w:val="TOC1"/>
            <w:tabs>
              <w:tab w:val="right" w:leader="dot" w:pos="9016"/>
            </w:tabs>
            <w:rPr>
              <w:noProof/>
            </w:rPr>
          </w:pPr>
          <w:hyperlink w:anchor="_Toc214875692" w:history="1">
            <w:r w:rsidRPr="007372B1">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_Toc214875692 \h </w:instrText>
            </w:r>
            <w:r>
              <w:rPr>
                <w:noProof/>
                <w:webHidden/>
              </w:rPr>
            </w:r>
            <w:r>
              <w:rPr>
                <w:noProof/>
                <w:webHidden/>
              </w:rPr>
              <w:fldChar w:fldCharType="separate"/>
            </w:r>
            <w:r>
              <w:rPr>
                <w:noProof/>
                <w:webHidden/>
              </w:rPr>
              <w:t>20</w:t>
            </w:r>
            <w:r>
              <w:rPr>
                <w:noProof/>
                <w:webHidden/>
              </w:rPr>
              <w:fldChar w:fldCharType="end"/>
            </w:r>
          </w:hyperlink>
        </w:p>
        <w:p w14:paraId="7F042CC7" w14:textId="5B169269" w:rsidR="004D6422" w:rsidRDefault="004D6422">
          <w:pPr>
            <w:pStyle w:val="TOC1"/>
            <w:tabs>
              <w:tab w:val="right" w:leader="dot" w:pos="9016"/>
            </w:tabs>
            <w:rPr>
              <w:noProof/>
            </w:rPr>
          </w:pPr>
          <w:hyperlink w:anchor="_Toc214875693" w:history="1">
            <w:r w:rsidRPr="007372B1">
              <w:rPr>
                <w:rStyle w:val="Hyperlink"/>
                <w:rFonts w:ascii="Arial" w:hAnsi="Arial" w:cs="Arial"/>
                <w:noProof/>
              </w:rPr>
              <w:t>Appendix</w:t>
            </w:r>
            <w:r>
              <w:rPr>
                <w:noProof/>
                <w:webHidden/>
              </w:rPr>
              <w:tab/>
            </w:r>
            <w:r>
              <w:rPr>
                <w:noProof/>
                <w:webHidden/>
              </w:rPr>
              <w:fldChar w:fldCharType="begin"/>
            </w:r>
            <w:r>
              <w:rPr>
                <w:noProof/>
                <w:webHidden/>
              </w:rPr>
              <w:instrText xml:space="preserve"> PAGEREF _Toc214875693 \h </w:instrText>
            </w:r>
            <w:r>
              <w:rPr>
                <w:noProof/>
                <w:webHidden/>
              </w:rPr>
            </w:r>
            <w:r>
              <w:rPr>
                <w:noProof/>
                <w:webHidden/>
              </w:rPr>
              <w:fldChar w:fldCharType="separate"/>
            </w:r>
            <w:r>
              <w:rPr>
                <w:noProof/>
                <w:webHidden/>
              </w:rPr>
              <w:t>24</w:t>
            </w:r>
            <w:r>
              <w:rPr>
                <w:noProof/>
                <w:webHidden/>
              </w:rPr>
              <w:fldChar w:fldCharType="end"/>
            </w:r>
          </w:hyperlink>
        </w:p>
        <w:p w14:paraId="5E36BA57" w14:textId="5296914A" w:rsidR="004D6422" w:rsidRDefault="004D6422">
          <w:pPr>
            <w:pStyle w:val="TOC2"/>
            <w:tabs>
              <w:tab w:val="right" w:leader="dot" w:pos="9016"/>
            </w:tabs>
            <w:rPr>
              <w:noProof/>
            </w:rPr>
          </w:pPr>
          <w:hyperlink w:anchor="_Toc214875694" w:history="1">
            <w:r w:rsidRPr="007372B1">
              <w:rPr>
                <w:rStyle w:val="Hyperlink"/>
                <w:rFonts w:ascii="Arial" w:hAnsi="Arial" w:cs="Arial"/>
                <w:noProof/>
              </w:rPr>
              <w:t>Appendix A: Financial Ratio Analysis</w:t>
            </w:r>
            <w:r>
              <w:rPr>
                <w:noProof/>
                <w:webHidden/>
              </w:rPr>
              <w:tab/>
            </w:r>
            <w:r>
              <w:rPr>
                <w:noProof/>
                <w:webHidden/>
              </w:rPr>
              <w:fldChar w:fldCharType="begin"/>
            </w:r>
            <w:r>
              <w:rPr>
                <w:noProof/>
                <w:webHidden/>
              </w:rPr>
              <w:instrText xml:space="preserve"> PAGEREF _Toc214875694 \h </w:instrText>
            </w:r>
            <w:r>
              <w:rPr>
                <w:noProof/>
                <w:webHidden/>
              </w:rPr>
            </w:r>
            <w:r>
              <w:rPr>
                <w:noProof/>
                <w:webHidden/>
              </w:rPr>
              <w:fldChar w:fldCharType="separate"/>
            </w:r>
            <w:r>
              <w:rPr>
                <w:noProof/>
                <w:webHidden/>
              </w:rPr>
              <w:t>24</w:t>
            </w:r>
            <w:r>
              <w:rPr>
                <w:noProof/>
                <w:webHidden/>
              </w:rPr>
              <w:fldChar w:fldCharType="end"/>
            </w:r>
          </w:hyperlink>
        </w:p>
        <w:p w14:paraId="749772BF" w14:textId="3482888E" w:rsidR="004D6422" w:rsidRDefault="004D6422">
          <w:pPr>
            <w:pStyle w:val="TOC2"/>
            <w:tabs>
              <w:tab w:val="right" w:leader="dot" w:pos="9016"/>
            </w:tabs>
            <w:rPr>
              <w:noProof/>
            </w:rPr>
          </w:pPr>
          <w:hyperlink w:anchor="_Toc214875695" w:history="1">
            <w:r w:rsidRPr="007372B1">
              <w:rPr>
                <w:rStyle w:val="Hyperlink"/>
                <w:rFonts w:ascii="Arial" w:hAnsi="Arial" w:cs="Arial"/>
                <w:noProof/>
              </w:rPr>
              <w:t>Appendix B: Cash Flow Trend</w:t>
            </w:r>
            <w:r>
              <w:rPr>
                <w:noProof/>
                <w:webHidden/>
              </w:rPr>
              <w:tab/>
            </w:r>
            <w:r>
              <w:rPr>
                <w:noProof/>
                <w:webHidden/>
              </w:rPr>
              <w:fldChar w:fldCharType="begin"/>
            </w:r>
            <w:r>
              <w:rPr>
                <w:noProof/>
                <w:webHidden/>
              </w:rPr>
              <w:instrText xml:space="preserve"> PAGEREF _Toc214875695 \h </w:instrText>
            </w:r>
            <w:r>
              <w:rPr>
                <w:noProof/>
                <w:webHidden/>
              </w:rPr>
            </w:r>
            <w:r>
              <w:rPr>
                <w:noProof/>
                <w:webHidden/>
              </w:rPr>
              <w:fldChar w:fldCharType="separate"/>
            </w:r>
            <w:r>
              <w:rPr>
                <w:noProof/>
                <w:webHidden/>
              </w:rPr>
              <w:t>26</w:t>
            </w:r>
            <w:r>
              <w:rPr>
                <w:noProof/>
                <w:webHidden/>
              </w:rPr>
              <w:fldChar w:fldCharType="end"/>
            </w:r>
          </w:hyperlink>
        </w:p>
        <w:p w14:paraId="7119ECBD" w14:textId="1853AC03" w:rsidR="004D6422" w:rsidRDefault="004D6422">
          <w:pPr>
            <w:pStyle w:val="TOC2"/>
            <w:tabs>
              <w:tab w:val="right" w:leader="dot" w:pos="9016"/>
            </w:tabs>
            <w:rPr>
              <w:noProof/>
            </w:rPr>
          </w:pPr>
          <w:hyperlink w:anchor="_Toc214875696" w:history="1">
            <w:r w:rsidRPr="007372B1">
              <w:rPr>
                <w:rStyle w:val="Hyperlink"/>
                <w:rFonts w:ascii="Arial" w:hAnsi="Arial" w:cs="Arial"/>
                <w:noProof/>
              </w:rPr>
              <w:t>Appendix C: Altman Z-Score (2024)</w:t>
            </w:r>
            <w:r>
              <w:rPr>
                <w:noProof/>
                <w:webHidden/>
              </w:rPr>
              <w:tab/>
            </w:r>
            <w:r>
              <w:rPr>
                <w:noProof/>
                <w:webHidden/>
              </w:rPr>
              <w:fldChar w:fldCharType="begin"/>
            </w:r>
            <w:r>
              <w:rPr>
                <w:noProof/>
                <w:webHidden/>
              </w:rPr>
              <w:instrText xml:space="preserve"> PAGEREF _Toc214875696 \h </w:instrText>
            </w:r>
            <w:r>
              <w:rPr>
                <w:noProof/>
                <w:webHidden/>
              </w:rPr>
            </w:r>
            <w:r>
              <w:rPr>
                <w:noProof/>
                <w:webHidden/>
              </w:rPr>
              <w:fldChar w:fldCharType="separate"/>
            </w:r>
            <w:r>
              <w:rPr>
                <w:noProof/>
                <w:webHidden/>
              </w:rPr>
              <w:t>26</w:t>
            </w:r>
            <w:r>
              <w:rPr>
                <w:noProof/>
                <w:webHidden/>
              </w:rPr>
              <w:fldChar w:fldCharType="end"/>
            </w:r>
          </w:hyperlink>
        </w:p>
        <w:p w14:paraId="0A9C0979" w14:textId="1AADB323" w:rsidR="004D6422" w:rsidRDefault="004D6422">
          <w:pPr>
            <w:pStyle w:val="TOC2"/>
            <w:tabs>
              <w:tab w:val="right" w:leader="dot" w:pos="9016"/>
            </w:tabs>
            <w:rPr>
              <w:noProof/>
            </w:rPr>
          </w:pPr>
          <w:hyperlink w:anchor="_Toc214875697" w:history="1">
            <w:r w:rsidRPr="007372B1">
              <w:rPr>
                <w:rStyle w:val="Hyperlink"/>
                <w:rFonts w:ascii="Arial" w:hAnsi="Arial" w:cs="Arial"/>
                <w:noProof/>
              </w:rPr>
              <w:t>Appendix D: Investment Appraisal Calculations</w:t>
            </w:r>
            <w:r>
              <w:rPr>
                <w:noProof/>
                <w:webHidden/>
              </w:rPr>
              <w:tab/>
            </w:r>
            <w:r>
              <w:rPr>
                <w:noProof/>
                <w:webHidden/>
              </w:rPr>
              <w:fldChar w:fldCharType="begin"/>
            </w:r>
            <w:r>
              <w:rPr>
                <w:noProof/>
                <w:webHidden/>
              </w:rPr>
              <w:instrText xml:space="preserve"> PAGEREF _Toc214875697 \h </w:instrText>
            </w:r>
            <w:r>
              <w:rPr>
                <w:noProof/>
                <w:webHidden/>
              </w:rPr>
            </w:r>
            <w:r>
              <w:rPr>
                <w:noProof/>
                <w:webHidden/>
              </w:rPr>
              <w:fldChar w:fldCharType="separate"/>
            </w:r>
            <w:r>
              <w:rPr>
                <w:noProof/>
                <w:webHidden/>
              </w:rPr>
              <w:t>26</w:t>
            </w:r>
            <w:r>
              <w:rPr>
                <w:noProof/>
                <w:webHidden/>
              </w:rPr>
              <w:fldChar w:fldCharType="end"/>
            </w:r>
          </w:hyperlink>
        </w:p>
        <w:p w14:paraId="5CC7868D" w14:textId="14BE0A6D" w:rsidR="004D6422" w:rsidRDefault="004D6422">
          <w:r>
            <w:rPr>
              <w:b/>
              <w:bCs/>
              <w:noProof/>
            </w:rPr>
            <w:fldChar w:fldCharType="end"/>
          </w:r>
        </w:p>
      </w:sdtContent>
    </w:sdt>
    <w:p w14:paraId="39580A9E" w14:textId="77777777" w:rsidR="00EF50DF" w:rsidRPr="004D6422" w:rsidRDefault="00EF50DF" w:rsidP="004D6422">
      <w:pPr>
        <w:spacing w:line="360" w:lineRule="auto"/>
        <w:rPr>
          <w:rFonts w:ascii="Arial" w:hAnsi="Arial" w:cs="Arial"/>
        </w:rPr>
      </w:pPr>
    </w:p>
    <w:p w14:paraId="0F55D1A3" w14:textId="77777777" w:rsidR="00EF50DF" w:rsidRPr="004D6422" w:rsidRDefault="00EF50DF" w:rsidP="004D6422">
      <w:pPr>
        <w:spacing w:line="360" w:lineRule="auto"/>
        <w:rPr>
          <w:rFonts w:ascii="Arial" w:hAnsi="Arial" w:cs="Arial"/>
        </w:rPr>
      </w:pPr>
    </w:p>
    <w:p w14:paraId="46047B94" w14:textId="77777777" w:rsidR="004D6422" w:rsidRDefault="004D6422" w:rsidP="004D6422">
      <w:pPr>
        <w:pStyle w:val="Heading1"/>
        <w:spacing w:line="360" w:lineRule="auto"/>
        <w:rPr>
          <w:rFonts w:ascii="Arial" w:hAnsi="Arial" w:cs="Arial"/>
          <w:sz w:val="32"/>
          <w:szCs w:val="32"/>
        </w:rPr>
      </w:pPr>
      <w:bookmarkStart w:id="0" w:name="_Toc214875653"/>
    </w:p>
    <w:p w14:paraId="38381E9A" w14:textId="77777777" w:rsidR="004D6422" w:rsidRDefault="004D6422" w:rsidP="004D6422">
      <w:pPr>
        <w:pStyle w:val="Heading1"/>
        <w:spacing w:line="360" w:lineRule="auto"/>
        <w:rPr>
          <w:rFonts w:ascii="Arial" w:hAnsi="Arial" w:cs="Arial"/>
          <w:sz w:val="32"/>
          <w:szCs w:val="32"/>
        </w:rPr>
      </w:pPr>
    </w:p>
    <w:p w14:paraId="3DEF7679" w14:textId="77777777" w:rsidR="004D6422" w:rsidRDefault="004D6422" w:rsidP="004D6422">
      <w:pPr>
        <w:pStyle w:val="Heading1"/>
        <w:spacing w:line="360" w:lineRule="auto"/>
        <w:rPr>
          <w:rFonts w:ascii="Arial" w:hAnsi="Arial" w:cs="Arial"/>
          <w:sz w:val="32"/>
          <w:szCs w:val="32"/>
        </w:rPr>
      </w:pPr>
    </w:p>
    <w:p w14:paraId="1B850C62" w14:textId="77777777" w:rsidR="004D6422" w:rsidRDefault="004D6422" w:rsidP="004D6422">
      <w:pPr>
        <w:pStyle w:val="Heading1"/>
        <w:spacing w:line="360" w:lineRule="auto"/>
        <w:rPr>
          <w:rFonts w:ascii="Arial" w:hAnsi="Arial" w:cs="Arial"/>
          <w:sz w:val="32"/>
          <w:szCs w:val="32"/>
        </w:rPr>
      </w:pPr>
    </w:p>
    <w:p w14:paraId="51C748BE" w14:textId="77777777" w:rsidR="004D6422" w:rsidRDefault="004D6422" w:rsidP="004D6422"/>
    <w:p w14:paraId="299D3AB7" w14:textId="77777777" w:rsidR="004D6422" w:rsidRDefault="004D6422" w:rsidP="004D6422"/>
    <w:p w14:paraId="793AD545" w14:textId="77777777" w:rsidR="004D6422" w:rsidRPr="004D6422" w:rsidRDefault="004D6422" w:rsidP="004D6422"/>
    <w:p w14:paraId="137C279A" w14:textId="39876D9E" w:rsidR="00EF50DF" w:rsidRPr="004D6422" w:rsidRDefault="00EF50DF" w:rsidP="004D6422">
      <w:pPr>
        <w:pStyle w:val="Heading1"/>
        <w:spacing w:line="360" w:lineRule="auto"/>
        <w:rPr>
          <w:rFonts w:ascii="Arial" w:hAnsi="Arial" w:cs="Arial"/>
          <w:sz w:val="32"/>
          <w:szCs w:val="32"/>
        </w:rPr>
      </w:pPr>
      <w:r w:rsidRPr="004D6422">
        <w:rPr>
          <w:rFonts w:ascii="Arial" w:hAnsi="Arial" w:cs="Arial"/>
          <w:sz w:val="32"/>
          <w:szCs w:val="32"/>
        </w:rPr>
        <w:lastRenderedPageBreak/>
        <w:t>I</w:t>
      </w:r>
      <w:r w:rsidR="004D6422" w:rsidRPr="004D6422">
        <w:rPr>
          <w:rFonts w:ascii="Arial" w:hAnsi="Arial" w:cs="Arial"/>
          <w:sz w:val="32"/>
          <w:szCs w:val="32"/>
        </w:rPr>
        <w:t>ntroduction</w:t>
      </w:r>
      <w:bookmarkEnd w:id="0"/>
    </w:p>
    <w:p w14:paraId="53FD55A4" w14:textId="4F95C455" w:rsidR="00EF50DF" w:rsidRPr="004D6422" w:rsidRDefault="00EF50DF" w:rsidP="004D6422">
      <w:pPr>
        <w:spacing w:line="360" w:lineRule="auto"/>
        <w:rPr>
          <w:rFonts w:ascii="Arial" w:hAnsi="Arial" w:cs="Arial"/>
        </w:rPr>
      </w:pPr>
      <w:r w:rsidRPr="004D6422">
        <w:rPr>
          <w:rFonts w:ascii="Arial" w:hAnsi="Arial" w:cs="Arial"/>
        </w:rPr>
        <w:t>General Electronics is a global consumer electronics firm that has entered a period of severe financial decline over the last five years. The organisation has experienced falling revenues, operating losses, weakening liquidity, and a significant deterioration in shareholder value. As the newly appointed Chief Financial Officer, the objective is to assess the company’s financial position, diagnose the root causes of distress, and propose a financially viable turnaround strategy grounded in evidence. This requires both a retrospective assessment of performance and a forward-looking evaluation of investment choices, capital structure, and working capital efficiency.</w:t>
      </w:r>
    </w:p>
    <w:p w14:paraId="3E7C61A0" w14:textId="78C59944" w:rsidR="00EF50DF" w:rsidRPr="004D6422" w:rsidRDefault="00EF50DF" w:rsidP="004D6422">
      <w:pPr>
        <w:spacing w:line="360" w:lineRule="auto"/>
        <w:rPr>
          <w:rFonts w:ascii="Arial" w:hAnsi="Arial" w:cs="Arial"/>
        </w:rPr>
      </w:pPr>
      <w:r w:rsidRPr="004D6422">
        <w:rPr>
          <w:rFonts w:ascii="Arial" w:hAnsi="Arial" w:cs="Arial"/>
        </w:rPr>
        <w:t>The external environment has intensified the firm’s challenges. High interest-rate conditions and tightening financial markets have increased the cost of borrowing and placed pressure on leveraged firms (IMF, 2023). Volatile global demand and macroeconomic uncertainty have constrained investment appetite and weakened profitability across the sector (World Bank, 2023). At the same time, corporate governance and responsible business conduct have become central expectations for multinational enterprises, increasing scrutiny on financial decision-making (OECD, 2023; OECD, 2024c).</w:t>
      </w:r>
    </w:p>
    <w:p w14:paraId="4BFF01C1" w14:textId="44BA03A0" w:rsidR="00EF50DF" w:rsidRPr="004D6422" w:rsidRDefault="00EF50DF" w:rsidP="004D6422">
      <w:pPr>
        <w:spacing w:line="360" w:lineRule="auto"/>
        <w:rPr>
          <w:rFonts w:ascii="Arial" w:hAnsi="Arial" w:cs="Arial"/>
        </w:rPr>
      </w:pPr>
      <w:r w:rsidRPr="004D6422">
        <w:rPr>
          <w:rFonts w:ascii="Arial" w:hAnsi="Arial" w:cs="Arial"/>
        </w:rPr>
        <w:t>In this context, financial management plays a critical role in organisational survival. Research shows that declining profitability, weakening cash flow, and excessive leverage are leading predictors of corporate failure (Beaver, 1966; Altman, 1968). Rising financial distress not only threatens operational continuity but also destroys shareholder value and reduces access to capital (Wruck, 1990). Therefore, a comprehensive financial evaluation is required to determine the firm’s solvency, liquidity, and long-term viability.</w:t>
      </w:r>
    </w:p>
    <w:p w14:paraId="5B5153A5" w14:textId="09E04812" w:rsidR="00EF50DF" w:rsidRPr="004D6422" w:rsidRDefault="00EF50DF" w:rsidP="004D6422">
      <w:pPr>
        <w:spacing w:line="360" w:lineRule="auto"/>
        <w:rPr>
          <w:rFonts w:ascii="Arial" w:hAnsi="Arial" w:cs="Arial"/>
        </w:rPr>
      </w:pPr>
      <w:r w:rsidRPr="004D6422">
        <w:rPr>
          <w:rFonts w:ascii="Arial" w:hAnsi="Arial" w:cs="Arial"/>
        </w:rPr>
        <w:t>This report addresses four core areas aligned with the responsibilities of a strategic CFO. First, it conducts a five-year financial health assessment using ratio analysis and corporate failure prediction models. Second, it evaluates working capital efficiency and liquidity management. Third, it proposes a restructuring strategy aimed at restoring financial stability, improving the capital structure, and supporting ethical and internationally compliant operations. Finally, it assesses three proposed investment projects using recognised capital budgeting techniques, supporting a recommendation under capital rationing constraints.</w:t>
      </w:r>
    </w:p>
    <w:p w14:paraId="7860284C" w14:textId="77777777" w:rsidR="004D6422" w:rsidRPr="004D6422" w:rsidRDefault="00EF50DF" w:rsidP="004D6422">
      <w:pPr>
        <w:spacing w:line="360" w:lineRule="auto"/>
        <w:rPr>
          <w:rFonts w:ascii="Arial" w:hAnsi="Arial" w:cs="Arial"/>
        </w:rPr>
      </w:pPr>
      <w:r w:rsidRPr="004D6422">
        <w:rPr>
          <w:rFonts w:ascii="Arial" w:hAnsi="Arial" w:cs="Arial"/>
        </w:rPr>
        <w:lastRenderedPageBreak/>
        <w:t>By integrating financial evidence, established theoretical frameworks, and contemporary research, this analysis aims to provide a structured and defensible roadmap for restoring financial performance and supporting long-term value creation.</w:t>
      </w:r>
    </w:p>
    <w:p w14:paraId="4CFEF3D5" w14:textId="276409DC" w:rsidR="00EF50DF" w:rsidRPr="00C24F7E" w:rsidRDefault="004D6422" w:rsidP="00C24F7E">
      <w:pPr>
        <w:pStyle w:val="Heading1"/>
        <w:spacing w:line="360" w:lineRule="auto"/>
        <w:rPr>
          <w:rFonts w:ascii="Arial" w:hAnsi="Arial" w:cs="Arial"/>
          <w:sz w:val="32"/>
          <w:szCs w:val="32"/>
        </w:rPr>
      </w:pPr>
      <w:bookmarkStart w:id="1" w:name="_Toc214875654"/>
      <w:r w:rsidRPr="004D6422">
        <w:rPr>
          <w:rFonts w:ascii="Arial" w:hAnsi="Arial" w:cs="Arial"/>
          <w:sz w:val="32"/>
          <w:szCs w:val="32"/>
        </w:rPr>
        <w:t>1: Financial Health Check</w:t>
      </w:r>
      <w:bookmarkEnd w:id="1"/>
      <w:r w:rsidR="00EF50DF" w:rsidRPr="004D6422">
        <w:rPr>
          <w:rFonts w:ascii="Arial" w:hAnsi="Arial" w:cs="Arial"/>
          <w:sz w:val="32"/>
          <w:szCs w:val="32"/>
        </w:rPr>
        <w:t xml:space="preserve"> </w:t>
      </w:r>
    </w:p>
    <w:p w14:paraId="48A22EC3" w14:textId="6BDD08EB" w:rsidR="00EF50DF" w:rsidRPr="004D6422" w:rsidRDefault="00EF50DF" w:rsidP="004D6422">
      <w:pPr>
        <w:spacing w:line="360" w:lineRule="auto"/>
        <w:rPr>
          <w:rFonts w:ascii="Arial" w:hAnsi="Arial" w:cs="Arial"/>
        </w:rPr>
      </w:pPr>
      <w:r w:rsidRPr="004D6422">
        <w:rPr>
          <w:rFonts w:ascii="Arial" w:hAnsi="Arial" w:cs="Arial"/>
        </w:rPr>
        <w:t>This section evaluates General Electronics’ financial performance over the five-year period from 2020 to 2024 using profitability, liquidity, efficiency, gearing, investment, and cash flow indicators. It also applies the Altman Z-Score model to assess bankruptcy risk. The purpose is to diagnose the firm’s financial deterioration and identify the drivers of distress that threaten long-term viability.</w:t>
      </w:r>
    </w:p>
    <w:p w14:paraId="19D9D89F" w14:textId="7CB3C286" w:rsidR="00EF50DF" w:rsidRPr="004D6422" w:rsidRDefault="00EF50DF" w:rsidP="004D6422">
      <w:pPr>
        <w:pStyle w:val="Heading2"/>
        <w:spacing w:line="360" w:lineRule="auto"/>
        <w:rPr>
          <w:rFonts w:ascii="Arial" w:hAnsi="Arial" w:cs="Arial"/>
          <w:sz w:val="28"/>
          <w:szCs w:val="28"/>
        </w:rPr>
      </w:pPr>
      <w:bookmarkStart w:id="2" w:name="_Toc214875655"/>
      <w:r w:rsidRPr="004D6422">
        <w:rPr>
          <w:rFonts w:ascii="Arial" w:hAnsi="Arial" w:cs="Arial"/>
          <w:sz w:val="28"/>
          <w:szCs w:val="28"/>
        </w:rPr>
        <w:t>1.1 Profitability Performance</w:t>
      </w:r>
      <w:bookmarkEnd w:id="2"/>
    </w:p>
    <w:p w14:paraId="2FCD0BF5" w14:textId="45B6464D" w:rsidR="00EF50DF" w:rsidRPr="004D6422" w:rsidRDefault="00EF50DF" w:rsidP="004D6422">
      <w:pPr>
        <w:spacing w:line="360" w:lineRule="auto"/>
        <w:rPr>
          <w:rFonts w:ascii="Arial" w:hAnsi="Arial" w:cs="Arial"/>
        </w:rPr>
      </w:pPr>
      <w:r w:rsidRPr="004D6422">
        <w:rPr>
          <w:rFonts w:ascii="Arial" w:hAnsi="Arial" w:cs="Arial"/>
        </w:rPr>
        <w:t>Profitability has deteriorated sharply, moving from positive earnings to sustained losses. Net sales declined from £614,680m in 2020 to £394,879m in 2024, indicating a significant contraction in revenue. At the same time, profitability collapsed: net income fell from £38,572m in 2020 to a loss of £24,029m in 2024. This trend illustrates an erosion of value creation and signals a breakdown in the firm’s core business model. Research suggests that declining profitability is one of the earliest indicators of corporate distress and a precursor to financial failure (Beaver, 1966).</w:t>
      </w:r>
    </w:p>
    <w:p w14:paraId="74049626" w14:textId="003B0862" w:rsidR="00EF50DF" w:rsidRPr="004D6422" w:rsidRDefault="00EF50DF" w:rsidP="004D6422">
      <w:pPr>
        <w:spacing w:line="360" w:lineRule="auto"/>
        <w:rPr>
          <w:rFonts w:ascii="Arial" w:hAnsi="Arial" w:cs="Arial"/>
        </w:rPr>
      </w:pPr>
      <w:r w:rsidRPr="004D6422">
        <w:rPr>
          <w:rFonts w:ascii="Arial" w:hAnsi="Arial" w:cs="Arial"/>
        </w:rPr>
        <w:t>Gross profit margins narrowed considerably as cost pressures intensified. While the firm generated £176,256m in gross profit in 2020, this fell to £113,994m in 2024 despite reductions in cost of sales. The decline reflects both weakening sales volumes and reduced pricing power, consistent with industry pressures in a volatile macroeconomic environment (World Bank, 2023). Operating income followed a similar trajectory, shifting from a profit of £37,267m in 2020 to a loss of £15,297m in 2024. Negative operating income is particularly concerning because it indicates that the firm’s core operations are no longer self-sustaining.</w:t>
      </w:r>
    </w:p>
    <w:p w14:paraId="1A56BD2A" w14:textId="73BD47ED" w:rsidR="00EF50DF" w:rsidRPr="004D6422" w:rsidRDefault="00EF50DF" w:rsidP="004D6422">
      <w:pPr>
        <w:spacing w:line="360" w:lineRule="auto"/>
        <w:rPr>
          <w:rFonts w:ascii="Arial" w:hAnsi="Arial" w:cs="Arial"/>
        </w:rPr>
      </w:pPr>
      <w:r w:rsidRPr="004D6422">
        <w:rPr>
          <w:rFonts w:ascii="Arial" w:hAnsi="Arial" w:cs="Arial"/>
        </w:rPr>
        <w:t>The collapse in profitability also reflects the impact of global financial conditions. Higher borrowing costs increase financial strain on leveraged firms, compressing margins and accelerating losses (IMF, 2023). As losses deepen, the ability to reinvest and innovate diminishes, creating a downward cycle that threatens strategic competitiveness.</w:t>
      </w:r>
    </w:p>
    <w:p w14:paraId="20367571" w14:textId="0CA3BA9E" w:rsidR="00EF50DF" w:rsidRPr="004D6422" w:rsidRDefault="00EF50DF" w:rsidP="004D6422">
      <w:pPr>
        <w:spacing w:line="360" w:lineRule="auto"/>
        <w:rPr>
          <w:rFonts w:ascii="Arial" w:hAnsi="Arial" w:cs="Arial"/>
        </w:rPr>
      </w:pPr>
      <w:r w:rsidRPr="004D6422">
        <w:rPr>
          <w:rFonts w:ascii="Arial" w:hAnsi="Arial" w:cs="Arial"/>
        </w:rPr>
        <w:lastRenderedPageBreak/>
        <w:t>Overall, the profitability analysis indicates severe financial deterioration. The company has moved from value creation to value destruction, signalling that urgent corrective action is required.</w:t>
      </w:r>
    </w:p>
    <w:p w14:paraId="1E1C03D2" w14:textId="4E06EBE6" w:rsidR="00EF50DF" w:rsidRPr="004D6422" w:rsidRDefault="00EF50DF" w:rsidP="004D6422">
      <w:pPr>
        <w:pStyle w:val="Heading2"/>
        <w:spacing w:line="360" w:lineRule="auto"/>
        <w:rPr>
          <w:rFonts w:ascii="Arial" w:hAnsi="Arial" w:cs="Arial"/>
          <w:sz w:val="28"/>
          <w:szCs w:val="28"/>
        </w:rPr>
      </w:pPr>
      <w:bookmarkStart w:id="3" w:name="_Toc214875656"/>
      <w:r w:rsidRPr="004D6422">
        <w:rPr>
          <w:rFonts w:ascii="Arial" w:hAnsi="Arial" w:cs="Arial"/>
          <w:sz w:val="28"/>
          <w:szCs w:val="28"/>
        </w:rPr>
        <w:t>1.2 Liquidity Position</w:t>
      </w:r>
      <w:bookmarkEnd w:id="3"/>
    </w:p>
    <w:p w14:paraId="17B06C2C" w14:textId="7A94C333" w:rsidR="00EF50DF" w:rsidRPr="004D6422" w:rsidRDefault="00EF50DF" w:rsidP="004D6422">
      <w:pPr>
        <w:spacing w:line="360" w:lineRule="auto"/>
        <w:rPr>
          <w:rFonts w:ascii="Arial" w:hAnsi="Arial" w:cs="Arial"/>
        </w:rPr>
      </w:pPr>
      <w:r w:rsidRPr="004D6422">
        <w:rPr>
          <w:rFonts w:ascii="Arial" w:hAnsi="Arial" w:cs="Arial"/>
        </w:rPr>
        <w:t>Liquidity indicators show a weakening ability to meet short-term obligations. Current assets fell from £326,843m in 2020 to £242,494m in 2024, driven by reductions in cash, inventories, and receivables. At the same time, current liabilities remained elevated, reaching £158,291m in 2024. This reduces the liquidity buffer necessary to sustain operations.</w:t>
      </w:r>
    </w:p>
    <w:p w14:paraId="3BDF8767" w14:textId="5A140B6B" w:rsidR="00EF50DF" w:rsidRPr="004D6422" w:rsidRDefault="00EF50DF" w:rsidP="004D6422">
      <w:pPr>
        <w:spacing w:line="360" w:lineRule="auto"/>
        <w:rPr>
          <w:rFonts w:ascii="Arial" w:hAnsi="Arial" w:cs="Arial"/>
        </w:rPr>
      </w:pPr>
      <w:r w:rsidRPr="004D6422">
        <w:rPr>
          <w:rFonts w:ascii="Arial" w:hAnsi="Arial" w:cs="Arial"/>
        </w:rPr>
        <w:t>The current ratio has clearly deteriorated, reflecting reduced capacity to cover short-term debts. Liquidity shortfalls increase reliance on external financing, elevating risk exposure. As Gitman (1974) highlights, firms with insufficient liquidity are more vulnerable to operational disruption and financial distress, particularly under volatile trading conditions.</w:t>
      </w:r>
    </w:p>
    <w:p w14:paraId="66CA1764" w14:textId="2A9A6241" w:rsidR="00EF50DF" w:rsidRPr="004D6422" w:rsidRDefault="00EF50DF" w:rsidP="004D6422">
      <w:pPr>
        <w:spacing w:line="360" w:lineRule="auto"/>
        <w:rPr>
          <w:rFonts w:ascii="Arial" w:hAnsi="Arial" w:cs="Arial"/>
        </w:rPr>
      </w:pPr>
      <w:r w:rsidRPr="004D6422">
        <w:rPr>
          <w:rFonts w:ascii="Arial" w:hAnsi="Arial" w:cs="Arial"/>
        </w:rPr>
        <w:t>Cash and cash equivalents fell sharply from £57,153m in 2020 to £26,783m in 2024, representing a substantial decline in immediate liquidity. In an environment of rising interest rates (Eurostat, 2023), weakened liquidity heightens refinancing risk and limits financial flexibility. This trend suggests that the firm is increasingly dependent on working capital movements rather than stable internal cash flows to fund operations.</w:t>
      </w:r>
    </w:p>
    <w:p w14:paraId="6D8BC0B6" w14:textId="71F04BD7" w:rsidR="00EF50DF" w:rsidRPr="004D6422" w:rsidRDefault="00EF50DF" w:rsidP="004D6422">
      <w:pPr>
        <w:spacing w:line="360" w:lineRule="auto"/>
        <w:rPr>
          <w:rFonts w:ascii="Arial" w:hAnsi="Arial" w:cs="Arial"/>
        </w:rPr>
      </w:pPr>
      <w:r w:rsidRPr="004D6422">
        <w:rPr>
          <w:rFonts w:ascii="Arial" w:hAnsi="Arial" w:cs="Arial"/>
        </w:rPr>
        <w:t>Taken together, the liquidity analysis indicates growing short-term risk and a narrowing margin of safety.</w:t>
      </w:r>
    </w:p>
    <w:p w14:paraId="0FCBC074" w14:textId="2936EC1D" w:rsidR="00EF50DF" w:rsidRPr="004D6422" w:rsidRDefault="00EF50DF" w:rsidP="004D6422">
      <w:pPr>
        <w:pStyle w:val="Heading2"/>
        <w:spacing w:line="360" w:lineRule="auto"/>
        <w:rPr>
          <w:rFonts w:ascii="Arial" w:hAnsi="Arial" w:cs="Arial"/>
          <w:sz w:val="28"/>
          <w:szCs w:val="28"/>
        </w:rPr>
      </w:pPr>
      <w:bookmarkStart w:id="4" w:name="_Toc214875657"/>
      <w:r w:rsidRPr="004D6422">
        <w:rPr>
          <w:rFonts w:ascii="Arial" w:hAnsi="Arial" w:cs="Arial"/>
          <w:sz w:val="28"/>
          <w:szCs w:val="28"/>
        </w:rPr>
        <w:t>1.3 Efficiency and Asset Utilisation</w:t>
      </w:r>
      <w:bookmarkEnd w:id="4"/>
    </w:p>
    <w:p w14:paraId="0184ED95" w14:textId="3B0CE409" w:rsidR="00EF50DF" w:rsidRPr="004D6422" w:rsidRDefault="00EF50DF" w:rsidP="004D6422">
      <w:pPr>
        <w:spacing w:line="360" w:lineRule="auto"/>
        <w:rPr>
          <w:rFonts w:ascii="Arial" w:hAnsi="Arial" w:cs="Arial"/>
        </w:rPr>
      </w:pPr>
      <w:r w:rsidRPr="004D6422">
        <w:rPr>
          <w:rFonts w:ascii="Arial" w:hAnsi="Arial" w:cs="Arial"/>
        </w:rPr>
        <w:t>Efficiency indicators reflect deteriorating asset utilisation. Inventories rose substantially during the mid-period, reaching £140,181m in 2022 before declining to £79,355m in 2024. The spike suggests inventory buildup driven by falling demand, which ties up working capital and increases carrying costs. Empirical research links inefficient working capital management to reduced profitability and liquidity pressure (Deloof, 2003; Baños-Caballero et al., 2014).</w:t>
      </w:r>
    </w:p>
    <w:p w14:paraId="4F19A4AF" w14:textId="7894FC64" w:rsidR="00EF50DF" w:rsidRPr="004D6422" w:rsidRDefault="00EF50DF" w:rsidP="004D6422">
      <w:pPr>
        <w:spacing w:line="360" w:lineRule="auto"/>
        <w:rPr>
          <w:rFonts w:ascii="Arial" w:hAnsi="Arial" w:cs="Arial"/>
        </w:rPr>
      </w:pPr>
      <w:r w:rsidRPr="004D6422">
        <w:rPr>
          <w:rFonts w:ascii="Arial" w:hAnsi="Arial" w:cs="Arial"/>
        </w:rPr>
        <w:t xml:space="preserve">Accounts receivable remained elevated across the period, indicating slower cash conversion and increased credit risk. High receivables combined with falling sales </w:t>
      </w:r>
      <w:r w:rsidRPr="004D6422">
        <w:rPr>
          <w:rFonts w:ascii="Arial" w:hAnsi="Arial" w:cs="Arial"/>
        </w:rPr>
        <w:lastRenderedPageBreak/>
        <w:t>suggest weakened collection efficiency and reduced customer purchasing power. This dynamic extends the operating cycle and reduces operational liquidity, creating additional strain.</w:t>
      </w:r>
    </w:p>
    <w:p w14:paraId="0E326FCF" w14:textId="25CF9FEC" w:rsidR="00EF50DF" w:rsidRPr="004D6422" w:rsidRDefault="00EF50DF" w:rsidP="004D6422">
      <w:pPr>
        <w:spacing w:line="360" w:lineRule="auto"/>
        <w:rPr>
          <w:rFonts w:ascii="Arial" w:hAnsi="Arial" w:cs="Arial"/>
        </w:rPr>
      </w:pPr>
      <w:r w:rsidRPr="004D6422">
        <w:rPr>
          <w:rFonts w:ascii="Arial" w:hAnsi="Arial" w:cs="Arial"/>
        </w:rPr>
        <w:t>The firm’s declining asset base, including reductions in property, plant, and equipment, reflects reduced investment capacity and potential divestments or write-downs. Efficiency challenges therefore compound profitability and liquidity pressures, indicating structural operational weaknesses.</w:t>
      </w:r>
    </w:p>
    <w:p w14:paraId="29DAFEAE" w14:textId="4D3A963C" w:rsidR="00EF50DF" w:rsidRPr="004D6422" w:rsidRDefault="00EF50DF" w:rsidP="004D6422">
      <w:pPr>
        <w:pStyle w:val="Heading2"/>
        <w:spacing w:line="360" w:lineRule="auto"/>
        <w:rPr>
          <w:rFonts w:ascii="Arial" w:hAnsi="Arial" w:cs="Arial"/>
          <w:sz w:val="28"/>
          <w:szCs w:val="28"/>
        </w:rPr>
      </w:pPr>
      <w:bookmarkStart w:id="5" w:name="_Toc214875658"/>
      <w:r w:rsidRPr="004D6422">
        <w:rPr>
          <w:rFonts w:ascii="Arial" w:hAnsi="Arial" w:cs="Arial"/>
          <w:sz w:val="28"/>
          <w:szCs w:val="28"/>
        </w:rPr>
        <w:t>1.4 Leverage and Solvency (GEARING)</w:t>
      </w:r>
      <w:bookmarkEnd w:id="5"/>
    </w:p>
    <w:p w14:paraId="48B36F9B" w14:textId="00AD3E02" w:rsidR="00EF50DF" w:rsidRPr="004D6422" w:rsidRDefault="00EF50DF" w:rsidP="004D6422">
      <w:pPr>
        <w:spacing w:line="360" w:lineRule="auto"/>
        <w:rPr>
          <w:rFonts w:ascii="Arial" w:hAnsi="Arial" w:cs="Arial"/>
        </w:rPr>
      </w:pPr>
      <w:r w:rsidRPr="004D6422">
        <w:rPr>
          <w:rFonts w:ascii="Arial" w:hAnsi="Arial" w:cs="Arial"/>
        </w:rPr>
        <w:t>The firm’s capital structure has deteriorated significantly. Shareholders’ equity declined from £313,301m in 2020 to £153,105m in 2024, driven by sustained losses and reduced retained earnings. At the same time, total liabilities remained high at £170,249m in 2024, increasing the proportion of debt relative to equity. Research shows that rising leverage increases financial risk and default probability, especially during periods of declining earnings (Titman and Wessels, 1988).</w:t>
      </w:r>
    </w:p>
    <w:p w14:paraId="315CAA15" w14:textId="5BA26944" w:rsidR="00EF50DF" w:rsidRPr="004D6422" w:rsidRDefault="00EF50DF" w:rsidP="004D6422">
      <w:pPr>
        <w:spacing w:line="360" w:lineRule="auto"/>
        <w:rPr>
          <w:rFonts w:ascii="Arial" w:hAnsi="Arial" w:cs="Arial"/>
        </w:rPr>
      </w:pPr>
      <w:r w:rsidRPr="004D6422">
        <w:rPr>
          <w:rFonts w:ascii="Arial" w:hAnsi="Arial" w:cs="Arial"/>
        </w:rPr>
        <w:t>Furthermore, negative operating income in 2023 and 2024 implies that the firm cannot cover interest expenses from earnings, weakening interest-servicing capacity and heightening solvency risk. Graham and Harvey (2001) highlight that firms in this position face reduced access to capital markets and higher borrowing costs, further restricting financial flexibility.</w:t>
      </w:r>
    </w:p>
    <w:p w14:paraId="49A5A791" w14:textId="4AF5A7FE" w:rsidR="00EF50DF" w:rsidRPr="004D6422" w:rsidRDefault="00EF50DF" w:rsidP="004D6422">
      <w:pPr>
        <w:spacing w:line="360" w:lineRule="auto"/>
        <w:rPr>
          <w:rFonts w:ascii="Arial" w:hAnsi="Arial" w:cs="Arial"/>
        </w:rPr>
      </w:pPr>
      <w:r w:rsidRPr="004D6422">
        <w:rPr>
          <w:rFonts w:ascii="Arial" w:hAnsi="Arial" w:cs="Arial"/>
        </w:rPr>
        <w:t>Overall, the gearing profile indicates escalating solvency risk and a capital structure that is no longer sustainable without intervention.</w:t>
      </w:r>
    </w:p>
    <w:p w14:paraId="73EDC10F" w14:textId="3D58F9D4" w:rsidR="00EF50DF" w:rsidRPr="004D6422" w:rsidRDefault="00EF50DF" w:rsidP="004D6422">
      <w:pPr>
        <w:pStyle w:val="Heading2"/>
        <w:spacing w:line="360" w:lineRule="auto"/>
        <w:rPr>
          <w:rFonts w:ascii="Arial" w:hAnsi="Arial" w:cs="Arial"/>
          <w:sz w:val="28"/>
          <w:szCs w:val="28"/>
        </w:rPr>
      </w:pPr>
      <w:bookmarkStart w:id="6" w:name="_Toc214875659"/>
      <w:r w:rsidRPr="004D6422">
        <w:rPr>
          <w:rFonts w:ascii="Arial" w:hAnsi="Arial" w:cs="Arial"/>
          <w:sz w:val="28"/>
          <w:szCs w:val="28"/>
        </w:rPr>
        <w:t>1.5 Investment Performance (EPS)</w:t>
      </w:r>
      <w:bookmarkEnd w:id="6"/>
    </w:p>
    <w:p w14:paraId="0CB354EA" w14:textId="0D00821C" w:rsidR="00EF50DF" w:rsidRPr="004D6422" w:rsidRDefault="00EF50DF" w:rsidP="004D6422">
      <w:pPr>
        <w:spacing w:line="360" w:lineRule="auto"/>
        <w:rPr>
          <w:rFonts w:ascii="Arial" w:hAnsi="Arial" w:cs="Arial"/>
        </w:rPr>
      </w:pPr>
      <w:r w:rsidRPr="004D6422">
        <w:rPr>
          <w:rFonts w:ascii="Arial" w:hAnsi="Arial" w:cs="Arial"/>
        </w:rPr>
        <w:t xml:space="preserve">Earnings per share declined from £2.78 in 2020 to </w:t>
      </w:r>
      <w:r w:rsidR="00C24F7E">
        <w:rPr>
          <w:rFonts w:ascii="Arial" w:hAnsi="Arial" w:cs="Arial"/>
        </w:rPr>
        <w:t xml:space="preserve">- </w:t>
      </w:r>
      <w:r w:rsidRPr="004D6422">
        <w:rPr>
          <w:rFonts w:ascii="Arial" w:hAnsi="Arial" w:cs="Arial"/>
        </w:rPr>
        <w:t>£1.85 in 2024, signalling destruction of shareholder value. EPS deterioration reflects both declining profitability and reduced returns to equity holders. As Arenbo (2023) notes, sustained negative returns indicate ineffective capital allocation and loss of investor confidence. This trend confirms that the firm is failing to generate value for shareholders and requires immediate strategic change.</w:t>
      </w:r>
    </w:p>
    <w:p w14:paraId="024BC032" w14:textId="7FCD62C0" w:rsidR="00EF50DF" w:rsidRPr="004D6422" w:rsidRDefault="00EF50DF" w:rsidP="004D6422">
      <w:pPr>
        <w:pStyle w:val="Heading2"/>
        <w:spacing w:line="360" w:lineRule="auto"/>
        <w:rPr>
          <w:rFonts w:ascii="Arial" w:hAnsi="Arial" w:cs="Arial"/>
          <w:sz w:val="28"/>
          <w:szCs w:val="28"/>
        </w:rPr>
      </w:pPr>
      <w:bookmarkStart w:id="7" w:name="_Toc214875660"/>
      <w:r w:rsidRPr="004D6422">
        <w:rPr>
          <w:rFonts w:ascii="Arial" w:hAnsi="Arial" w:cs="Arial"/>
          <w:sz w:val="28"/>
          <w:szCs w:val="28"/>
        </w:rPr>
        <w:lastRenderedPageBreak/>
        <w:t>1.6 Cash Flow Quality</w:t>
      </w:r>
      <w:bookmarkEnd w:id="7"/>
    </w:p>
    <w:p w14:paraId="6993A26A" w14:textId="055264E7" w:rsidR="00EF50DF" w:rsidRPr="004D6422" w:rsidRDefault="00EF50DF" w:rsidP="004D6422">
      <w:pPr>
        <w:spacing w:line="360" w:lineRule="auto"/>
        <w:rPr>
          <w:rFonts w:ascii="Arial" w:hAnsi="Arial" w:cs="Arial"/>
        </w:rPr>
      </w:pPr>
      <w:r w:rsidRPr="004D6422">
        <w:rPr>
          <w:rFonts w:ascii="Arial" w:hAnsi="Arial" w:cs="Arial"/>
        </w:rPr>
        <w:t>Although operating cash flows remained positive, they fell sharply over the period and became increasingly volatile. The firm generated £73,392m in operating cash flow in 2020, falling to £14,822m in 2024. This divergence between declining earnings and unstable cash flow reflects weak earnings quality, consistent with Beaver’s (1966) findings that deteriorating cash flows are a key predictor of corporate failure.</w:t>
      </w:r>
    </w:p>
    <w:p w14:paraId="3BF7BC31" w14:textId="5FCABD4F" w:rsidR="00EF50DF" w:rsidRPr="004D6422" w:rsidRDefault="00EF50DF" w:rsidP="004D6422">
      <w:pPr>
        <w:spacing w:line="360" w:lineRule="auto"/>
        <w:rPr>
          <w:rFonts w:ascii="Arial" w:hAnsi="Arial" w:cs="Arial"/>
        </w:rPr>
      </w:pPr>
      <w:r w:rsidRPr="004D6422">
        <w:rPr>
          <w:rFonts w:ascii="Arial" w:hAnsi="Arial" w:cs="Arial"/>
        </w:rPr>
        <w:t>Much of the recent cash flow has been driven by working capital adjustments, such as changes in payables and inventory, rather than core profitability. This indicates short-term liquidity management rather than sustainable cash generation. In a high-interest environment (IMF, 2023), reliance on unstable working capital movements exposes the firm to heightened liquidity risk.</w:t>
      </w:r>
    </w:p>
    <w:p w14:paraId="336771F4" w14:textId="0FD52FA6" w:rsidR="00EF50DF" w:rsidRPr="004D6422" w:rsidRDefault="00EF50DF" w:rsidP="004D6422">
      <w:pPr>
        <w:pStyle w:val="Heading2"/>
        <w:spacing w:line="360" w:lineRule="auto"/>
        <w:rPr>
          <w:rFonts w:ascii="Arial" w:hAnsi="Arial" w:cs="Arial"/>
          <w:sz w:val="28"/>
          <w:szCs w:val="28"/>
        </w:rPr>
      </w:pPr>
      <w:bookmarkStart w:id="8" w:name="_Toc214875661"/>
      <w:r w:rsidRPr="004D6422">
        <w:rPr>
          <w:rFonts w:ascii="Arial" w:hAnsi="Arial" w:cs="Arial"/>
          <w:sz w:val="28"/>
          <w:szCs w:val="28"/>
        </w:rPr>
        <w:t>1.7 Distress Risk: Altman Z-Score Assessment</w:t>
      </w:r>
      <w:bookmarkEnd w:id="8"/>
    </w:p>
    <w:p w14:paraId="5709CE2E" w14:textId="0091A6A3" w:rsidR="00EF50DF" w:rsidRPr="004D6422" w:rsidRDefault="00EF50DF" w:rsidP="004D6422">
      <w:pPr>
        <w:spacing w:line="360" w:lineRule="auto"/>
        <w:rPr>
          <w:rFonts w:ascii="Arial" w:hAnsi="Arial" w:cs="Arial"/>
        </w:rPr>
      </w:pPr>
      <w:r w:rsidRPr="004D6422">
        <w:rPr>
          <w:rFonts w:ascii="Arial" w:hAnsi="Arial" w:cs="Arial"/>
        </w:rPr>
        <w:t>The Altman Z-Score provides a quantitative assessment of bankruptcy risk. Using the standard model for listed firms (Altman, 1968):</w:t>
      </w:r>
    </w:p>
    <w:p w14:paraId="26788951" w14:textId="6EB25896" w:rsidR="00EF50DF" w:rsidRPr="004D6422" w:rsidRDefault="00EF50DF" w:rsidP="004D6422">
      <w:pPr>
        <w:spacing w:line="360" w:lineRule="auto"/>
        <w:rPr>
          <w:rFonts w:ascii="Arial" w:hAnsi="Arial" w:cs="Arial"/>
        </w:rPr>
      </w:pPr>
      <w:r w:rsidRPr="004D6422">
        <w:rPr>
          <w:rFonts w:ascii="Arial" w:hAnsi="Arial" w:cs="Arial"/>
        </w:rPr>
        <w:t>Z = 1.2(WC/TA) + 1.4(RE/TA) + 3.3(EBIT/TA) + 0.6(Eq/Liabilities) + 1.0(Sales/TA)</w:t>
      </w:r>
    </w:p>
    <w:p w14:paraId="1D8F341C" w14:textId="7938B719" w:rsidR="00EF50DF" w:rsidRPr="004D6422" w:rsidRDefault="00EF50DF" w:rsidP="004D6422">
      <w:pPr>
        <w:spacing w:line="360" w:lineRule="auto"/>
        <w:rPr>
          <w:rFonts w:ascii="Arial" w:hAnsi="Arial" w:cs="Arial"/>
        </w:rPr>
      </w:pPr>
      <w:r w:rsidRPr="004D6422">
        <w:rPr>
          <w:rFonts w:ascii="Arial" w:hAnsi="Arial" w:cs="Arial"/>
        </w:rPr>
        <w:t>Based on 2024 data, the resulting score falls within the distress zone, indicating a high likelihood of failure. Altman et al. (2017) confirm that sustained negative earnings, declining equity, and weak liquidity strongly correlate with bankruptcy risk. Combined with the firm’s negative profitability and weakening cash flows, the Z-score confirms that General Electronics is operating under severe financial distress.</w:t>
      </w:r>
    </w:p>
    <w:p w14:paraId="325F8047" w14:textId="79BD6F4D" w:rsidR="00EF50DF" w:rsidRPr="004D6422" w:rsidRDefault="00EF50DF" w:rsidP="004D6422">
      <w:pPr>
        <w:pStyle w:val="Heading2"/>
        <w:spacing w:line="360" w:lineRule="auto"/>
        <w:rPr>
          <w:rFonts w:ascii="Arial" w:hAnsi="Arial" w:cs="Arial"/>
          <w:sz w:val="28"/>
          <w:szCs w:val="28"/>
        </w:rPr>
      </w:pPr>
      <w:bookmarkStart w:id="9" w:name="_Toc214875662"/>
      <w:r w:rsidRPr="004D6422">
        <w:rPr>
          <w:rFonts w:ascii="Arial" w:hAnsi="Arial" w:cs="Arial"/>
          <w:sz w:val="28"/>
          <w:szCs w:val="28"/>
        </w:rPr>
        <w:t>1.8 Section Conclusion</w:t>
      </w:r>
      <w:bookmarkEnd w:id="9"/>
    </w:p>
    <w:p w14:paraId="739128B6" w14:textId="14C8E31C" w:rsidR="00EF50DF" w:rsidRPr="004D6422" w:rsidRDefault="00EF50DF" w:rsidP="004D6422">
      <w:pPr>
        <w:spacing w:line="360" w:lineRule="auto"/>
        <w:rPr>
          <w:rFonts w:ascii="Arial" w:hAnsi="Arial" w:cs="Arial"/>
        </w:rPr>
      </w:pPr>
      <w:r w:rsidRPr="004D6422">
        <w:rPr>
          <w:rFonts w:ascii="Arial" w:hAnsi="Arial" w:cs="Arial"/>
        </w:rPr>
        <w:t>The five-year financial assessment demonstrates a clear and rapid deterioration in financial health. Profitability has collapsed, liquidity has weakened, efficiency has declined, leverage has increased, and shareholder value has eroded. The Altman Z-Score confirms elevated bankruptcy risk, and the firm’s current financial structure is no longer sustainable. Without immediate intervention, General Electronics faces a high probability of failure. Strategic restructuring and disciplined financial management are therefore essential to stabilise performance and restore long-term viability.</w:t>
      </w:r>
    </w:p>
    <w:p w14:paraId="782D540F" w14:textId="17ACD9EA" w:rsidR="00EF50DF" w:rsidRPr="004D6422" w:rsidRDefault="00EF50DF" w:rsidP="004D6422">
      <w:pPr>
        <w:pStyle w:val="Heading1"/>
        <w:spacing w:line="360" w:lineRule="auto"/>
        <w:rPr>
          <w:rFonts w:ascii="Arial" w:hAnsi="Arial" w:cs="Arial"/>
          <w:sz w:val="32"/>
          <w:szCs w:val="32"/>
        </w:rPr>
      </w:pPr>
      <w:bookmarkStart w:id="10" w:name="_Toc214875663"/>
      <w:r w:rsidRPr="004D6422">
        <w:rPr>
          <w:rFonts w:ascii="Arial" w:hAnsi="Arial" w:cs="Arial"/>
          <w:sz w:val="32"/>
          <w:szCs w:val="32"/>
        </w:rPr>
        <w:lastRenderedPageBreak/>
        <w:t xml:space="preserve">2: </w:t>
      </w:r>
      <w:r w:rsidR="004D6422" w:rsidRPr="004D6422">
        <w:rPr>
          <w:rFonts w:ascii="Arial" w:hAnsi="Arial" w:cs="Arial"/>
          <w:sz w:val="32"/>
          <w:szCs w:val="32"/>
        </w:rPr>
        <w:t>Working Capital Management</w:t>
      </w:r>
      <w:bookmarkEnd w:id="10"/>
      <w:r w:rsidRPr="004D6422">
        <w:rPr>
          <w:rFonts w:ascii="Arial" w:hAnsi="Arial" w:cs="Arial"/>
          <w:sz w:val="32"/>
          <w:szCs w:val="32"/>
        </w:rPr>
        <w:t xml:space="preserve"> </w:t>
      </w:r>
    </w:p>
    <w:p w14:paraId="593FD80F" w14:textId="7DFEBC28" w:rsidR="00EF50DF" w:rsidRPr="004D6422" w:rsidRDefault="00EF50DF" w:rsidP="004D6422">
      <w:pPr>
        <w:spacing w:line="360" w:lineRule="auto"/>
        <w:rPr>
          <w:rFonts w:ascii="Arial" w:hAnsi="Arial" w:cs="Arial"/>
        </w:rPr>
      </w:pPr>
      <w:r w:rsidRPr="004D6422">
        <w:rPr>
          <w:rFonts w:ascii="Arial" w:hAnsi="Arial" w:cs="Arial"/>
        </w:rPr>
        <w:t>Effective working capital management is critical to a firm’s ability to sustain operations, maintain liquidity, and support value creation. For General Electronics, the past five years reveal significant pressures across the cash conversion cycle, inventory and receivables management, and short-term liquidity. This section evaluates these developments and proposes targeted improvements aligned with empirical research.</w:t>
      </w:r>
    </w:p>
    <w:p w14:paraId="1916897B" w14:textId="242FDD4C" w:rsidR="00EF50DF" w:rsidRPr="004D6422" w:rsidRDefault="00EF50DF" w:rsidP="004D6422">
      <w:pPr>
        <w:pStyle w:val="Heading2"/>
        <w:spacing w:line="360" w:lineRule="auto"/>
        <w:rPr>
          <w:rFonts w:ascii="Arial" w:hAnsi="Arial" w:cs="Arial"/>
          <w:sz w:val="28"/>
          <w:szCs w:val="28"/>
        </w:rPr>
      </w:pPr>
      <w:bookmarkStart w:id="11" w:name="_Toc214875664"/>
      <w:r w:rsidRPr="004D6422">
        <w:rPr>
          <w:rFonts w:ascii="Arial" w:hAnsi="Arial" w:cs="Arial"/>
          <w:sz w:val="28"/>
          <w:szCs w:val="28"/>
        </w:rPr>
        <w:t>2.1 Working Capital Position and Trends</w:t>
      </w:r>
      <w:bookmarkEnd w:id="11"/>
    </w:p>
    <w:p w14:paraId="228C92D3" w14:textId="241F3BAF" w:rsidR="00EF50DF" w:rsidRPr="004D6422" w:rsidRDefault="00EF50DF" w:rsidP="004D6422">
      <w:pPr>
        <w:spacing w:line="360" w:lineRule="auto"/>
        <w:rPr>
          <w:rFonts w:ascii="Arial" w:hAnsi="Arial" w:cs="Arial"/>
        </w:rPr>
      </w:pPr>
      <w:r w:rsidRPr="004D6422">
        <w:rPr>
          <w:rFonts w:ascii="Arial" w:hAnsi="Arial" w:cs="Arial"/>
        </w:rPr>
        <w:t>Working capital, defined as current assets minus current liabilities, declined materially over the five-year period. Although current liabilities remained high at £158,291m in 2024, current assets fell to £242,494m, driven by reductions in cash, inventories, and other liquid assets. The shrinking working capital base indicates a narrower liquidity cushion and reduced capacity to absorb operational shocks.</w:t>
      </w:r>
    </w:p>
    <w:p w14:paraId="68C47E84" w14:textId="5D4174A0" w:rsidR="00EF50DF" w:rsidRPr="004D6422" w:rsidRDefault="00EF50DF" w:rsidP="004D6422">
      <w:pPr>
        <w:spacing w:line="360" w:lineRule="auto"/>
        <w:rPr>
          <w:rFonts w:ascii="Arial" w:hAnsi="Arial" w:cs="Arial"/>
        </w:rPr>
      </w:pPr>
      <w:r w:rsidRPr="004D6422">
        <w:rPr>
          <w:rFonts w:ascii="Arial" w:hAnsi="Arial" w:cs="Arial"/>
        </w:rPr>
        <w:t>Cash and cash equivalents dropped from £57,153m in 2020 to £26,783m in 2024, signalling depleted reserves and a growing dependence on internal cash generation. This trend is concerning in light of tightening credit conditions and rising borrowing costs in global markets (Eurostat, 2023; IMF, 2023). A reduced cash buffer increases exposure to liquidity risk and limits the firm’s ability to finance day-to-day operations without external support.</w:t>
      </w:r>
    </w:p>
    <w:p w14:paraId="4928D43C" w14:textId="55366E3C" w:rsidR="00EF50DF" w:rsidRPr="004D6422" w:rsidRDefault="00EF50DF" w:rsidP="004D6422">
      <w:pPr>
        <w:spacing w:line="360" w:lineRule="auto"/>
        <w:rPr>
          <w:rFonts w:ascii="Arial" w:hAnsi="Arial" w:cs="Arial"/>
        </w:rPr>
      </w:pPr>
      <w:r w:rsidRPr="004D6422">
        <w:rPr>
          <w:rFonts w:ascii="Arial" w:hAnsi="Arial" w:cs="Arial"/>
        </w:rPr>
        <w:t>These developments reflect a shift from financial stability to constrained short-term liquidity, elevating operational and financial risk.</w:t>
      </w:r>
    </w:p>
    <w:p w14:paraId="30A2C55A" w14:textId="11B864CB" w:rsidR="00EF50DF" w:rsidRPr="004D6422" w:rsidRDefault="00EF50DF" w:rsidP="004D6422">
      <w:pPr>
        <w:pStyle w:val="Heading2"/>
        <w:spacing w:line="360" w:lineRule="auto"/>
        <w:rPr>
          <w:rFonts w:ascii="Arial" w:hAnsi="Arial" w:cs="Arial"/>
          <w:sz w:val="28"/>
          <w:szCs w:val="28"/>
        </w:rPr>
      </w:pPr>
      <w:bookmarkStart w:id="12" w:name="_Toc214875665"/>
      <w:r w:rsidRPr="004D6422">
        <w:rPr>
          <w:rFonts w:ascii="Arial" w:hAnsi="Arial" w:cs="Arial"/>
          <w:sz w:val="28"/>
          <w:szCs w:val="28"/>
        </w:rPr>
        <w:t>2.2 Cash Conversion Cycle (CCC) and Efficiency</w:t>
      </w:r>
      <w:bookmarkEnd w:id="12"/>
    </w:p>
    <w:p w14:paraId="33AB7952" w14:textId="7BB54616" w:rsidR="00EF50DF" w:rsidRPr="004D6422" w:rsidRDefault="00EF50DF" w:rsidP="004D6422">
      <w:pPr>
        <w:spacing w:line="360" w:lineRule="auto"/>
        <w:rPr>
          <w:rFonts w:ascii="Arial" w:hAnsi="Arial" w:cs="Arial"/>
        </w:rPr>
      </w:pPr>
      <w:r w:rsidRPr="004D6422">
        <w:rPr>
          <w:rFonts w:ascii="Arial" w:hAnsi="Arial" w:cs="Arial"/>
        </w:rPr>
        <w:t>The cash conversion cycle</w:t>
      </w:r>
      <w:r w:rsidR="0078225F" w:rsidRPr="004D6422">
        <w:rPr>
          <w:rFonts w:ascii="Arial" w:hAnsi="Arial" w:cs="Arial"/>
        </w:rPr>
        <w:t xml:space="preserve">, </w:t>
      </w:r>
      <w:r w:rsidRPr="004D6422">
        <w:rPr>
          <w:rFonts w:ascii="Arial" w:hAnsi="Arial" w:cs="Arial"/>
        </w:rPr>
        <w:t>the time taken to convert inventory and receivables into cash</w:t>
      </w:r>
      <w:r w:rsidR="0078225F" w:rsidRPr="004D6422">
        <w:rPr>
          <w:rFonts w:ascii="Arial" w:hAnsi="Arial" w:cs="Arial"/>
        </w:rPr>
        <w:t xml:space="preserve">, </w:t>
      </w:r>
      <w:r w:rsidRPr="004D6422">
        <w:rPr>
          <w:rFonts w:ascii="Arial" w:hAnsi="Arial" w:cs="Arial"/>
        </w:rPr>
        <w:t>appears to have lengthened across the period. Inventories rose sharply through 2022, reaching £140,181m, before declining to £79,355m in 2024. The mid-period spike suggests excess stock resulting from falling demand or production imbalance. Research shows that rising inventory levels increase carrying costs and lengthen the cycle, which reduces profitability and ties up working capital (Deloof, 2003).</w:t>
      </w:r>
    </w:p>
    <w:p w14:paraId="1DFFBAB7" w14:textId="0A278A09" w:rsidR="00EF50DF" w:rsidRPr="004D6422" w:rsidRDefault="00EF50DF" w:rsidP="004D6422">
      <w:pPr>
        <w:spacing w:line="360" w:lineRule="auto"/>
        <w:rPr>
          <w:rFonts w:ascii="Arial" w:hAnsi="Arial" w:cs="Arial"/>
        </w:rPr>
      </w:pPr>
      <w:r w:rsidRPr="004D6422">
        <w:rPr>
          <w:rFonts w:ascii="Arial" w:hAnsi="Arial" w:cs="Arial"/>
        </w:rPr>
        <w:lastRenderedPageBreak/>
        <w:t>Accounts receivable remained elevated, reaching £114,182m in 2024, signaling prolonged collection periods and weakened customer liquidity. High receivables increase credit exposure and delay cash inflows, extending the operating cycle further. Baños-Caballero et al. (2014) highlight that excessive working capital investment reduces liquidity and financial flexibility, particularly under financially constrained conditions.</w:t>
      </w:r>
    </w:p>
    <w:p w14:paraId="08061839" w14:textId="76AACE47" w:rsidR="00EF50DF" w:rsidRPr="004D6422" w:rsidRDefault="00EF50DF" w:rsidP="004D6422">
      <w:pPr>
        <w:spacing w:line="360" w:lineRule="auto"/>
        <w:rPr>
          <w:rFonts w:ascii="Arial" w:hAnsi="Arial" w:cs="Arial"/>
        </w:rPr>
      </w:pPr>
      <w:r w:rsidRPr="004D6422">
        <w:rPr>
          <w:rFonts w:ascii="Arial" w:hAnsi="Arial" w:cs="Arial"/>
        </w:rPr>
        <w:t>Together, elevated inventories and receivables imply slower asset turnover and reduced operational efficiency. An extended cash conversion cycle increases reliance on short-term financing and amplifies liquidity stress.</w:t>
      </w:r>
    </w:p>
    <w:p w14:paraId="1177B5E4" w14:textId="2F3EA47A" w:rsidR="00EF50DF" w:rsidRPr="004D6422" w:rsidRDefault="00EF50DF" w:rsidP="004D6422">
      <w:pPr>
        <w:pStyle w:val="Heading2"/>
        <w:spacing w:line="360" w:lineRule="auto"/>
        <w:rPr>
          <w:rFonts w:ascii="Arial" w:hAnsi="Arial" w:cs="Arial"/>
          <w:sz w:val="28"/>
          <w:szCs w:val="28"/>
        </w:rPr>
      </w:pPr>
      <w:bookmarkStart w:id="13" w:name="_Toc214875666"/>
      <w:r w:rsidRPr="004D6422">
        <w:rPr>
          <w:rFonts w:ascii="Arial" w:hAnsi="Arial" w:cs="Arial"/>
          <w:sz w:val="28"/>
          <w:szCs w:val="28"/>
        </w:rPr>
        <w:t>2.3 Payables and Short-Term Financing Pressure</w:t>
      </w:r>
      <w:bookmarkEnd w:id="13"/>
    </w:p>
    <w:p w14:paraId="127D8757" w14:textId="11389AE3" w:rsidR="00EF50DF" w:rsidRPr="004D6422" w:rsidRDefault="00EF50DF" w:rsidP="004D6422">
      <w:pPr>
        <w:spacing w:line="360" w:lineRule="auto"/>
        <w:rPr>
          <w:rFonts w:ascii="Arial" w:hAnsi="Arial" w:cs="Arial"/>
        </w:rPr>
      </w:pPr>
      <w:r w:rsidRPr="004D6422">
        <w:rPr>
          <w:rFonts w:ascii="Arial" w:hAnsi="Arial" w:cs="Arial"/>
        </w:rPr>
        <w:t>Accounts payable decreased from £92,707m in 2021 to £72,031m in 2024, limiting the firm’s ability to benefit from supplier credit. Reduced payables shorten the operating cycle and increase the need for cash to settle obligations earlier. While lowering payables can strengthen supplier relationships, it diminishes a key source of spontaneous financing during periods of distress.</w:t>
      </w:r>
    </w:p>
    <w:p w14:paraId="24976B75" w14:textId="74BDC515" w:rsidR="00EF50DF" w:rsidRPr="004D6422" w:rsidRDefault="00EF50DF" w:rsidP="004D6422">
      <w:pPr>
        <w:spacing w:line="360" w:lineRule="auto"/>
        <w:rPr>
          <w:rFonts w:ascii="Arial" w:hAnsi="Arial" w:cs="Arial"/>
        </w:rPr>
      </w:pPr>
      <w:r w:rsidRPr="004D6422">
        <w:rPr>
          <w:rFonts w:ascii="Arial" w:hAnsi="Arial" w:cs="Arial"/>
        </w:rPr>
        <w:t>Given the firm’s declining cash position, reduced payables increase dependence on external short-term financing, such as credit lines. However, in an environment of higher interest rates (IMF, 2023), this reliance raises financing costs and heightens refinancing risk, straining liquidity further.</w:t>
      </w:r>
    </w:p>
    <w:p w14:paraId="1EF12F36" w14:textId="774CBC5F" w:rsidR="00EF50DF" w:rsidRPr="004D6422" w:rsidRDefault="00EF50DF" w:rsidP="004D6422">
      <w:pPr>
        <w:pStyle w:val="Heading2"/>
        <w:spacing w:line="360" w:lineRule="auto"/>
        <w:rPr>
          <w:rFonts w:ascii="Arial" w:hAnsi="Arial" w:cs="Arial"/>
          <w:sz w:val="28"/>
          <w:szCs w:val="28"/>
        </w:rPr>
      </w:pPr>
      <w:bookmarkStart w:id="14" w:name="_Toc214875667"/>
      <w:r w:rsidRPr="004D6422">
        <w:rPr>
          <w:rFonts w:ascii="Arial" w:hAnsi="Arial" w:cs="Arial"/>
          <w:sz w:val="28"/>
          <w:szCs w:val="28"/>
        </w:rPr>
        <w:t>2.4 Impact on Liquidity and Profitability</w:t>
      </w:r>
      <w:bookmarkEnd w:id="14"/>
    </w:p>
    <w:p w14:paraId="7543DFB4" w14:textId="55E38EA2" w:rsidR="00EF50DF" w:rsidRPr="004D6422" w:rsidRDefault="00EF50DF" w:rsidP="004D6422">
      <w:pPr>
        <w:spacing w:line="360" w:lineRule="auto"/>
        <w:rPr>
          <w:rFonts w:ascii="Arial" w:hAnsi="Arial" w:cs="Arial"/>
        </w:rPr>
      </w:pPr>
      <w:r w:rsidRPr="004D6422">
        <w:rPr>
          <w:rFonts w:ascii="Arial" w:hAnsi="Arial" w:cs="Arial"/>
        </w:rPr>
        <w:t>Inefficient working capital management has compounded the firm’s liquidity challenges. High inventories and slow receivables hinder cash availability, forcing greater reliance on external financing. Empirical evidence consistently links poor working capital efficiency to reduced profitability and increased distress risk (Lazaridis and Tryfonidis, 2006). For General Electronics, the combination of falling margins, rising credit risk, and depleted cash reserves indicates a system-wide liquidity imbalance.</w:t>
      </w:r>
    </w:p>
    <w:p w14:paraId="235047DE" w14:textId="406A5992" w:rsidR="00EF50DF" w:rsidRPr="004D6422" w:rsidRDefault="00EF50DF" w:rsidP="004D6422">
      <w:pPr>
        <w:spacing w:line="360" w:lineRule="auto"/>
        <w:rPr>
          <w:rFonts w:ascii="Arial" w:hAnsi="Arial" w:cs="Arial"/>
        </w:rPr>
      </w:pPr>
      <w:r w:rsidRPr="004D6422">
        <w:rPr>
          <w:rFonts w:ascii="Arial" w:hAnsi="Arial" w:cs="Arial"/>
        </w:rPr>
        <w:t>Moreover, the firm’s weakening liquidity limits its ability to invest in innovation, marketing, and capacity</w:t>
      </w:r>
      <w:r w:rsidR="0078225F" w:rsidRPr="004D6422">
        <w:rPr>
          <w:rFonts w:ascii="Arial" w:hAnsi="Arial" w:cs="Arial"/>
        </w:rPr>
        <w:t xml:space="preserve">, </w:t>
      </w:r>
      <w:r w:rsidRPr="004D6422">
        <w:rPr>
          <w:rFonts w:ascii="Arial" w:hAnsi="Arial" w:cs="Arial"/>
        </w:rPr>
        <w:t>key drivers of competitiveness in the electronics sector. Persistent inefficiencies therefore pose not only financial but strategic risks.</w:t>
      </w:r>
    </w:p>
    <w:p w14:paraId="4D55BB8C" w14:textId="586992F6" w:rsidR="00EF50DF" w:rsidRPr="004D6422" w:rsidRDefault="00EF50DF" w:rsidP="004D6422">
      <w:pPr>
        <w:pStyle w:val="Heading2"/>
        <w:spacing w:line="360" w:lineRule="auto"/>
        <w:rPr>
          <w:rFonts w:ascii="Arial" w:hAnsi="Arial" w:cs="Arial"/>
          <w:sz w:val="28"/>
          <w:szCs w:val="28"/>
        </w:rPr>
      </w:pPr>
      <w:bookmarkStart w:id="15" w:name="_Toc214875668"/>
      <w:r w:rsidRPr="004D6422">
        <w:rPr>
          <w:rFonts w:ascii="Arial" w:hAnsi="Arial" w:cs="Arial"/>
          <w:sz w:val="28"/>
          <w:szCs w:val="28"/>
        </w:rPr>
        <w:lastRenderedPageBreak/>
        <w:t>2.5 Short-Term vs Long-Term Financing Options</w:t>
      </w:r>
      <w:bookmarkEnd w:id="15"/>
    </w:p>
    <w:p w14:paraId="05E38936" w14:textId="561EDB72" w:rsidR="00EF50DF" w:rsidRPr="004D6422" w:rsidRDefault="00EF50DF" w:rsidP="004D6422">
      <w:pPr>
        <w:spacing w:line="360" w:lineRule="auto"/>
        <w:rPr>
          <w:rFonts w:ascii="Arial" w:hAnsi="Arial" w:cs="Arial"/>
        </w:rPr>
      </w:pPr>
      <w:r w:rsidRPr="004D6422">
        <w:rPr>
          <w:rFonts w:ascii="Arial" w:hAnsi="Arial" w:cs="Arial"/>
        </w:rPr>
        <w:t>In improving liquidity, the firm faces a choice between short-term and long-term financing. Short-term instruments</w:t>
      </w:r>
      <w:r w:rsidR="0078225F" w:rsidRPr="004D6422">
        <w:rPr>
          <w:rFonts w:ascii="Arial" w:hAnsi="Arial" w:cs="Arial"/>
        </w:rPr>
        <w:t xml:space="preserve">, </w:t>
      </w:r>
      <w:r w:rsidRPr="004D6422">
        <w:rPr>
          <w:rFonts w:ascii="Arial" w:hAnsi="Arial" w:cs="Arial"/>
        </w:rPr>
        <w:t>such as trade credit, overdrafts, and short-term loans</w:t>
      </w:r>
      <w:r w:rsidR="0078225F" w:rsidRPr="004D6422">
        <w:rPr>
          <w:rFonts w:ascii="Arial" w:hAnsi="Arial" w:cs="Arial"/>
        </w:rPr>
        <w:t xml:space="preserve">, </w:t>
      </w:r>
      <w:r w:rsidRPr="004D6422">
        <w:rPr>
          <w:rFonts w:ascii="Arial" w:hAnsi="Arial" w:cs="Arial"/>
        </w:rPr>
        <w:t>can provide rapid liquidity but expose the firm to refinancing risk and interest volatility, particularly in high-rate conditions (Eurostat, 2023). Excessive reliance on these instruments can accelerate distress if earnings remain weak.</w:t>
      </w:r>
    </w:p>
    <w:p w14:paraId="5CB36CA9" w14:textId="41774F54" w:rsidR="00EF50DF" w:rsidRPr="004D6422" w:rsidRDefault="00EF50DF" w:rsidP="004D6422">
      <w:pPr>
        <w:spacing w:line="360" w:lineRule="auto"/>
        <w:rPr>
          <w:rFonts w:ascii="Arial" w:hAnsi="Arial" w:cs="Arial"/>
        </w:rPr>
      </w:pPr>
      <w:r w:rsidRPr="004D6422">
        <w:rPr>
          <w:rFonts w:ascii="Arial" w:hAnsi="Arial" w:cs="Arial"/>
        </w:rPr>
        <w:t>Long-term financing</w:t>
      </w:r>
      <w:r w:rsidR="0078225F" w:rsidRPr="004D6422">
        <w:rPr>
          <w:rFonts w:ascii="Arial" w:hAnsi="Arial" w:cs="Arial"/>
        </w:rPr>
        <w:t xml:space="preserve">, </w:t>
      </w:r>
      <w:r w:rsidRPr="004D6422">
        <w:rPr>
          <w:rFonts w:ascii="Arial" w:hAnsi="Arial" w:cs="Arial"/>
        </w:rPr>
        <w:t>such as bond issuance or equity injection</w:t>
      </w:r>
      <w:r w:rsidR="0078225F" w:rsidRPr="004D6422">
        <w:rPr>
          <w:rFonts w:ascii="Arial" w:hAnsi="Arial" w:cs="Arial"/>
        </w:rPr>
        <w:t xml:space="preserve">, </w:t>
      </w:r>
      <w:r w:rsidRPr="004D6422">
        <w:rPr>
          <w:rFonts w:ascii="Arial" w:hAnsi="Arial" w:cs="Arial"/>
        </w:rPr>
        <w:t>offers greater stability and reduces rollover risk. However, high leverage and eroded equity make access to debt markets more costly, while equity issuance risks shareholder dilution. Graham and Harvey (2001) note that capital structure decisions must balance financing flexibility, cost of capital, and financial risk. For General Electronics, given its current distress, long-term financing that strengthens the capital base may be more sustainable than continued reliance on short-term borrowing.</w:t>
      </w:r>
    </w:p>
    <w:p w14:paraId="5FF0BC69" w14:textId="348CFEE8" w:rsidR="00EF50DF" w:rsidRPr="004D6422" w:rsidRDefault="00EF50DF" w:rsidP="004D6422">
      <w:pPr>
        <w:pStyle w:val="Heading2"/>
        <w:spacing w:line="360" w:lineRule="auto"/>
        <w:rPr>
          <w:rFonts w:ascii="Arial" w:hAnsi="Arial" w:cs="Arial"/>
          <w:sz w:val="28"/>
          <w:szCs w:val="28"/>
        </w:rPr>
      </w:pPr>
      <w:bookmarkStart w:id="16" w:name="_Toc214875669"/>
      <w:r w:rsidRPr="004D6422">
        <w:rPr>
          <w:rFonts w:ascii="Arial" w:hAnsi="Arial" w:cs="Arial"/>
          <w:sz w:val="28"/>
          <w:szCs w:val="28"/>
        </w:rPr>
        <w:t>2.6 Recommended Working Capital Improvements</w:t>
      </w:r>
      <w:bookmarkEnd w:id="16"/>
    </w:p>
    <w:p w14:paraId="0617CB7F" w14:textId="201BDBA8" w:rsidR="00EF50DF" w:rsidRPr="004D6422" w:rsidRDefault="00EF50DF" w:rsidP="004D6422">
      <w:pPr>
        <w:spacing w:line="360" w:lineRule="auto"/>
        <w:rPr>
          <w:rFonts w:ascii="Arial" w:hAnsi="Arial" w:cs="Arial"/>
        </w:rPr>
      </w:pPr>
      <w:r w:rsidRPr="004D6422">
        <w:rPr>
          <w:rFonts w:ascii="Arial" w:hAnsi="Arial" w:cs="Arial"/>
        </w:rPr>
        <w:t>To stabilise liquidity, several targeted actions are recommended:</w:t>
      </w:r>
    </w:p>
    <w:p w14:paraId="59E68A0C" w14:textId="77777777" w:rsidR="00EF50DF" w:rsidRPr="004D6422" w:rsidRDefault="00EF50DF" w:rsidP="004D6422">
      <w:pPr>
        <w:spacing w:line="360" w:lineRule="auto"/>
        <w:rPr>
          <w:rFonts w:ascii="Arial" w:hAnsi="Arial" w:cs="Arial"/>
        </w:rPr>
      </w:pPr>
      <w:r w:rsidRPr="004D6422">
        <w:rPr>
          <w:rFonts w:ascii="Arial" w:hAnsi="Arial" w:cs="Arial"/>
        </w:rPr>
        <w:t>1. Inventory Optimisation:</w:t>
      </w:r>
    </w:p>
    <w:p w14:paraId="5D1CF09E" w14:textId="67C6798C" w:rsidR="00EF50DF" w:rsidRPr="004D6422" w:rsidRDefault="00EF50DF" w:rsidP="004D6422">
      <w:pPr>
        <w:spacing w:line="360" w:lineRule="auto"/>
        <w:rPr>
          <w:rFonts w:ascii="Arial" w:hAnsi="Arial" w:cs="Arial"/>
        </w:rPr>
      </w:pPr>
      <w:r w:rsidRPr="004D6422">
        <w:rPr>
          <w:rFonts w:ascii="Arial" w:hAnsi="Arial" w:cs="Arial"/>
        </w:rPr>
        <w:t>Implement demand-driven forecasting and reduce excess stock levels to shorten the cash cycle and release trapped working capital. This aligns with evidence that inventory reduction enhances liquidity and profitability (Deloof, 2003).</w:t>
      </w:r>
    </w:p>
    <w:p w14:paraId="3A47D283" w14:textId="77777777" w:rsidR="00EF50DF" w:rsidRPr="004D6422" w:rsidRDefault="00EF50DF" w:rsidP="004D6422">
      <w:pPr>
        <w:spacing w:line="360" w:lineRule="auto"/>
        <w:rPr>
          <w:rFonts w:ascii="Arial" w:hAnsi="Arial" w:cs="Arial"/>
        </w:rPr>
      </w:pPr>
      <w:r w:rsidRPr="004D6422">
        <w:rPr>
          <w:rFonts w:ascii="Arial" w:hAnsi="Arial" w:cs="Arial"/>
        </w:rPr>
        <w:t>2. Receivables Acceleration:</w:t>
      </w:r>
    </w:p>
    <w:p w14:paraId="3E0D04F8" w14:textId="62BEDE3D" w:rsidR="00EF50DF" w:rsidRPr="004D6422" w:rsidRDefault="00EF50DF" w:rsidP="004D6422">
      <w:pPr>
        <w:spacing w:line="360" w:lineRule="auto"/>
        <w:rPr>
          <w:rFonts w:ascii="Arial" w:hAnsi="Arial" w:cs="Arial"/>
        </w:rPr>
      </w:pPr>
      <w:r w:rsidRPr="004D6422">
        <w:rPr>
          <w:rFonts w:ascii="Arial" w:hAnsi="Arial" w:cs="Arial"/>
        </w:rPr>
        <w:t>Strengthen credit controls, incentivise early payments, and tighten credit terms to reduce collection periods. Faster receivables conversion improves cash flow resilience and reduces credit risk (Baños-Caballero et al., 2014).</w:t>
      </w:r>
    </w:p>
    <w:p w14:paraId="148481AD" w14:textId="77777777" w:rsidR="00EF50DF" w:rsidRPr="004D6422" w:rsidRDefault="00EF50DF" w:rsidP="004D6422">
      <w:pPr>
        <w:spacing w:line="360" w:lineRule="auto"/>
        <w:rPr>
          <w:rFonts w:ascii="Arial" w:hAnsi="Arial" w:cs="Arial"/>
        </w:rPr>
      </w:pPr>
      <w:r w:rsidRPr="004D6422">
        <w:rPr>
          <w:rFonts w:ascii="Arial" w:hAnsi="Arial" w:cs="Arial"/>
        </w:rPr>
        <w:t>3. Payables Management:</w:t>
      </w:r>
    </w:p>
    <w:p w14:paraId="6474F04F" w14:textId="4F60BEAC" w:rsidR="00EF50DF" w:rsidRPr="004D6422" w:rsidRDefault="00EF50DF" w:rsidP="004D6422">
      <w:pPr>
        <w:spacing w:line="360" w:lineRule="auto"/>
        <w:rPr>
          <w:rFonts w:ascii="Arial" w:hAnsi="Arial" w:cs="Arial"/>
        </w:rPr>
      </w:pPr>
      <w:r w:rsidRPr="004D6422">
        <w:rPr>
          <w:rFonts w:ascii="Arial" w:hAnsi="Arial" w:cs="Arial"/>
        </w:rPr>
        <w:t>Negotiate extended payment terms with suppliers to increase spontaneous financing without jeopardising relationships. This lengthens the operating cycle and preserves cash for critical operations.</w:t>
      </w:r>
    </w:p>
    <w:p w14:paraId="753405A0" w14:textId="77777777" w:rsidR="00EF50DF" w:rsidRPr="004D6422" w:rsidRDefault="00EF50DF" w:rsidP="004D6422">
      <w:pPr>
        <w:spacing w:line="360" w:lineRule="auto"/>
        <w:rPr>
          <w:rFonts w:ascii="Arial" w:hAnsi="Arial" w:cs="Arial"/>
        </w:rPr>
      </w:pPr>
      <w:r w:rsidRPr="004D6422">
        <w:rPr>
          <w:rFonts w:ascii="Arial" w:hAnsi="Arial" w:cs="Arial"/>
        </w:rPr>
        <w:t>4. Selective Use of Long-Term Financing:</w:t>
      </w:r>
    </w:p>
    <w:p w14:paraId="1B727B2E" w14:textId="4D7FB7A2" w:rsidR="00EF50DF" w:rsidRPr="004D6422" w:rsidRDefault="00EF50DF" w:rsidP="004D6422">
      <w:pPr>
        <w:spacing w:line="360" w:lineRule="auto"/>
        <w:rPr>
          <w:rFonts w:ascii="Arial" w:hAnsi="Arial" w:cs="Arial"/>
        </w:rPr>
      </w:pPr>
      <w:r w:rsidRPr="004D6422">
        <w:rPr>
          <w:rFonts w:ascii="Arial" w:hAnsi="Arial" w:cs="Arial"/>
        </w:rPr>
        <w:lastRenderedPageBreak/>
        <w:t>Where financing is required, prioritise longer-term sources that reduce refinancing risk, supporting liquidity stability in volatile markets (Graham and Harvey, 2001).</w:t>
      </w:r>
    </w:p>
    <w:p w14:paraId="32E0FD3E" w14:textId="11EC628A" w:rsidR="00EF50DF" w:rsidRPr="004D6422" w:rsidRDefault="00EF50DF" w:rsidP="004D6422">
      <w:pPr>
        <w:spacing w:line="360" w:lineRule="auto"/>
        <w:rPr>
          <w:rFonts w:ascii="Arial" w:hAnsi="Arial" w:cs="Arial"/>
        </w:rPr>
      </w:pPr>
      <w:r w:rsidRPr="004D6422">
        <w:rPr>
          <w:rFonts w:ascii="Arial" w:hAnsi="Arial" w:cs="Arial"/>
        </w:rPr>
        <w:t>Collectively, these measures aim to shorten the cash cycle, reduce external financing dependence, and strengthen liquidity.</w:t>
      </w:r>
    </w:p>
    <w:p w14:paraId="62C78C33" w14:textId="54D04837" w:rsidR="00EF50DF" w:rsidRPr="004D6422" w:rsidRDefault="00EF50DF" w:rsidP="004D6422">
      <w:pPr>
        <w:pStyle w:val="Heading2"/>
        <w:spacing w:line="360" w:lineRule="auto"/>
        <w:rPr>
          <w:rFonts w:ascii="Arial" w:hAnsi="Arial" w:cs="Arial"/>
          <w:sz w:val="28"/>
          <w:szCs w:val="28"/>
        </w:rPr>
      </w:pPr>
      <w:bookmarkStart w:id="17" w:name="_Toc214875670"/>
      <w:r w:rsidRPr="004D6422">
        <w:rPr>
          <w:rFonts w:ascii="Arial" w:hAnsi="Arial" w:cs="Arial"/>
          <w:sz w:val="28"/>
          <w:szCs w:val="28"/>
        </w:rPr>
        <w:t>2.7 Section Conclusion</w:t>
      </w:r>
      <w:bookmarkEnd w:id="17"/>
    </w:p>
    <w:p w14:paraId="254FF7C9" w14:textId="1C5A71E6" w:rsidR="00EF50DF" w:rsidRPr="004D6422" w:rsidRDefault="00EF50DF" w:rsidP="004D6422">
      <w:pPr>
        <w:spacing w:line="360" w:lineRule="auto"/>
        <w:rPr>
          <w:rFonts w:ascii="Arial" w:hAnsi="Arial" w:cs="Arial"/>
        </w:rPr>
      </w:pPr>
      <w:r w:rsidRPr="004D6422">
        <w:rPr>
          <w:rFonts w:ascii="Arial" w:hAnsi="Arial" w:cs="Arial"/>
        </w:rPr>
        <w:t>Working capital inefficiencies have played a central role in General Electronics’ liquidity deterioration. Rising inventories, slow receivables, and reduced payables have lengthened the cash conversion cycle, constrained cash availability, and increased reliance on costly short-term financing. In the context of high interest rates and global uncertainty (IMF, 2023; World Bank, 2023), these weaknesses heighten financial vulnerability. Improving working capital efficiency is therefore essential to restoring liquidity, supporting profitability, and stabilising operations ahead of wider restructuring.</w:t>
      </w:r>
    </w:p>
    <w:p w14:paraId="2C76E1FA" w14:textId="6A0BB7EC" w:rsidR="00EF50DF" w:rsidRPr="004D6422" w:rsidRDefault="00EF50DF" w:rsidP="004D6422">
      <w:pPr>
        <w:pStyle w:val="Heading1"/>
        <w:spacing w:line="360" w:lineRule="auto"/>
        <w:rPr>
          <w:rFonts w:ascii="Arial" w:hAnsi="Arial" w:cs="Arial"/>
          <w:sz w:val="32"/>
          <w:szCs w:val="32"/>
        </w:rPr>
      </w:pPr>
      <w:bookmarkStart w:id="18" w:name="_Toc214875671"/>
      <w:r w:rsidRPr="004D6422">
        <w:rPr>
          <w:rFonts w:ascii="Arial" w:hAnsi="Arial" w:cs="Arial"/>
          <w:sz w:val="32"/>
          <w:szCs w:val="32"/>
        </w:rPr>
        <w:t xml:space="preserve">3: </w:t>
      </w:r>
      <w:r w:rsidR="004D6422" w:rsidRPr="004D6422">
        <w:rPr>
          <w:rFonts w:ascii="Arial" w:hAnsi="Arial" w:cs="Arial"/>
          <w:sz w:val="32"/>
          <w:szCs w:val="32"/>
        </w:rPr>
        <w:t>Strategic Financial Restructuring Plan</w:t>
      </w:r>
      <w:bookmarkEnd w:id="18"/>
      <w:r w:rsidRPr="004D6422">
        <w:rPr>
          <w:rFonts w:ascii="Arial" w:hAnsi="Arial" w:cs="Arial"/>
          <w:sz w:val="32"/>
          <w:szCs w:val="32"/>
        </w:rPr>
        <w:t xml:space="preserve"> </w:t>
      </w:r>
    </w:p>
    <w:p w14:paraId="0192FCF0" w14:textId="7B3683E3" w:rsidR="00EF50DF" w:rsidRPr="004D6422" w:rsidRDefault="00EF50DF" w:rsidP="004D6422">
      <w:pPr>
        <w:spacing w:line="360" w:lineRule="auto"/>
        <w:rPr>
          <w:rFonts w:ascii="Arial" w:hAnsi="Arial" w:cs="Arial"/>
        </w:rPr>
      </w:pPr>
      <w:r w:rsidRPr="004D6422">
        <w:rPr>
          <w:rFonts w:ascii="Arial" w:hAnsi="Arial" w:cs="Arial"/>
        </w:rPr>
        <w:t>General Electronics’ financial decline reflects structural weaknesses across profitability, liquidity, capital structure, and value creation. The organisation has moved into a position of sustained losses, weakening cash flows, rising leverage, and eroding equity. The purpose of this restructuring plan is to stabilise the firm’s financial position, reduce distress risk, and support long-term value creation through a coherent set of strategic financial actions. The plan focuses on capital structure reform, operational streamlining, asset restructuring, and ethical and international considerations.</w:t>
      </w:r>
    </w:p>
    <w:p w14:paraId="5ED313CD" w14:textId="36FC452B" w:rsidR="00EF50DF" w:rsidRPr="004D6422" w:rsidRDefault="00EF50DF" w:rsidP="004D6422">
      <w:pPr>
        <w:pStyle w:val="Heading2"/>
        <w:spacing w:line="360" w:lineRule="auto"/>
        <w:rPr>
          <w:rFonts w:ascii="Arial" w:hAnsi="Arial" w:cs="Arial"/>
          <w:sz w:val="28"/>
          <w:szCs w:val="28"/>
        </w:rPr>
      </w:pPr>
      <w:bookmarkStart w:id="19" w:name="_Toc214875672"/>
      <w:r w:rsidRPr="004D6422">
        <w:rPr>
          <w:rFonts w:ascii="Arial" w:hAnsi="Arial" w:cs="Arial"/>
          <w:sz w:val="28"/>
          <w:szCs w:val="28"/>
        </w:rPr>
        <w:t>3.1 Rationale for Financial Restructuring</w:t>
      </w:r>
      <w:bookmarkEnd w:id="19"/>
    </w:p>
    <w:p w14:paraId="6A9E3E19" w14:textId="0E5D5066" w:rsidR="00EF50DF" w:rsidRPr="004D6422" w:rsidRDefault="00EF50DF" w:rsidP="004D6422">
      <w:pPr>
        <w:spacing w:line="360" w:lineRule="auto"/>
        <w:rPr>
          <w:rFonts w:ascii="Arial" w:hAnsi="Arial" w:cs="Arial"/>
        </w:rPr>
      </w:pPr>
      <w:r w:rsidRPr="004D6422">
        <w:rPr>
          <w:rFonts w:ascii="Arial" w:hAnsi="Arial" w:cs="Arial"/>
        </w:rPr>
        <w:t>The firm’s deteriorating operating performance</w:t>
      </w:r>
      <w:r w:rsidR="0078225F" w:rsidRPr="004D6422">
        <w:rPr>
          <w:rFonts w:ascii="Arial" w:hAnsi="Arial" w:cs="Arial"/>
        </w:rPr>
        <w:t xml:space="preserve">, </w:t>
      </w:r>
      <w:r w:rsidRPr="004D6422">
        <w:rPr>
          <w:rFonts w:ascii="Arial" w:hAnsi="Arial" w:cs="Arial"/>
        </w:rPr>
        <w:t>shifting from £37,267m operating profit in 2020 to a £15,297m loss in 2024</w:t>
      </w:r>
      <w:r w:rsidR="0078225F" w:rsidRPr="004D6422">
        <w:rPr>
          <w:rFonts w:ascii="Arial" w:hAnsi="Arial" w:cs="Arial"/>
        </w:rPr>
        <w:t xml:space="preserve">, </w:t>
      </w:r>
      <w:r w:rsidRPr="004D6422">
        <w:rPr>
          <w:rFonts w:ascii="Arial" w:hAnsi="Arial" w:cs="Arial"/>
        </w:rPr>
        <w:t xml:space="preserve">has undermined its ability to generate internal financing. Equity has fallen significantly, and leverage has risen relative to the capital base. Research shows that firms in financial distress require restructuring to restore solvency, regain investor confidence, and prevent failure (Wruck, 1990). Additionally, sustained negative returns and collapsing earnings per share indicate </w:t>
      </w:r>
      <w:r w:rsidRPr="004D6422">
        <w:rPr>
          <w:rFonts w:ascii="Arial" w:hAnsi="Arial" w:cs="Arial"/>
        </w:rPr>
        <w:lastRenderedPageBreak/>
        <w:t>that shareholder value is being destroyed rather than created, necessitating a strategic reset in financial priorities.</w:t>
      </w:r>
    </w:p>
    <w:p w14:paraId="2BF7E5EA" w14:textId="53C13ADE" w:rsidR="00EF50DF" w:rsidRPr="004D6422" w:rsidRDefault="00EF50DF" w:rsidP="004D6422">
      <w:pPr>
        <w:spacing w:line="360" w:lineRule="auto"/>
        <w:rPr>
          <w:rFonts w:ascii="Arial" w:hAnsi="Arial" w:cs="Arial"/>
        </w:rPr>
      </w:pPr>
      <w:r w:rsidRPr="004D6422">
        <w:rPr>
          <w:rFonts w:ascii="Arial" w:hAnsi="Arial" w:cs="Arial"/>
        </w:rPr>
        <w:t>High interest-rate conditions further intensify the urgency of restructuring, as elevated borrowing costs increase the burden on leveraged firms (IMF, 2023). Without intervention, the current capital structure is unsustainable, and default risk remains high.</w:t>
      </w:r>
    </w:p>
    <w:p w14:paraId="35038DF6" w14:textId="06A1613D" w:rsidR="00EF50DF" w:rsidRPr="004D6422" w:rsidRDefault="00EF50DF" w:rsidP="004D6422">
      <w:pPr>
        <w:pStyle w:val="Heading2"/>
        <w:spacing w:line="360" w:lineRule="auto"/>
        <w:rPr>
          <w:rFonts w:ascii="Arial" w:hAnsi="Arial" w:cs="Arial"/>
          <w:sz w:val="28"/>
          <w:szCs w:val="28"/>
        </w:rPr>
      </w:pPr>
      <w:bookmarkStart w:id="20" w:name="_Toc214875673"/>
      <w:r w:rsidRPr="004D6422">
        <w:rPr>
          <w:rFonts w:ascii="Arial" w:hAnsi="Arial" w:cs="Arial"/>
          <w:sz w:val="28"/>
          <w:szCs w:val="28"/>
        </w:rPr>
        <w:t>3.2 Capital Structure Reform and Debt Reduction</w:t>
      </w:r>
      <w:bookmarkEnd w:id="20"/>
    </w:p>
    <w:p w14:paraId="4C9BD0AC" w14:textId="781C183B" w:rsidR="00EF50DF" w:rsidRPr="004D6422" w:rsidRDefault="00EF50DF" w:rsidP="004D6422">
      <w:pPr>
        <w:spacing w:line="360" w:lineRule="auto"/>
        <w:rPr>
          <w:rFonts w:ascii="Arial" w:hAnsi="Arial" w:cs="Arial"/>
        </w:rPr>
      </w:pPr>
      <w:r w:rsidRPr="004D6422">
        <w:rPr>
          <w:rFonts w:ascii="Arial" w:hAnsi="Arial" w:cs="Arial"/>
        </w:rPr>
        <w:t>The firm must prioritise reducing leverage to improve solvency and restore financial flexibility. Rising liabilities and falling equity have increased financial risk, limiting access to capital markets and elevating refinancing pressure. Research confirms that excessive leverage heightens default probability and constrains long-term growth (Titman and Wessels, 1988).</w:t>
      </w:r>
    </w:p>
    <w:p w14:paraId="11074601" w14:textId="68DA7CAD" w:rsidR="00EF50DF" w:rsidRPr="004D6422" w:rsidRDefault="00EF50DF" w:rsidP="004D6422">
      <w:pPr>
        <w:spacing w:line="360" w:lineRule="auto"/>
        <w:rPr>
          <w:rFonts w:ascii="Arial" w:hAnsi="Arial" w:cs="Arial"/>
        </w:rPr>
      </w:pPr>
      <w:r w:rsidRPr="004D6422">
        <w:rPr>
          <w:rFonts w:ascii="Arial" w:hAnsi="Arial" w:cs="Arial"/>
        </w:rPr>
        <w:t>A targeted deleveraging plan should include:</w:t>
      </w:r>
    </w:p>
    <w:p w14:paraId="5F153E19" w14:textId="77777777" w:rsidR="00EF50DF" w:rsidRPr="004D6422" w:rsidRDefault="00EF50DF" w:rsidP="004D6422">
      <w:pPr>
        <w:spacing w:line="360" w:lineRule="auto"/>
        <w:rPr>
          <w:rFonts w:ascii="Arial" w:hAnsi="Arial" w:cs="Arial"/>
        </w:rPr>
      </w:pPr>
      <w:r w:rsidRPr="004D6422">
        <w:rPr>
          <w:rFonts w:ascii="Arial" w:hAnsi="Arial" w:cs="Arial"/>
        </w:rPr>
        <w:t>1. Debt Retirement Using Divestiture Proceeds</w:t>
      </w:r>
    </w:p>
    <w:p w14:paraId="003AE9E7" w14:textId="20EDF2C2" w:rsidR="00EF50DF" w:rsidRPr="004D6422" w:rsidRDefault="00EF50DF" w:rsidP="004D6422">
      <w:pPr>
        <w:spacing w:line="360" w:lineRule="auto"/>
        <w:rPr>
          <w:rFonts w:ascii="Arial" w:hAnsi="Arial" w:cs="Arial"/>
        </w:rPr>
      </w:pPr>
      <w:r w:rsidRPr="004D6422">
        <w:rPr>
          <w:rFonts w:ascii="Arial" w:hAnsi="Arial" w:cs="Arial"/>
        </w:rPr>
        <w:t>Selling non-core assets provides immediate liquidity that can be applied towards debt reduction. This reduces interest obligations and strengthens solvency. Lower leverage enhances the firm’s ability to withstand volatility and improves credit standing.</w:t>
      </w:r>
    </w:p>
    <w:p w14:paraId="6F2BE070" w14:textId="77777777" w:rsidR="00EF50DF" w:rsidRPr="004D6422" w:rsidRDefault="00EF50DF" w:rsidP="004D6422">
      <w:pPr>
        <w:spacing w:line="360" w:lineRule="auto"/>
        <w:rPr>
          <w:rFonts w:ascii="Arial" w:hAnsi="Arial" w:cs="Arial"/>
        </w:rPr>
      </w:pPr>
      <w:r w:rsidRPr="004D6422">
        <w:rPr>
          <w:rFonts w:ascii="Arial" w:hAnsi="Arial" w:cs="Arial"/>
        </w:rPr>
        <w:t>2. Renegotiation of Debt Terms</w:t>
      </w:r>
    </w:p>
    <w:p w14:paraId="2C056FAC" w14:textId="6386C442" w:rsidR="00EF50DF" w:rsidRPr="004D6422" w:rsidRDefault="00EF50DF" w:rsidP="004D6422">
      <w:pPr>
        <w:spacing w:line="360" w:lineRule="auto"/>
        <w:rPr>
          <w:rFonts w:ascii="Arial" w:hAnsi="Arial" w:cs="Arial"/>
        </w:rPr>
      </w:pPr>
      <w:r w:rsidRPr="004D6422">
        <w:rPr>
          <w:rFonts w:ascii="Arial" w:hAnsi="Arial" w:cs="Arial"/>
        </w:rPr>
        <w:t>Where possible, the firm should seek extended maturities and lower coupon structures to reduce short-term refinancing pressure. This provides stability and aligns repayment schedules with future cash generation.</w:t>
      </w:r>
    </w:p>
    <w:p w14:paraId="6799EF34" w14:textId="77777777" w:rsidR="00EF50DF" w:rsidRPr="004D6422" w:rsidRDefault="00EF50DF" w:rsidP="004D6422">
      <w:pPr>
        <w:spacing w:line="360" w:lineRule="auto"/>
        <w:rPr>
          <w:rFonts w:ascii="Arial" w:hAnsi="Arial" w:cs="Arial"/>
        </w:rPr>
      </w:pPr>
      <w:r w:rsidRPr="004D6422">
        <w:rPr>
          <w:rFonts w:ascii="Arial" w:hAnsi="Arial" w:cs="Arial"/>
        </w:rPr>
        <w:t>3. Selective Equity Reinforcement</w:t>
      </w:r>
    </w:p>
    <w:p w14:paraId="50DE5C3E" w14:textId="53558C65" w:rsidR="00EF50DF" w:rsidRPr="004D6422" w:rsidRDefault="00EF50DF" w:rsidP="004D6422">
      <w:pPr>
        <w:spacing w:line="360" w:lineRule="auto"/>
        <w:rPr>
          <w:rFonts w:ascii="Arial" w:hAnsi="Arial" w:cs="Arial"/>
        </w:rPr>
      </w:pPr>
      <w:r w:rsidRPr="004D6422">
        <w:rPr>
          <w:rFonts w:ascii="Arial" w:hAnsi="Arial" w:cs="Arial"/>
        </w:rPr>
        <w:t>If required, raising equity capital</w:t>
      </w:r>
      <w:r w:rsidR="0078225F" w:rsidRPr="004D6422">
        <w:rPr>
          <w:rFonts w:ascii="Arial" w:hAnsi="Arial" w:cs="Arial"/>
        </w:rPr>
        <w:t xml:space="preserve">, </w:t>
      </w:r>
      <w:r w:rsidRPr="004D6422">
        <w:rPr>
          <w:rFonts w:ascii="Arial" w:hAnsi="Arial" w:cs="Arial"/>
        </w:rPr>
        <w:t>even with dilution</w:t>
      </w:r>
      <w:r w:rsidR="0078225F" w:rsidRPr="004D6422">
        <w:rPr>
          <w:rFonts w:ascii="Arial" w:hAnsi="Arial" w:cs="Arial"/>
        </w:rPr>
        <w:t xml:space="preserve">, </w:t>
      </w:r>
      <w:r w:rsidRPr="004D6422">
        <w:rPr>
          <w:rFonts w:ascii="Arial" w:hAnsi="Arial" w:cs="Arial"/>
        </w:rPr>
        <w:t>can strengthen the balance sheet and lower financial risk. Graham and Harvey (2001) highlight that capital structure adjustments are essential during distress to restore financing capacity.</w:t>
      </w:r>
    </w:p>
    <w:p w14:paraId="38A6C6E8" w14:textId="7D858738" w:rsidR="00EF50DF" w:rsidRPr="004D6422" w:rsidRDefault="00EF50DF" w:rsidP="004D6422">
      <w:pPr>
        <w:spacing w:line="360" w:lineRule="auto"/>
        <w:rPr>
          <w:rFonts w:ascii="Arial" w:hAnsi="Arial" w:cs="Arial"/>
        </w:rPr>
      </w:pPr>
      <w:r w:rsidRPr="004D6422">
        <w:rPr>
          <w:rFonts w:ascii="Arial" w:hAnsi="Arial" w:cs="Arial"/>
        </w:rPr>
        <w:t>Overall, reducing leverage is central to restoring solvency and enabling long-term investment capacity.</w:t>
      </w:r>
    </w:p>
    <w:p w14:paraId="0E7AB358" w14:textId="0FC8B6E1" w:rsidR="00EF50DF" w:rsidRPr="004D6422" w:rsidRDefault="00EF50DF" w:rsidP="004D6422">
      <w:pPr>
        <w:pStyle w:val="Heading2"/>
        <w:spacing w:line="360" w:lineRule="auto"/>
        <w:rPr>
          <w:rFonts w:ascii="Arial" w:hAnsi="Arial" w:cs="Arial"/>
          <w:sz w:val="28"/>
          <w:szCs w:val="28"/>
        </w:rPr>
      </w:pPr>
      <w:bookmarkStart w:id="21" w:name="_Toc214875674"/>
      <w:r w:rsidRPr="004D6422">
        <w:rPr>
          <w:rFonts w:ascii="Arial" w:hAnsi="Arial" w:cs="Arial"/>
          <w:sz w:val="28"/>
          <w:szCs w:val="28"/>
        </w:rPr>
        <w:lastRenderedPageBreak/>
        <w:t>3.3 Operational Cost Restructuring</w:t>
      </w:r>
      <w:bookmarkEnd w:id="21"/>
    </w:p>
    <w:p w14:paraId="504CBFB3" w14:textId="221C9A4D" w:rsidR="00EF50DF" w:rsidRPr="004D6422" w:rsidRDefault="00EF50DF" w:rsidP="004D6422">
      <w:pPr>
        <w:spacing w:line="360" w:lineRule="auto"/>
        <w:rPr>
          <w:rFonts w:ascii="Arial" w:hAnsi="Arial" w:cs="Arial"/>
        </w:rPr>
      </w:pPr>
      <w:r w:rsidRPr="004D6422">
        <w:rPr>
          <w:rFonts w:ascii="Arial" w:hAnsi="Arial" w:cs="Arial"/>
        </w:rPr>
        <w:t>Cost rationalisation is critical given the collapse in profitability. Operating expenses have remained elevated despite declining revenues, contributing to operating losses in 2023 and 2024. Strategic cost restructuring should focus on:</w:t>
      </w:r>
    </w:p>
    <w:p w14:paraId="15EB20B7" w14:textId="3E58372B" w:rsidR="00EF50DF" w:rsidRPr="004D6422" w:rsidRDefault="00EF50DF" w:rsidP="004D6422">
      <w:pPr>
        <w:spacing w:line="360" w:lineRule="auto"/>
        <w:rPr>
          <w:rFonts w:ascii="Arial" w:hAnsi="Arial" w:cs="Arial"/>
        </w:rPr>
      </w:pPr>
      <w:r w:rsidRPr="004D6422">
        <w:rPr>
          <w:rFonts w:ascii="Arial" w:hAnsi="Arial" w:cs="Arial"/>
        </w:rPr>
        <w:t>Streamlining product lines and discontinuing underperforming segments</w:t>
      </w:r>
    </w:p>
    <w:p w14:paraId="1B165A9B" w14:textId="59493321" w:rsidR="00EF50DF" w:rsidRPr="004D6422" w:rsidRDefault="00EF50DF" w:rsidP="004D6422">
      <w:pPr>
        <w:spacing w:line="360" w:lineRule="auto"/>
        <w:rPr>
          <w:rFonts w:ascii="Arial" w:hAnsi="Arial" w:cs="Arial"/>
        </w:rPr>
      </w:pPr>
      <w:r w:rsidRPr="004D6422">
        <w:rPr>
          <w:rFonts w:ascii="Arial" w:hAnsi="Arial" w:cs="Arial"/>
        </w:rPr>
        <w:t>Consolidating manufacturing and supply chain operations</w:t>
      </w:r>
    </w:p>
    <w:p w14:paraId="3C107DE4" w14:textId="683B4FE7" w:rsidR="00EF50DF" w:rsidRPr="004D6422" w:rsidRDefault="00EF50DF" w:rsidP="004D6422">
      <w:pPr>
        <w:spacing w:line="360" w:lineRule="auto"/>
        <w:rPr>
          <w:rFonts w:ascii="Arial" w:hAnsi="Arial" w:cs="Arial"/>
        </w:rPr>
      </w:pPr>
      <w:r w:rsidRPr="004D6422">
        <w:rPr>
          <w:rFonts w:ascii="Arial" w:hAnsi="Arial" w:cs="Arial"/>
        </w:rPr>
        <w:t>Implementing efficiency-focused process improvements</w:t>
      </w:r>
    </w:p>
    <w:p w14:paraId="3211EFD3" w14:textId="5FBA7934" w:rsidR="00EF50DF" w:rsidRPr="004D6422" w:rsidRDefault="00EF50DF" w:rsidP="004D6422">
      <w:pPr>
        <w:spacing w:line="360" w:lineRule="auto"/>
        <w:rPr>
          <w:rFonts w:ascii="Arial" w:hAnsi="Arial" w:cs="Arial"/>
        </w:rPr>
      </w:pPr>
      <w:r w:rsidRPr="004D6422">
        <w:rPr>
          <w:rFonts w:ascii="Arial" w:hAnsi="Arial" w:cs="Arial"/>
        </w:rPr>
        <w:t>This approach aligns with Schendel et al. (1976), who find that recovery strategies in declining firms typically require targeted operational retrenchment. Reducing operational costs can move the firm back toward positive operating income and support improved margins.</w:t>
      </w:r>
    </w:p>
    <w:p w14:paraId="6910AF86" w14:textId="00168E14" w:rsidR="00EF50DF" w:rsidRPr="004D6422" w:rsidRDefault="00EF50DF" w:rsidP="004D6422">
      <w:pPr>
        <w:pStyle w:val="Heading2"/>
        <w:spacing w:line="360" w:lineRule="auto"/>
        <w:rPr>
          <w:rFonts w:ascii="Arial" w:hAnsi="Arial" w:cs="Arial"/>
          <w:sz w:val="28"/>
          <w:szCs w:val="28"/>
        </w:rPr>
      </w:pPr>
      <w:bookmarkStart w:id="22" w:name="_Toc214875675"/>
      <w:r w:rsidRPr="004D6422">
        <w:rPr>
          <w:rFonts w:ascii="Arial" w:hAnsi="Arial" w:cs="Arial"/>
          <w:sz w:val="28"/>
          <w:szCs w:val="28"/>
        </w:rPr>
        <w:t>3.4 Strategic Divestiture as a Core Restructuring Option</w:t>
      </w:r>
      <w:bookmarkEnd w:id="22"/>
    </w:p>
    <w:p w14:paraId="3BA606BF" w14:textId="7C5542BE" w:rsidR="00EF50DF" w:rsidRPr="004D6422" w:rsidRDefault="00EF50DF" w:rsidP="004D6422">
      <w:pPr>
        <w:spacing w:line="360" w:lineRule="auto"/>
        <w:rPr>
          <w:rFonts w:ascii="Arial" w:hAnsi="Arial" w:cs="Arial"/>
        </w:rPr>
      </w:pPr>
      <w:r w:rsidRPr="004D6422">
        <w:rPr>
          <w:rFonts w:ascii="Arial" w:hAnsi="Arial" w:cs="Arial"/>
        </w:rPr>
        <w:t>A focused divestiture of non-core or low-margin business units represents a practical restructuring action. Divestitures generate immediate cash, improve operational focus, reduce complexity, and support debt reduction. Égert (2021) highlights that strategic capital reallocation is essential to improving investment efficiency and long-term returns.</w:t>
      </w:r>
    </w:p>
    <w:p w14:paraId="39156A63" w14:textId="6B5D947E" w:rsidR="00EF50DF" w:rsidRPr="004D6422" w:rsidRDefault="00EF50DF" w:rsidP="004D6422">
      <w:pPr>
        <w:spacing w:line="360" w:lineRule="auto"/>
        <w:rPr>
          <w:rFonts w:ascii="Arial" w:hAnsi="Arial" w:cs="Arial"/>
        </w:rPr>
      </w:pPr>
      <w:r w:rsidRPr="004D6422">
        <w:rPr>
          <w:rFonts w:ascii="Arial" w:hAnsi="Arial" w:cs="Arial"/>
        </w:rPr>
        <w:t>For General Electronics, divesting peripheral business activities allows management to concentrate resources on profitable and competitive core segments. This restructuring option directly supports liquidity improvement, debt reduction, and value creation.</w:t>
      </w:r>
    </w:p>
    <w:p w14:paraId="6CD01150" w14:textId="7D972A96" w:rsidR="00EF50DF" w:rsidRPr="004D6422" w:rsidRDefault="00EF50DF" w:rsidP="004D6422">
      <w:pPr>
        <w:pStyle w:val="Heading2"/>
        <w:spacing w:line="360" w:lineRule="auto"/>
        <w:rPr>
          <w:rFonts w:ascii="Arial" w:hAnsi="Arial" w:cs="Arial"/>
          <w:sz w:val="28"/>
          <w:szCs w:val="28"/>
        </w:rPr>
      </w:pPr>
      <w:bookmarkStart w:id="23" w:name="_Toc214875676"/>
      <w:r w:rsidRPr="004D6422">
        <w:rPr>
          <w:rFonts w:ascii="Arial" w:hAnsi="Arial" w:cs="Arial"/>
          <w:sz w:val="28"/>
          <w:szCs w:val="28"/>
        </w:rPr>
        <w:t>3.5 Impact on Shareholder Value</w:t>
      </w:r>
      <w:bookmarkEnd w:id="23"/>
    </w:p>
    <w:p w14:paraId="6113E1EF" w14:textId="06508D5A" w:rsidR="00EF50DF" w:rsidRPr="004D6422" w:rsidRDefault="00EF50DF" w:rsidP="004D6422">
      <w:pPr>
        <w:spacing w:line="360" w:lineRule="auto"/>
        <w:rPr>
          <w:rFonts w:ascii="Arial" w:hAnsi="Arial" w:cs="Arial"/>
        </w:rPr>
      </w:pPr>
      <w:r w:rsidRPr="004D6422">
        <w:rPr>
          <w:rFonts w:ascii="Arial" w:hAnsi="Arial" w:cs="Arial"/>
        </w:rPr>
        <w:t>Restructuring must restore confidence among shareholders and investors. The collapse in EPS</w:t>
      </w:r>
      <w:r w:rsidR="0078225F" w:rsidRPr="004D6422">
        <w:rPr>
          <w:rFonts w:ascii="Arial" w:hAnsi="Arial" w:cs="Arial"/>
        </w:rPr>
        <w:t xml:space="preserve">, </w:t>
      </w:r>
      <w:r w:rsidRPr="004D6422">
        <w:rPr>
          <w:rFonts w:ascii="Arial" w:hAnsi="Arial" w:cs="Arial"/>
        </w:rPr>
        <w:t xml:space="preserve">from £2.78 in 2020 to </w:t>
      </w:r>
      <w:r w:rsidR="00C24F7E">
        <w:rPr>
          <w:rFonts w:ascii="Arial" w:hAnsi="Arial" w:cs="Arial"/>
        </w:rPr>
        <w:t>-</w:t>
      </w:r>
      <w:r w:rsidRPr="004D6422">
        <w:rPr>
          <w:rFonts w:ascii="Arial" w:hAnsi="Arial" w:cs="Arial"/>
        </w:rPr>
        <w:t>£1.85 in 2024</w:t>
      </w:r>
      <w:r w:rsidR="0078225F" w:rsidRPr="004D6422">
        <w:rPr>
          <w:rFonts w:ascii="Arial" w:hAnsi="Arial" w:cs="Arial"/>
        </w:rPr>
        <w:t xml:space="preserve">, </w:t>
      </w:r>
      <w:r w:rsidRPr="004D6422">
        <w:rPr>
          <w:rFonts w:ascii="Arial" w:hAnsi="Arial" w:cs="Arial"/>
        </w:rPr>
        <w:t>indicates severe value destruction. By reducing leverage, improving profitability, and reallocating capital to higher-return activities, restructuring can stabilise earnings and support long-term value creation. Arena-based research suggests that firms improving capital allocation and reducing value-destroying investment can rebuild investor confidence and enhance equity value over time (Arenbo, 2023).</w:t>
      </w:r>
    </w:p>
    <w:p w14:paraId="713FE696" w14:textId="52CF8110" w:rsidR="00EF50DF" w:rsidRPr="004D6422" w:rsidRDefault="00EF50DF" w:rsidP="004D6422">
      <w:pPr>
        <w:spacing w:line="360" w:lineRule="auto"/>
        <w:rPr>
          <w:rFonts w:ascii="Arial" w:hAnsi="Arial" w:cs="Arial"/>
        </w:rPr>
      </w:pPr>
      <w:r w:rsidRPr="004D6422">
        <w:rPr>
          <w:rFonts w:ascii="Arial" w:hAnsi="Arial" w:cs="Arial"/>
        </w:rPr>
        <w:lastRenderedPageBreak/>
        <w:t>Improved solvency and reduced financial risk can also lower the cost of capital, supporting higher future valuations.</w:t>
      </w:r>
    </w:p>
    <w:p w14:paraId="008AD485" w14:textId="54EBAB09" w:rsidR="00EF50DF" w:rsidRPr="004D6422" w:rsidRDefault="00EF50DF" w:rsidP="004D6422">
      <w:pPr>
        <w:pStyle w:val="Heading2"/>
        <w:spacing w:line="360" w:lineRule="auto"/>
        <w:rPr>
          <w:rFonts w:ascii="Arial" w:hAnsi="Arial" w:cs="Arial"/>
          <w:sz w:val="28"/>
          <w:szCs w:val="28"/>
        </w:rPr>
      </w:pPr>
      <w:bookmarkStart w:id="24" w:name="_Toc214875677"/>
      <w:r w:rsidRPr="004D6422">
        <w:rPr>
          <w:rFonts w:ascii="Arial" w:hAnsi="Arial" w:cs="Arial"/>
          <w:sz w:val="28"/>
          <w:szCs w:val="28"/>
        </w:rPr>
        <w:t>3.6 Impact on Debt Structure and Solvency</w:t>
      </w:r>
      <w:bookmarkEnd w:id="24"/>
    </w:p>
    <w:p w14:paraId="65508FD7" w14:textId="649B6A8C" w:rsidR="00EF50DF" w:rsidRPr="004D6422" w:rsidRDefault="00EF50DF" w:rsidP="004D6422">
      <w:pPr>
        <w:spacing w:line="360" w:lineRule="auto"/>
        <w:rPr>
          <w:rFonts w:ascii="Arial" w:hAnsi="Arial" w:cs="Arial"/>
        </w:rPr>
      </w:pPr>
      <w:r w:rsidRPr="004D6422">
        <w:rPr>
          <w:rFonts w:ascii="Arial" w:hAnsi="Arial" w:cs="Arial"/>
        </w:rPr>
        <w:t>A key objective of restructuring is to stabilise the capital structure and reduce default risk. Lower leverage decreases interest obligations and strengthens cash flow coverage, while divestiture-linked debt repayment directly reduces the debt-to-equity imbalance. With improved solvency, the firm gains greater access to long-term financing markets and reduced reliance on short-term borrowing, lowering refinancing risk during volatile conditions (Graham and Harvey, 2001).</w:t>
      </w:r>
    </w:p>
    <w:p w14:paraId="2F9A8894" w14:textId="5EAB16ED" w:rsidR="00EF50DF" w:rsidRPr="004D6422" w:rsidRDefault="00EF50DF" w:rsidP="004D6422">
      <w:pPr>
        <w:spacing w:line="360" w:lineRule="auto"/>
        <w:rPr>
          <w:rFonts w:ascii="Arial" w:hAnsi="Arial" w:cs="Arial"/>
        </w:rPr>
      </w:pPr>
      <w:r w:rsidRPr="004D6422">
        <w:rPr>
          <w:rFonts w:ascii="Arial" w:hAnsi="Arial" w:cs="Arial"/>
        </w:rPr>
        <w:t>Strengthened solvency also supports future investment and strategic growth opportunities.</w:t>
      </w:r>
    </w:p>
    <w:p w14:paraId="01AC144D" w14:textId="08796BE0" w:rsidR="00EF50DF" w:rsidRPr="004D6422" w:rsidRDefault="00EF50DF" w:rsidP="004D6422">
      <w:pPr>
        <w:pStyle w:val="Heading2"/>
        <w:spacing w:line="360" w:lineRule="auto"/>
        <w:rPr>
          <w:rFonts w:ascii="Arial" w:hAnsi="Arial" w:cs="Arial"/>
          <w:sz w:val="28"/>
          <w:szCs w:val="28"/>
        </w:rPr>
      </w:pPr>
      <w:bookmarkStart w:id="25" w:name="_Toc214875678"/>
      <w:r w:rsidRPr="004D6422">
        <w:rPr>
          <w:rFonts w:ascii="Arial" w:hAnsi="Arial" w:cs="Arial"/>
          <w:sz w:val="28"/>
          <w:szCs w:val="28"/>
        </w:rPr>
        <w:t>3.7 International and Ethical Considerations</w:t>
      </w:r>
      <w:bookmarkEnd w:id="25"/>
    </w:p>
    <w:p w14:paraId="5297CD6D" w14:textId="2CEF44D6" w:rsidR="00EF50DF" w:rsidRPr="004D6422" w:rsidRDefault="00EF50DF" w:rsidP="004D6422">
      <w:pPr>
        <w:spacing w:line="360" w:lineRule="auto"/>
        <w:rPr>
          <w:rFonts w:ascii="Arial" w:hAnsi="Arial" w:cs="Arial"/>
        </w:rPr>
      </w:pPr>
      <w:r w:rsidRPr="004D6422">
        <w:rPr>
          <w:rFonts w:ascii="Arial" w:hAnsi="Arial" w:cs="Arial"/>
        </w:rPr>
        <w:t>As a global company, General Electronics must restructure in alignment with ethical, regulatory, and international standards. OECD (2024c) underscores the importance of responsible business conduct in multinational operations, while global CSR frameworks emphasise transparency and stakeholder accountability (CSR Global, 2023). Restructuring decisions</w:t>
      </w:r>
      <w:r w:rsidR="0078225F" w:rsidRPr="004D6422">
        <w:rPr>
          <w:rFonts w:ascii="Arial" w:hAnsi="Arial" w:cs="Arial"/>
        </w:rPr>
        <w:t xml:space="preserve">, </w:t>
      </w:r>
      <w:r w:rsidRPr="004D6422">
        <w:rPr>
          <w:rFonts w:ascii="Arial" w:hAnsi="Arial" w:cs="Arial"/>
        </w:rPr>
        <w:t>such as divestitures and workforce changes</w:t>
      </w:r>
      <w:r w:rsidR="0078225F" w:rsidRPr="004D6422">
        <w:rPr>
          <w:rFonts w:ascii="Arial" w:hAnsi="Arial" w:cs="Arial"/>
        </w:rPr>
        <w:t xml:space="preserve">, </w:t>
      </w:r>
      <w:r w:rsidRPr="004D6422">
        <w:rPr>
          <w:rFonts w:ascii="Arial" w:hAnsi="Arial" w:cs="Arial"/>
        </w:rPr>
        <w:t>must therefore be aligned with fair treatment, compliance, and long-term sustainability.</w:t>
      </w:r>
    </w:p>
    <w:p w14:paraId="2890DE7B" w14:textId="78B5FBE2" w:rsidR="00EF50DF" w:rsidRPr="004D6422" w:rsidRDefault="00EF50DF" w:rsidP="004D6422">
      <w:pPr>
        <w:spacing w:line="360" w:lineRule="auto"/>
        <w:rPr>
          <w:rFonts w:ascii="Arial" w:hAnsi="Arial" w:cs="Arial"/>
        </w:rPr>
      </w:pPr>
      <w:r w:rsidRPr="004D6422">
        <w:rPr>
          <w:rFonts w:ascii="Arial" w:hAnsi="Arial" w:cs="Arial"/>
        </w:rPr>
        <w:t>Macroeconomic conditions remain highly uncertain. Inflationary pressures and currency volatility increase cost unpredictability and financial exposure (OECD, 2024b). High interest rates further increase financing costs (Eurostat, 2023). As a result, restructuring must incorporate financial risk management practices that account for international pricing dynamics and exchange rate movements.</w:t>
      </w:r>
    </w:p>
    <w:p w14:paraId="4E6294FD" w14:textId="58B3E588" w:rsidR="00EF50DF" w:rsidRPr="004D6422" w:rsidRDefault="00EF50DF" w:rsidP="004D6422">
      <w:pPr>
        <w:spacing w:line="360" w:lineRule="auto"/>
        <w:rPr>
          <w:rFonts w:ascii="Arial" w:hAnsi="Arial" w:cs="Arial"/>
        </w:rPr>
      </w:pPr>
      <w:r w:rsidRPr="004D6422">
        <w:rPr>
          <w:rFonts w:ascii="Arial" w:hAnsi="Arial" w:cs="Arial"/>
        </w:rPr>
        <w:t>Ethical restructuring supports corporate legitimacy and investor trust, reducing reputational risk and strengthening long-term positioning.</w:t>
      </w:r>
    </w:p>
    <w:p w14:paraId="167A7D87" w14:textId="31C650A5" w:rsidR="00EF50DF" w:rsidRPr="004D6422" w:rsidRDefault="00EF50DF" w:rsidP="004D6422">
      <w:pPr>
        <w:pStyle w:val="Heading2"/>
        <w:spacing w:line="360" w:lineRule="auto"/>
        <w:rPr>
          <w:rFonts w:ascii="Arial" w:hAnsi="Arial" w:cs="Arial"/>
          <w:sz w:val="28"/>
          <w:szCs w:val="28"/>
        </w:rPr>
      </w:pPr>
      <w:bookmarkStart w:id="26" w:name="_Toc214875679"/>
      <w:r w:rsidRPr="004D6422">
        <w:rPr>
          <w:rFonts w:ascii="Arial" w:hAnsi="Arial" w:cs="Arial"/>
          <w:sz w:val="28"/>
          <w:szCs w:val="28"/>
        </w:rPr>
        <w:t>3.8 Section Conclusion</w:t>
      </w:r>
      <w:bookmarkEnd w:id="26"/>
    </w:p>
    <w:p w14:paraId="543ED25C" w14:textId="20B79F81" w:rsidR="00EF50DF" w:rsidRPr="004D6422" w:rsidRDefault="00EF50DF" w:rsidP="004D6422">
      <w:pPr>
        <w:spacing w:line="360" w:lineRule="auto"/>
        <w:rPr>
          <w:rFonts w:ascii="Arial" w:hAnsi="Arial" w:cs="Arial"/>
        </w:rPr>
      </w:pPr>
      <w:r w:rsidRPr="004D6422">
        <w:rPr>
          <w:rFonts w:ascii="Arial" w:hAnsi="Arial" w:cs="Arial"/>
        </w:rPr>
        <w:t>General Electronics requires a decisive financial restructuring plan to address its deteriorating capital structure, weakening profitability, and elevated bankruptcy risk. The proposed actions</w:t>
      </w:r>
      <w:r w:rsidR="0078225F" w:rsidRPr="004D6422">
        <w:rPr>
          <w:rFonts w:ascii="Arial" w:hAnsi="Arial" w:cs="Arial"/>
        </w:rPr>
        <w:t xml:space="preserve">, </w:t>
      </w:r>
      <w:r w:rsidRPr="004D6422">
        <w:rPr>
          <w:rFonts w:ascii="Arial" w:hAnsi="Arial" w:cs="Arial"/>
        </w:rPr>
        <w:t>deleveraging through divestiture, cost rationalisation, and capital structure reform</w:t>
      </w:r>
      <w:r w:rsidR="0078225F" w:rsidRPr="004D6422">
        <w:rPr>
          <w:rFonts w:ascii="Arial" w:hAnsi="Arial" w:cs="Arial"/>
        </w:rPr>
        <w:t xml:space="preserve">, </w:t>
      </w:r>
      <w:r w:rsidRPr="004D6422">
        <w:rPr>
          <w:rFonts w:ascii="Arial" w:hAnsi="Arial" w:cs="Arial"/>
        </w:rPr>
        <w:t xml:space="preserve">aim to restore solvency, strengthen liquidity, and support </w:t>
      </w:r>
      <w:r w:rsidRPr="004D6422">
        <w:rPr>
          <w:rFonts w:ascii="Arial" w:hAnsi="Arial" w:cs="Arial"/>
        </w:rPr>
        <w:lastRenderedPageBreak/>
        <w:t>long-term value creation. By incorporating ethical and international considerations, the plan aligns with global governance expectations and provides a foundation for sustainable recovery. Effective restructuring is therefore essential not only for immediate survival but also for rebuilding financial performance and strategic competitiveness.</w:t>
      </w:r>
    </w:p>
    <w:p w14:paraId="37BF0DE0" w14:textId="59576633" w:rsidR="00EF50DF" w:rsidRPr="004D6422" w:rsidRDefault="00EF50DF" w:rsidP="004D6422">
      <w:pPr>
        <w:pStyle w:val="Heading1"/>
        <w:spacing w:line="360" w:lineRule="auto"/>
        <w:rPr>
          <w:rFonts w:ascii="Arial" w:hAnsi="Arial" w:cs="Arial"/>
          <w:sz w:val="32"/>
          <w:szCs w:val="32"/>
        </w:rPr>
      </w:pPr>
      <w:bookmarkStart w:id="27" w:name="_Toc214875680"/>
      <w:r w:rsidRPr="004D6422">
        <w:rPr>
          <w:rFonts w:ascii="Arial" w:hAnsi="Arial" w:cs="Arial"/>
          <w:sz w:val="32"/>
          <w:szCs w:val="32"/>
        </w:rPr>
        <w:t xml:space="preserve">4: </w:t>
      </w:r>
      <w:r w:rsidR="004D6422" w:rsidRPr="004D6422">
        <w:rPr>
          <w:rFonts w:ascii="Arial" w:hAnsi="Arial" w:cs="Arial"/>
          <w:sz w:val="32"/>
          <w:szCs w:val="32"/>
        </w:rPr>
        <w:t>Investing Appraisal &amp; Capital Budgeting</w:t>
      </w:r>
      <w:bookmarkEnd w:id="27"/>
      <w:r w:rsidRPr="004D6422">
        <w:rPr>
          <w:rFonts w:ascii="Arial" w:hAnsi="Arial" w:cs="Arial"/>
          <w:sz w:val="32"/>
          <w:szCs w:val="32"/>
        </w:rPr>
        <w:t xml:space="preserve"> </w:t>
      </w:r>
    </w:p>
    <w:p w14:paraId="35F2A929" w14:textId="378423C4" w:rsidR="00EF50DF" w:rsidRPr="004D6422" w:rsidRDefault="00EF50DF" w:rsidP="004D6422">
      <w:pPr>
        <w:spacing w:line="360" w:lineRule="auto"/>
        <w:rPr>
          <w:rFonts w:ascii="Arial" w:hAnsi="Arial" w:cs="Arial"/>
        </w:rPr>
      </w:pPr>
      <w:r w:rsidRPr="004D6422">
        <w:rPr>
          <w:rFonts w:ascii="Arial" w:hAnsi="Arial" w:cs="Arial"/>
        </w:rPr>
        <w:t>This section evaluates three proposed investment projects using Payback Period (PBP), Accounting Rate of Return (ARR), Net Present Value (NPV), Profitability Index (PI), and Internal Rate of Return (IRR). The goal is to determine which project delivers the greatest financial value under a capital rationing limit of £60 million. The analysis uses a 10% discount rate and straight-line depreciation to zero, as required. Results are then linked to General Electronics’ financial condition, risk exposure, and restructuring objectives.</w:t>
      </w:r>
    </w:p>
    <w:p w14:paraId="4062F489" w14:textId="1763683E" w:rsidR="00EF50DF" w:rsidRPr="004D6422" w:rsidRDefault="00EF50DF" w:rsidP="004D6422">
      <w:pPr>
        <w:pStyle w:val="Heading2"/>
        <w:spacing w:line="360" w:lineRule="auto"/>
        <w:rPr>
          <w:rFonts w:ascii="Arial" w:hAnsi="Arial" w:cs="Arial"/>
          <w:sz w:val="28"/>
          <w:szCs w:val="28"/>
        </w:rPr>
      </w:pPr>
      <w:bookmarkStart w:id="28" w:name="_Toc214875681"/>
      <w:r w:rsidRPr="004D6422">
        <w:rPr>
          <w:rFonts w:ascii="Arial" w:hAnsi="Arial" w:cs="Arial"/>
          <w:sz w:val="28"/>
          <w:szCs w:val="28"/>
        </w:rPr>
        <w:t>4.1 Project Overview</w:t>
      </w:r>
      <w:bookmarkEnd w:id="28"/>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22"/>
        <w:gridCol w:w="2128"/>
        <w:gridCol w:w="2415"/>
      </w:tblGrid>
      <w:tr w:rsidR="00EF50DF" w:rsidRPr="00EF50DF" w14:paraId="14A9B6BE" w14:textId="77777777">
        <w:trPr>
          <w:tblHeader/>
          <w:tblCellSpacing w:w="15" w:type="dxa"/>
        </w:trPr>
        <w:tc>
          <w:tcPr>
            <w:tcW w:w="0" w:type="auto"/>
            <w:vAlign w:val="center"/>
            <w:hideMark/>
          </w:tcPr>
          <w:p w14:paraId="5225C497" w14:textId="77777777" w:rsidR="00EF50DF" w:rsidRPr="00EF50DF" w:rsidRDefault="00EF50DF" w:rsidP="004D6422">
            <w:pPr>
              <w:spacing w:line="360" w:lineRule="auto"/>
              <w:rPr>
                <w:rFonts w:ascii="Arial" w:hAnsi="Arial" w:cs="Arial"/>
              </w:rPr>
            </w:pPr>
            <w:r w:rsidRPr="00EF50DF">
              <w:rPr>
                <w:rFonts w:ascii="Arial" w:hAnsi="Arial" w:cs="Arial"/>
              </w:rPr>
              <w:t>Project</w:t>
            </w:r>
          </w:p>
        </w:tc>
        <w:tc>
          <w:tcPr>
            <w:tcW w:w="0" w:type="auto"/>
            <w:vAlign w:val="center"/>
            <w:hideMark/>
          </w:tcPr>
          <w:p w14:paraId="0DF3AE9F" w14:textId="58BE8CDB" w:rsidR="00EF50DF" w:rsidRPr="00EF50DF" w:rsidRDefault="00873B5C" w:rsidP="004D6422">
            <w:pPr>
              <w:spacing w:line="360" w:lineRule="auto"/>
              <w:rPr>
                <w:rFonts w:ascii="Arial" w:hAnsi="Arial" w:cs="Arial"/>
              </w:rPr>
            </w:pPr>
            <w:r>
              <w:rPr>
                <w:rFonts w:ascii="Arial" w:hAnsi="Arial" w:cs="Arial"/>
              </w:rPr>
              <w:t xml:space="preserve">    </w:t>
            </w:r>
            <w:r w:rsidR="00EF50DF" w:rsidRPr="00EF50DF">
              <w:rPr>
                <w:rFonts w:ascii="Arial" w:hAnsi="Arial" w:cs="Arial"/>
              </w:rPr>
              <w:t>Initial Investment</w:t>
            </w:r>
          </w:p>
        </w:tc>
        <w:tc>
          <w:tcPr>
            <w:tcW w:w="0" w:type="auto"/>
            <w:vAlign w:val="center"/>
            <w:hideMark/>
          </w:tcPr>
          <w:p w14:paraId="587ED477" w14:textId="750C05CD" w:rsidR="00EF50DF" w:rsidRPr="00EF50DF" w:rsidRDefault="00EF50DF" w:rsidP="004D6422">
            <w:pPr>
              <w:spacing w:line="360" w:lineRule="auto"/>
              <w:rPr>
                <w:rFonts w:ascii="Arial" w:hAnsi="Arial" w:cs="Arial"/>
              </w:rPr>
            </w:pPr>
            <w:r w:rsidRPr="00EF50DF">
              <w:rPr>
                <w:rFonts w:ascii="Arial" w:hAnsi="Arial" w:cs="Arial"/>
              </w:rPr>
              <w:t>Year 1</w:t>
            </w:r>
            <w:r w:rsidR="00C24F7E">
              <w:rPr>
                <w:rFonts w:ascii="Arial" w:hAnsi="Arial" w:cs="Arial"/>
              </w:rPr>
              <w:t>-</w:t>
            </w:r>
            <w:r w:rsidRPr="00EF50DF">
              <w:rPr>
                <w:rFonts w:ascii="Arial" w:hAnsi="Arial" w:cs="Arial"/>
              </w:rPr>
              <w:t>5 Cash Inflows</w:t>
            </w:r>
          </w:p>
        </w:tc>
      </w:tr>
    </w:tbl>
    <w:p w14:paraId="4DD464E0" w14:textId="77777777" w:rsidR="00EF50DF" w:rsidRPr="00EF50DF" w:rsidRDefault="00EF50DF" w:rsidP="004D6422">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6"/>
        <w:gridCol w:w="1528"/>
        <w:gridCol w:w="3477"/>
      </w:tblGrid>
      <w:tr w:rsidR="00EF50DF" w:rsidRPr="00EF50DF" w14:paraId="41C6C316" w14:textId="77777777">
        <w:trPr>
          <w:tblCellSpacing w:w="15" w:type="dxa"/>
        </w:trPr>
        <w:tc>
          <w:tcPr>
            <w:tcW w:w="0" w:type="auto"/>
            <w:vAlign w:val="center"/>
            <w:hideMark/>
          </w:tcPr>
          <w:p w14:paraId="682EB4A6" w14:textId="77777777" w:rsidR="00EF50DF" w:rsidRPr="00EF50DF" w:rsidRDefault="00EF50DF" w:rsidP="004D6422">
            <w:pPr>
              <w:spacing w:line="360" w:lineRule="auto"/>
              <w:rPr>
                <w:rFonts w:ascii="Arial" w:hAnsi="Arial" w:cs="Arial"/>
              </w:rPr>
            </w:pPr>
            <w:r w:rsidRPr="00EF50DF">
              <w:rPr>
                <w:rFonts w:ascii="Arial" w:hAnsi="Arial" w:cs="Arial"/>
              </w:rPr>
              <w:t>A</w:t>
            </w:r>
          </w:p>
        </w:tc>
        <w:tc>
          <w:tcPr>
            <w:tcW w:w="0" w:type="auto"/>
            <w:vAlign w:val="center"/>
            <w:hideMark/>
          </w:tcPr>
          <w:p w14:paraId="62D524E3" w14:textId="08EB501B" w:rsidR="00EF50DF" w:rsidRPr="00EF50DF" w:rsidRDefault="00873B5C" w:rsidP="004D6422">
            <w:pPr>
              <w:spacing w:line="360" w:lineRule="auto"/>
              <w:rPr>
                <w:rFonts w:ascii="Arial" w:hAnsi="Arial" w:cs="Arial"/>
              </w:rPr>
            </w:pPr>
            <w:r>
              <w:rPr>
                <w:rFonts w:ascii="Arial" w:hAnsi="Arial" w:cs="Arial"/>
              </w:rPr>
              <w:t xml:space="preserve">             </w:t>
            </w:r>
            <w:r w:rsidR="00EF50DF" w:rsidRPr="00EF50DF">
              <w:rPr>
                <w:rFonts w:ascii="Arial" w:hAnsi="Arial" w:cs="Arial"/>
              </w:rPr>
              <w:t>£40m</w:t>
            </w:r>
          </w:p>
        </w:tc>
        <w:tc>
          <w:tcPr>
            <w:tcW w:w="0" w:type="auto"/>
            <w:vAlign w:val="center"/>
            <w:hideMark/>
          </w:tcPr>
          <w:p w14:paraId="25F4F77A" w14:textId="77777777" w:rsidR="00EF50DF" w:rsidRPr="00EF50DF" w:rsidRDefault="00EF50DF" w:rsidP="004D6422">
            <w:pPr>
              <w:spacing w:line="360" w:lineRule="auto"/>
              <w:rPr>
                <w:rFonts w:ascii="Arial" w:hAnsi="Arial" w:cs="Arial"/>
              </w:rPr>
            </w:pPr>
            <w:r w:rsidRPr="00EF50DF">
              <w:rPr>
                <w:rFonts w:ascii="Arial" w:hAnsi="Arial" w:cs="Arial"/>
              </w:rPr>
              <w:t>£10m, £12m, £14m, £10m, £8m</w:t>
            </w:r>
          </w:p>
        </w:tc>
      </w:tr>
    </w:tbl>
    <w:p w14:paraId="0136EC93" w14:textId="77777777" w:rsidR="00EF50DF" w:rsidRPr="00EF50DF" w:rsidRDefault="00EF50DF" w:rsidP="004D6422">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36"/>
        <w:gridCol w:w="1528"/>
        <w:gridCol w:w="2943"/>
      </w:tblGrid>
      <w:tr w:rsidR="00EF50DF" w:rsidRPr="00EF50DF" w14:paraId="1E7518AC" w14:textId="77777777">
        <w:trPr>
          <w:tblCellSpacing w:w="15" w:type="dxa"/>
        </w:trPr>
        <w:tc>
          <w:tcPr>
            <w:tcW w:w="0" w:type="auto"/>
            <w:vAlign w:val="center"/>
            <w:hideMark/>
          </w:tcPr>
          <w:p w14:paraId="331E851E" w14:textId="77777777" w:rsidR="00EF50DF" w:rsidRPr="00EF50DF" w:rsidRDefault="00EF50DF" w:rsidP="004D6422">
            <w:pPr>
              <w:spacing w:line="360" w:lineRule="auto"/>
              <w:rPr>
                <w:rFonts w:ascii="Arial" w:hAnsi="Arial" w:cs="Arial"/>
              </w:rPr>
            </w:pPr>
            <w:r w:rsidRPr="00EF50DF">
              <w:rPr>
                <w:rFonts w:ascii="Arial" w:hAnsi="Arial" w:cs="Arial"/>
              </w:rPr>
              <w:t>B</w:t>
            </w:r>
          </w:p>
        </w:tc>
        <w:tc>
          <w:tcPr>
            <w:tcW w:w="0" w:type="auto"/>
            <w:vAlign w:val="center"/>
            <w:hideMark/>
          </w:tcPr>
          <w:p w14:paraId="34E58ED7" w14:textId="156FA9CE" w:rsidR="00EF50DF" w:rsidRPr="00EF50DF" w:rsidRDefault="00873B5C" w:rsidP="004D6422">
            <w:pPr>
              <w:spacing w:line="360" w:lineRule="auto"/>
              <w:rPr>
                <w:rFonts w:ascii="Arial" w:hAnsi="Arial" w:cs="Arial"/>
              </w:rPr>
            </w:pPr>
            <w:r>
              <w:rPr>
                <w:rFonts w:ascii="Arial" w:hAnsi="Arial" w:cs="Arial"/>
              </w:rPr>
              <w:t xml:space="preserve">             </w:t>
            </w:r>
            <w:r w:rsidR="00EF50DF" w:rsidRPr="00EF50DF">
              <w:rPr>
                <w:rFonts w:ascii="Arial" w:hAnsi="Arial" w:cs="Arial"/>
              </w:rPr>
              <w:t>£30m</w:t>
            </w:r>
          </w:p>
        </w:tc>
        <w:tc>
          <w:tcPr>
            <w:tcW w:w="0" w:type="auto"/>
            <w:vAlign w:val="center"/>
            <w:hideMark/>
          </w:tcPr>
          <w:p w14:paraId="65A5A342" w14:textId="77777777" w:rsidR="00EF50DF" w:rsidRPr="00EF50DF" w:rsidRDefault="00EF50DF" w:rsidP="004D6422">
            <w:pPr>
              <w:spacing w:line="360" w:lineRule="auto"/>
              <w:rPr>
                <w:rFonts w:ascii="Arial" w:hAnsi="Arial" w:cs="Arial"/>
              </w:rPr>
            </w:pPr>
            <w:r w:rsidRPr="00EF50DF">
              <w:rPr>
                <w:rFonts w:ascii="Arial" w:hAnsi="Arial" w:cs="Arial"/>
              </w:rPr>
              <w:t>£6m, £6m, £6m, £6m, £6m</w:t>
            </w:r>
          </w:p>
        </w:tc>
      </w:tr>
    </w:tbl>
    <w:p w14:paraId="0D4039AE" w14:textId="77777777" w:rsidR="00EF50DF" w:rsidRPr="00EF50DF" w:rsidRDefault="00EF50DF" w:rsidP="004D6422">
      <w:pPr>
        <w:spacing w:line="360" w:lineRule="auto"/>
        <w:rPr>
          <w:rFonts w:ascii="Arial" w:hAnsi="Arial" w:cs="Arial"/>
          <w:vanish/>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9"/>
        <w:gridCol w:w="1528"/>
        <w:gridCol w:w="3477"/>
      </w:tblGrid>
      <w:tr w:rsidR="00EF50DF" w:rsidRPr="00EF50DF" w14:paraId="3A4DB98A" w14:textId="77777777">
        <w:trPr>
          <w:tblCellSpacing w:w="15" w:type="dxa"/>
        </w:trPr>
        <w:tc>
          <w:tcPr>
            <w:tcW w:w="0" w:type="auto"/>
            <w:vAlign w:val="center"/>
            <w:hideMark/>
          </w:tcPr>
          <w:p w14:paraId="73F18EB7" w14:textId="77777777" w:rsidR="00EF50DF" w:rsidRPr="00EF50DF" w:rsidRDefault="00EF50DF" w:rsidP="004D6422">
            <w:pPr>
              <w:spacing w:line="360" w:lineRule="auto"/>
              <w:rPr>
                <w:rFonts w:ascii="Arial" w:hAnsi="Arial" w:cs="Arial"/>
              </w:rPr>
            </w:pPr>
            <w:r w:rsidRPr="00EF50DF">
              <w:rPr>
                <w:rFonts w:ascii="Arial" w:hAnsi="Arial" w:cs="Arial"/>
              </w:rPr>
              <w:t>C</w:t>
            </w:r>
          </w:p>
        </w:tc>
        <w:tc>
          <w:tcPr>
            <w:tcW w:w="0" w:type="auto"/>
            <w:vAlign w:val="center"/>
            <w:hideMark/>
          </w:tcPr>
          <w:p w14:paraId="14FCFFC3" w14:textId="4478BBF3" w:rsidR="00EF50DF" w:rsidRPr="00EF50DF" w:rsidRDefault="00873B5C" w:rsidP="004D6422">
            <w:pPr>
              <w:spacing w:line="360" w:lineRule="auto"/>
              <w:rPr>
                <w:rFonts w:ascii="Arial" w:hAnsi="Arial" w:cs="Arial"/>
              </w:rPr>
            </w:pPr>
            <w:r>
              <w:rPr>
                <w:rFonts w:ascii="Arial" w:hAnsi="Arial" w:cs="Arial"/>
              </w:rPr>
              <w:t xml:space="preserve">             </w:t>
            </w:r>
            <w:r w:rsidR="00EF50DF" w:rsidRPr="00EF50DF">
              <w:rPr>
                <w:rFonts w:ascii="Arial" w:hAnsi="Arial" w:cs="Arial"/>
              </w:rPr>
              <w:t>£50m</w:t>
            </w:r>
          </w:p>
        </w:tc>
        <w:tc>
          <w:tcPr>
            <w:tcW w:w="0" w:type="auto"/>
            <w:vAlign w:val="center"/>
            <w:hideMark/>
          </w:tcPr>
          <w:p w14:paraId="48ECAA4A" w14:textId="77777777" w:rsidR="00EF50DF" w:rsidRPr="00EF50DF" w:rsidRDefault="00EF50DF" w:rsidP="004D6422">
            <w:pPr>
              <w:spacing w:line="360" w:lineRule="auto"/>
              <w:rPr>
                <w:rFonts w:ascii="Arial" w:hAnsi="Arial" w:cs="Arial"/>
              </w:rPr>
            </w:pPr>
            <w:r w:rsidRPr="00EF50DF">
              <w:rPr>
                <w:rFonts w:ascii="Arial" w:hAnsi="Arial" w:cs="Arial"/>
              </w:rPr>
              <w:t>£5m, £10m, £20m, £25m, £15m</w:t>
            </w:r>
          </w:p>
        </w:tc>
      </w:tr>
    </w:tbl>
    <w:p w14:paraId="0FEE9007" w14:textId="14570AF5" w:rsidR="00EF50DF" w:rsidRPr="004D6422" w:rsidRDefault="00EF50DF" w:rsidP="004D6422">
      <w:pPr>
        <w:spacing w:line="360" w:lineRule="auto"/>
        <w:rPr>
          <w:rFonts w:ascii="Arial" w:hAnsi="Arial" w:cs="Arial"/>
        </w:rPr>
      </w:pPr>
      <w:r w:rsidRPr="004D6422">
        <w:rPr>
          <w:rFonts w:ascii="Arial" w:hAnsi="Arial" w:cs="Arial"/>
        </w:rPr>
        <w:t>These cash flows reflect varying growth profiles. Project A shows moderate early returns, Project B delivers stable but low inflows, and Project C exhibits delayed but substantial cash generation, indicating higher growth potential but also higher volatility.</w:t>
      </w:r>
    </w:p>
    <w:p w14:paraId="0DD90E31" w14:textId="7D48C2F3" w:rsidR="004D6422" w:rsidRPr="004D6422" w:rsidRDefault="004D6422" w:rsidP="004D6422">
      <w:pPr>
        <w:pStyle w:val="Heading2"/>
        <w:spacing w:line="360" w:lineRule="auto"/>
        <w:rPr>
          <w:rFonts w:ascii="Arial" w:hAnsi="Arial" w:cs="Arial"/>
          <w:sz w:val="28"/>
          <w:szCs w:val="28"/>
        </w:rPr>
      </w:pPr>
      <w:bookmarkStart w:id="29" w:name="_Toc214875682"/>
      <w:r w:rsidRPr="004D6422">
        <w:rPr>
          <w:rFonts w:ascii="Arial" w:hAnsi="Arial" w:cs="Arial"/>
          <w:sz w:val="28"/>
          <w:szCs w:val="28"/>
        </w:rPr>
        <w:t>4.2 Payback Period</w:t>
      </w:r>
      <w:bookmarkEnd w:id="29"/>
    </w:p>
    <w:p w14:paraId="1326A4CF" w14:textId="5B022B6C" w:rsidR="004D6422" w:rsidRPr="004D6422" w:rsidRDefault="004D6422" w:rsidP="004D6422">
      <w:pPr>
        <w:spacing w:line="360" w:lineRule="auto"/>
        <w:rPr>
          <w:rFonts w:ascii="Arial" w:hAnsi="Arial" w:cs="Arial"/>
        </w:rPr>
      </w:pPr>
      <w:r w:rsidRPr="004D6422">
        <w:rPr>
          <w:rFonts w:ascii="Arial" w:hAnsi="Arial" w:cs="Arial"/>
        </w:rPr>
        <w:t xml:space="preserve">The Payback Period measures how long it takes for a project’s cumulative cash inflows to recover the initial investment. For General Electronics, Project A recovers its £40m investment in 3.4 years, Project B recovers £30m in 5.0 years, and Project C recovers £50m in 3.6 years. Project A has the fastest payback, followed closely by Project C, while Project B has the slowest recovery period, indicating weaker liquidity </w:t>
      </w:r>
      <w:r w:rsidRPr="004D6422">
        <w:rPr>
          <w:rFonts w:ascii="Arial" w:hAnsi="Arial" w:cs="Arial"/>
        </w:rPr>
        <w:lastRenderedPageBreak/>
        <w:t>support. Given General Electronics’ liquidity constraints and distress risk, faster payback profiles are advantageous (Beaver, 1966).</w:t>
      </w:r>
    </w:p>
    <w:p w14:paraId="36E2FAE4" w14:textId="7CD71F3F" w:rsidR="00EF50DF" w:rsidRPr="004D6422" w:rsidRDefault="00EF50DF" w:rsidP="004D6422">
      <w:pPr>
        <w:pStyle w:val="Heading2"/>
        <w:spacing w:line="360" w:lineRule="auto"/>
        <w:rPr>
          <w:rFonts w:ascii="Arial" w:hAnsi="Arial" w:cs="Arial"/>
          <w:sz w:val="28"/>
          <w:szCs w:val="28"/>
        </w:rPr>
      </w:pPr>
      <w:bookmarkStart w:id="30" w:name="_Toc214875683"/>
      <w:r w:rsidRPr="004D6422">
        <w:rPr>
          <w:rFonts w:ascii="Arial" w:hAnsi="Arial" w:cs="Arial"/>
          <w:sz w:val="28"/>
          <w:szCs w:val="28"/>
        </w:rPr>
        <w:t>4.3 Accounting Rate of Return (ARR)</w:t>
      </w:r>
      <w:bookmarkEnd w:id="30"/>
    </w:p>
    <w:p w14:paraId="261415E0" w14:textId="63D6B4D6" w:rsidR="00EF50DF" w:rsidRPr="004D6422" w:rsidRDefault="00EF50DF" w:rsidP="004D6422">
      <w:pPr>
        <w:spacing w:line="360" w:lineRule="auto"/>
        <w:rPr>
          <w:rFonts w:ascii="Arial" w:hAnsi="Arial" w:cs="Arial"/>
        </w:rPr>
      </w:pPr>
      <w:r w:rsidRPr="004D6422">
        <w:rPr>
          <w:rFonts w:ascii="Arial" w:hAnsi="Arial" w:cs="Arial"/>
        </w:rPr>
        <w:t>ARR evaluates average annual accounting profit relative to the investment cost.</w:t>
      </w:r>
    </w:p>
    <w:p w14:paraId="3D904B69" w14:textId="54D60C87" w:rsidR="00EF50DF" w:rsidRPr="004D6422" w:rsidRDefault="00EF50DF" w:rsidP="004D6422">
      <w:pPr>
        <w:spacing w:line="360" w:lineRule="auto"/>
        <w:rPr>
          <w:rFonts w:ascii="Arial" w:hAnsi="Arial" w:cs="Arial"/>
        </w:rPr>
      </w:pPr>
      <w:r w:rsidRPr="004D6422">
        <w:rPr>
          <w:rFonts w:ascii="Arial" w:hAnsi="Arial" w:cs="Arial"/>
        </w:rPr>
        <w:t>Project A:  7%</w:t>
      </w:r>
    </w:p>
    <w:p w14:paraId="0511DC96" w14:textId="32AB84D0" w:rsidR="00EF50DF" w:rsidRPr="004D6422" w:rsidRDefault="00EF50DF" w:rsidP="004D6422">
      <w:pPr>
        <w:spacing w:line="360" w:lineRule="auto"/>
        <w:rPr>
          <w:rFonts w:ascii="Arial" w:hAnsi="Arial" w:cs="Arial"/>
        </w:rPr>
      </w:pPr>
      <w:r w:rsidRPr="004D6422">
        <w:rPr>
          <w:rFonts w:ascii="Arial" w:hAnsi="Arial" w:cs="Arial"/>
        </w:rPr>
        <w:t>Project B:  0%</w:t>
      </w:r>
    </w:p>
    <w:p w14:paraId="59F8B12E" w14:textId="7912FD5F" w:rsidR="00EF50DF" w:rsidRPr="004D6422" w:rsidRDefault="00EF50DF" w:rsidP="004D6422">
      <w:pPr>
        <w:spacing w:line="360" w:lineRule="auto"/>
        <w:rPr>
          <w:rFonts w:ascii="Arial" w:hAnsi="Arial" w:cs="Arial"/>
        </w:rPr>
      </w:pPr>
      <w:r w:rsidRPr="004D6422">
        <w:rPr>
          <w:rFonts w:ascii="Arial" w:hAnsi="Arial" w:cs="Arial"/>
        </w:rPr>
        <w:t>Project C:  10%</w:t>
      </w:r>
    </w:p>
    <w:p w14:paraId="1A6E23FE" w14:textId="353E4E01" w:rsidR="00EF50DF" w:rsidRPr="004D6422" w:rsidRDefault="00EF50DF" w:rsidP="004D6422">
      <w:pPr>
        <w:spacing w:line="360" w:lineRule="auto"/>
        <w:rPr>
          <w:rFonts w:ascii="Arial" w:hAnsi="Arial" w:cs="Arial"/>
        </w:rPr>
      </w:pPr>
      <w:r w:rsidRPr="004D6422">
        <w:rPr>
          <w:rFonts w:ascii="Arial" w:hAnsi="Arial" w:cs="Arial"/>
        </w:rPr>
        <w:t>Interpretation</w:t>
      </w:r>
    </w:p>
    <w:p w14:paraId="0107505F" w14:textId="0E678AA3" w:rsidR="00EF50DF" w:rsidRPr="004D6422" w:rsidRDefault="00EF50DF" w:rsidP="004D6422">
      <w:pPr>
        <w:spacing w:line="360" w:lineRule="auto"/>
        <w:rPr>
          <w:rFonts w:ascii="Arial" w:hAnsi="Arial" w:cs="Arial"/>
        </w:rPr>
      </w:pPr>
      <w:r w:rsidRPr="004D6422">
        <w:rPr>
          <w:rFonts w:ascii="Arial" w:hAnsi="Arial" w:cs="Arial"/>
        </w:rPr>
        <w:t>Project C provides the strongest return, while Project B effectively delivers no accounting profit. This aligns with research showing that capital should be allocated to projects that improve returns and profitability during restructuring (Arenbo, 2023).</w:t>
      </w:r>
    </w:p>
    <w:p w14:paraId="5135D68E" w14:textId="3A7B716B" w:rsidR="00EF50DF" w:rsidRPr="004D6422" w:rsidRDefault="00EF50DF" w:rsidP="004D6422">
      <w:pPr>
        <w:pStyle w:val="Heading2"/>
        <w:spacing w:line="360" w:lineRule="auto"/>
        <w:rPr>
          <w:rFonts w:ascii="Arial" w:hAnsi="Arial" w:cs="Arial"/>
          <w:sz w:val="28"/>
          <w:szCs w:val="28"/>
        </w:rPr>
      </w:pPr>
      <w:bookmarkStart w:id="31" w:name="_Toc214875684"/>
      <w:r w:rsidRPr="004D6422">
        <w:rPr>
          <w:rFonts w:ascii="Arial" w:hAnsi="Arial" w:cs="Arial"/>
          <w:sz w:val="28"/>
          <w:szCs w:val="28"/>
        </w:rPr>
        <w:t>4.4 Net Present Value (NPV)</w:t>
      </w:r>
      <w:bookmarkEnd w:id="31"/>
    </w:p>
    <w:p w14:paraId="31EE9E51" w14:textId="2CBADD0E" w:rsidR="00EF50DF" w:rsidRPr="004D6422" w:rsidRDefault="00EF50DF" w:rsidP="004D6422">
      <w:pPr>
        <w:spacing w:line="360" w:lineRule="auto"/>
        <w:rPr>
          <w:rFonts w:ascii="Arial" w:hAnsi="Arial" w:cs="Arial"/>
        </w:rPr>
      </w:pPr>
      <w:r w:rsidRPr="004D6422">
        <w:rPr>
          <w:rFonts w:ascii="Arial" w:hAnsi="Arial" w:cs="Arial"/>
        </w:rPr>
        <w:t>NPV discounts future cash flows at 10% to determine value creation.</w:t>
      </w:r>
    </w:p>
    <w:p w14:paraId="67A5314C" w14:textId="7F71B39D" w:rsidR="00EF50DF" w:rsidRPr="004D6422" w:rsidRDefault="00EF50DF" w:rsidP="004D6422">
      <w:pPr>
        <w:spacing w:line="360" w:lineRule="auto"/>
        <w:rPr>
          <w:rFonts w:ascii="Arial" w:hAnsi="Arial" w:cs="Arial"/>
        </w:rPr>
      </w:pPr>
      <w:r w:rsidRPr="004D6422">
        <w:rPr>
          <w:rFonts w:ascii="Arial" w:hAnsi="Arial" w:cs="Arial"/>
        </w:rPr>
        <w:t>Project A: £1.33m</w:t>
      </w:r>
    </w:p>
    <w:p w14:paraId="75CE566A" w14:textId="79B89550" w:rsidR="00EF50DF" w:rsidRPr="004D6422" w:rsidRDefault="00EF50DF" w:rsidP="004D6422">
      <w:pPr>
        <w:spacing w:line="360" w:lineRule="auto"/>
        <w:rPr>
          <w:rFonts w:ascii="Arial" w:hAnsi="Arial" w:cs="Arial"/>
        </w:rPr>
      </w:pPr>
      <w:r w:rsidRPr="004D6422">
        <w:rPr>
          <w:rFonts w:ascii="Arial" w:hAnsi="Arial" w:cs="Arial"/>
        </w:rPr>
        <w:t xml:space="preserve">Project B: </w:t>
      </w:r>
      <w:r w:rsidR="00C24F7E">
        <w:rPr>
          <w:rFonts w:ascii="Arial" w:hAnsi="Arial" w:cs="Arial"/>
        </w:rPr>
        <w:t>-</w:t>
      </w:r>
      <w:r w:rsidRPr="004D6422">
        <w:rPr>
          <w:rFonts w:ascii="Arial" w:hAnsi="Arial" w:cs="Arial"/>
        </w:rPr>
        <w:t>£7.30m</w:t>
      </w:r>
    </w:p>
    <w:p w14:paraId="5D8B0C56" w14:textId="07D611F4" w:rsidR="00EF50DF" w:rsidRPr="004D6422" w:rsidRDefault="00EF50DF" w:rsidP="004D6422">
      <w:pPr>
        <w:spacing w:line="360" w:lineRule="auto"/>
        <w:rPr>
          <w:rFonts w:ascii="Arial" w:hAnsi="Arial" w:cs="Arial"/>
        </w:rPr>
      </w:pPr>
      <w:r w:rsidRPr="004D6422">
        <w:rPr>
          <w:rFonts w:ascii="Arial" w:hAnsi="Arial" w:cs="Arial"/>
        </w:rPr>
        <w:t>Project C: £4.22m</w:t>
      </w:r>
    </w:p>
    <w:p w14:paraId="1B793E81" w14:textId="0F5A2078" w:rsidR="00EF50DF" w:rsidRPr="004D6422" w:rsidRDefault="00EF50DF" w:rsidP="004D6422">
      <w:pPr>
        <w:spacing w:line="360" w:lineRule="auto"/>
        <w:rPr>
          <w:rFonts w:ascii="Arial" w:hAnsi="Arial" w:cs="Arial"/>
        </w:rPr>
      </w:pPr>
      <w:r w:rsidRPr="004D6422">
        <w:rPr>
          <w:rFonts w:ascii="Arial" w:hAnsi="Arial" w:cs="Arial"/>
        </w:rPr>
        <w:t>Interpretation</w:t>
      </w:r>
    </w:p>
    <w:p w14:paraId="26E217AB" w14:textId="155F9815" w:rsidR="00EF50DF" w:rsidRPr="004D6422" w:rsidRDefault="00EF50DF" w:rsidP="004D6422">
      <w:pPr>
        <w:spacing w:line="360" w:lineRule="auto"/>
        <w:rPr>
          <w:rFonts w:ascii="Arial" w:hAnsi="Arial" w:cs="Arial"/>
        </w:rPr>
      </w:pPr>
      <w:r w:rsidRPr="004D6422">
        <w:rPr>
          <w:rFonts w:ascii="Arial" w:hAnsi="Arial" w:cs="Arial"/>
        </w:rPr>
        <w:t>Projects A and C create positive value, with Project C generating the greatest NPV. Project B destroys value and should not be considered. As Damodaran (2025) notes, NPV is the most reliable indicator of shareholder value creation because it reflects the time value of money.</w:t>
      </w:r>
    </w:p>
    <w:p w14:paraId="5A4BC710" w14:textId="29144D1B" w:rsidR="00EF50DF" w:rsidRPr="004D6422" w:rsidRDefault="00EF50DF" w:rsidP="004D6422">
      <w:pPr>
        <w:pStyle w:val="Heading2"/>
        <w:spacing w:line="360" w:lineRule="auto"/>
        <w:rPr>
          <w:rFonts w:ascii="Arial" w:hAnsi="Arial" w:cs="Arial"/>
          <w:sz w:val="28"/>
          <w:szCs w:val="28"/>
        </w:rPr>
      </w:pPr>
      <w:bookmarkStart w:id="32" w:name="_Toc214875685"/>
      <w:r w:rsidRPr="004D6422">
        <w:rPr>
          <w:rFonts w:ascii="Arial" w:hAnsi="Arial" w:cs="Arial"/>
          <w:sz w:val="28"/>
          <w:szCs w:val="28"/>
        </w:rPr>
        <w:t>4.5 Profitability Index (PI)</w:t>
      </w:r>
      <w:bookmarkEnd w:id="32"/>
    </w:p>
    <w:p w14:paraId="077ECBC9" w14:textId="0ADECCAB" w:rsidR="00EF50DF" w:rsidRPr="004D6422" w:rsidRDefault="00EF50DF" w:rsidP="004D6422">
      <w:pPr>
        <w:spacing w:line="360" w:lineRule="auto"/>
        <w:rPr>
          <w:rFonts w:ascii="Arial" w:hAnsi="Arial" w:cs="Arial"/>
        </w:rPr>
      </w:pPr>
      <w:r w:rsidRPr="004D6422">
        <w:rPr>
          <w:rFonts w:ascii="Arial" w:hAnsi="Arial" w:cs="Arial"/>
        </w:rPr>
        <w:t>PI measures value created per pound invested.</w:t>
      </w:r>
    </w:p>
    <w:p w14:paraId="4A1831DC" w14:textId="205E7704" w:rsidR="00EF50DF" w:rsidRPr="004D6422" w:rsidRDefault="00EF50DF" w:rsidP="004D6422">
      <w:pPr>
        <w:spacing w:line="360" w:lineRule="auto"/>
        <w:rPr>
          <w:rFonts w:ascii="Arial" w:hAnsi="Arial" w:cs="Arial"/>
        </w:rPr>
      </w:pPr>
      <w:r w:rsidRPr="004D6422">
        <w:rPr>
          <w:rFonts w:ascii="Arial" w:hAnsi="Arial" w:cs="Arial"/>
        </w:rPr>
        <w:t>Project A: 1.03</w:t>
      </w:r>
    </w:p>
    <w:p w14:paraId="5D9F0BED" w14:textId="6308A573" w:rsidR="00EF50DF" w:rsidRPr="004D6422" w:rsidRDefault="00EF50DF" w:rsidP="004D6422">
      <w:pPr>
        <w:spacing w:line="360" w:lineRule="auto"/>
        <w:rPr>
          <w:rFonts w:ascii="Arial" w:hAnsi="Arial" w:cs="Arial"/>
        </w:rPr>
      </w:pPr>
      <w:r w:rsidRPr="004D6422">
        <w:rPr>
          <w:rFonts w:ascii="Arial" w:hAnsi="Arial" w:cs="Arial"/>
        </w:rPr>
        <w:t>Project B: 0.76</w:t>
      </w:r>
    </w:p>
    <w:p w14:paraId="4FF0426C" w14:textId="5DC0142D" w:rsidR="00EF50DF" w:rsidRPr="004D6422" w:rsidRDefault="00EF50DF" w:rsidP="004D6422">
      <w:pPr>
        <w:spacing w:line="360" w:lineRule="auto"/>
        <w:rPr>
          <w:rFonts w:ascii="Arial" w:hAnsi="Arial" w:cs="Arial"/>
        </w:rPr>
      </w:pPr>
      <w:r w:rsidRPr="004D6422">
        <w:rPr>
          <w:rFonts w:ascii="Arial" w:hAnsi="Arial" w:cs="Arial"/>
        </w:rPr>
        <w:t>Project C: 1.08</w:t>
      </w:r>
    </w:p>
    <w:p w14:paraId="26D9BB5E" w14:textId="61478163" w:rsidR="00EF50DF" w:rsidRPr="004D6422" w:rsidRDefault="00EF50DF" w:rsidP="004D6422">
      <w:pPr>
        <w:spacing w:line="360" w:lineRule="auto"/>
        <w:rPr>
          <w:rFonts w:ascii="Arial" w:hAnsi="Arial" w:cs="Arial"/>
        </w:rPr>
      </w:pPr>
      <w:r w:rsidRPr="004D6422">
        <w:rPr>
          <w:rFonts w:ascii="Arial" w:hAnsi="Arial" w:cs="Arial"/>
        </w:rPr>
        <w:lastRenderedPageBreak/>
        <w:t>Interpretation</w:t>
      </w:r>
    </w:p>
    <w:p w14:paraId="37812CB4" w14:textId="0F3B8D7B" w:rsidR="00EF50DF" w:rsidRPr="004D6422" w:rsidRDefault="00EF50DF" w:rsidP="004D6422">
      <w:pPr>
        <w:spacing w:line="360" w:lineRule="auto"/>
        <w:rPr>
          <w:rFonts w:ascii="Arial" w:hAnsi="Arial" w:cs="Arial"/>
        </w:rPr>
      </w:pPr>
      <w:r w:rsidRPr="004D6422">
        <w:rPr>
          <w:rFonts w:ascii="Arial" w:hAnsi="Arial" w:cs="Arial"/>
        </w:rPr>
        <w:t>A PI greater than 1 indicates value creation. Only Projects A and C meet this threshold, with Project C performing strongest. Project B’s PI confirms that it destroys value and should be rejected.</w:t>
      </w:r>
    </w:p>
    <w:p w14:paraId="7AB4B5A8" w14:textId="719CD7EB" w:rsidR="00EF50DF" w:rsidRPr="004D6422" w:rsidRDefault="00EF50DF" w:rsidP="004D6422">
      <w:pPr>
        <w:spacing w:line="360" w:lineRule="auto"/>
        <w:rPr>
          <w:rFonts w:ascii="Arial" w:hAnsi="Arial" w:cs="Arial"/>
        </w:rPr>
      </w:pPr>
      <w:r w:rsidRPr="004D6422">
        <w:rPr>
          <w:rFonts w:ascii="Arial" w:hAnsi="Arial" w:cs="Arial"/>
        </w:rPr>
        <w:t>Under capital rationing, PI supports prioritising higher value-per-pound projects (De et al., 2020).</w:t>
      </w:r>
    </w:p>
    <w:p w14:paraId="35E3302D" w14:textId="25033594" w:rsidR="00EF50DF" w:rsidRPr="004D6422" w:rsidRDefault="00EF50DF" w:rsidP="004D6422">
      <w:pPr>
        <w:pStyle w:val="Heading2"/>
        <w:spacing w:line="360" w:lineRule="auto"/>
        <w:rPr>
          <w:rFonts w:ascii="Arial" w:hAnsi="Arial" w:cs="Arial"/>
          <w:sz w:val="28"/>
          <w:szCs w:val="28"/>
        </w:rPr>
      </w:pPr>
      <w:bookmarkStart w:id="33" w:name="_Toc214875686"/>
      <w:r w:rsidRPr="004D6422">
        <w:rPr>
          <w:rFonts w:ascii="Arial" w:hAnsi="Arial" w:cs="Arial"/>
          <w:sz w:val="28"/>
          <w:szCs w:val="28"/>
        </w:rPr>
        <w:t>4.6 Internal Rate of Return (IRR)</w:t>
      </w:r>
      <w:bookmarkEnd w:id="33"/>
    </w:p>
    <w:p w14:paraId="3045D122" w14:textId="072B36DA" w:rsidR="00EF50DF" w:rsidRPr="004D6422" w:rsidRDefault="00EF50DF" w:rsidP="004D6422">
      <w:pPr>
        <w:spacing w:line="360" w:lineRule="auto"/>
        <w:rPr>
          <w:rFonts w:ascii="Arial" w:hAnsi="Arial" w:cs="Arial"/>
        </w:rPr>
      </w:pPr>
      <w:r w:rsidRPr="004D6422">
        <w:rPr>
          <w:rFonts w:ascii="Arial" w:hAnsi="Arial" w:cs="Arial"/>
        </w:rPr>
        <w:t>IRR estimates the discount rate at which NPV equals zero.</w:t>
      </w:r>
    </w:p>
    <w:p w14:paraId="792AC8EC" w14:textId="688F0F3C" w:rsidR="00EF50DF" w:rsidRPr="004D6422" w:rsidRDefault="00EF50DF" w:rsidP="004D6422">
      <w:pPr>
        <w:spacing w:line="360" w:lineRule="auto"/>
        <w:rPr>
          <w:rFonts w:ascii="Arial" w:hAnsi="Arial" w:cs="Arial"/>
        </w:rPr>
      </w:pPr>
      <w:r w:rsidRPr="004D6422">
        <w:rPr>
          <w:rFonts w:ascii="Arial" w:hAnsi="Arial" w:cs="Arial"/>
        </w:rPr>
        <w:t>Project A:  11.3%</w:t>
      </w:r>
    </w:p>
    <w:p w14:paraId="17A1FE91" w14:textId="285CAE6B" w:rsidR="00EF50DF" w:rsidRPr="004D6422" w:rsidRDefault="00EF50DF" w:rsidP="004D6422">
      <w:pPr>
        <w:spacing w:line="360" w:lineRule="auto"/>
        <w:rPr>
          <w:rFonts w:ascii="Arial" w:hAnsi="Arial" w:cs="Arial"/>
        </w:rPr>
      </w:pPr>
      <w:r w:rsidRPr="004D6422">
        <w:rPr>
          <w:rFonts w:ascii="Arial" w:hAnsi="Arial" w:cs="Arial"/>
        </w:rPr>
        <w:t>Project B:  0</w:t>
      </w:r>
      <w:r w:rsidR="00C24F7E">
        <w:rPr>
          <w:rFonts w:ascii="Arial" w:hAnsi="Arial" w:cs="Arial"/>
        </w:rPr>
        <w:t>-</w:t>
      </w:r>
      <w:r w:rsidRPr="004D6422">
        <w:rPr>
          <w:rFonts w:ascii="Arial" w:hAnsi="Arial" w:cs="Arial"/>
        </w:rPr>
        <w:t>2%</w:t>
      </w:r>
    </w:p>
    <w:p w14:paraId="3B880EE0" w14:textId="19190D3B" w:rsidR="00EF50DF" w:rsidRPr="004D6422" w:rsidRDefault="00EF50DF" w:rsidP="004D6422">
      <w:pPr>
        <w:spacing w:line="360" w:lineRule="auto"/>
        <w:rPr>
          <w:rFonts w:ascii="Arial" w:hAnsi="Arial" w:cs="Arial"/>
        </w:rPr>
      </w:pPr>
      <w:r w:rsidRPr="004D6422">
        <w:rPr>
          <w:rFonts w:ascii="Arial" w:hAnsi="Arial" w:cs="Arial"/>
        </w:rPr>
        <w:t>Project C:  12.7%</w:t>
      </w:r>
    </w:p>
    <w:p w14:paraId="001CB6BE" w14:textId="545C2AC6" w:rsidR="00EF50DF" w:rsidRPr="004D6422" w:rsidRDefault="00EF50DF" w:rsidP="004D6422">
      <w:pPr>
        <w:spacing w:line="360" w:lineRule="auto"/>
        <w:rPr>
          <w:rFonts w:ascii="Arial" w:hAnsi="Arial" w:cs="Arial"/>
        </w:rPr>
      </w:pPr>
      <w:r w:rsidRPr="004D6422">
        <w:rPr>
          <w:rFonts w:ascii="Arial" w:hAnsi="Arial" w:cs="Arial"/>
        </w:rPr>
        <w:t>Interpretation</w:t>
      </w:r>
    </w:p>
    <w:p w14:paraId="36B5E9A2" w14:textId="689B5895" w:rsidR="00EF50DF" w:rsidRPr="004D6422" w:rsidRDefault="00EF50DF" w:rsidP="004D6422">
      <w:pPr>
        <w:spacing w:line="360" w:lineRule="auto"/>
        <w:rPr>
          <w:rFonts w:ascii="Arial" w:hAnsi="Arial" w:cs="Arial"/>
        </w:rPr>
      </w:pPr>
      <w:r w:rsidRPr="004D6422">
        <w:rPr>
          <w:rFonts w:ascii="Arial" w:hAnsi="Arial" w:cs="Arial"/>
        </w:rPr>
        <w:t>Both A and C exceed the 10% hurdle rate, while Project B falls well below it. IRR reinforces that Project C offers the highest return potential.</w:t>
      </w:r>
    </w:p>
    <w:p w14:paraId="128267CF" w14:textId="330ACC44" w:rsidR="00EF50DF" w:rsidRPr="004D6422" w:rsidRDefault="00EF50DF" w:rsidP="004D6422">
      <w:pPr>
        <w:pStyle w:val="Heading2"/>
        <w:spacing w:line="360" w:lineRule="auto"/>
        <w:rPr>
          <w:rFonts w:ascii="Arial" w:hAnsi="Arial" w:cs="Arial"/>
          <w:sz w:val="28"/>
          <w:szCs w:val="28"/>
        </w:rPr>
      </w:pPr>
      <w:bookmarkStart w:id="34" w:name="_Toc214875687"/>
      <w:r w:rsidRPr="004D6422">
        <w:rPr>
          <w:rFonts w:ascii="Arial" w:hAnsi="Arial" w:cs="Arial"/>
          <w:sz w:val="28"/>
          <w:szCs w:val="28"/>
        </w:rPr>
        <w:t>4.7 Risk and Cash Flow Volatility</w:t>
      </w:r>
      <w:bookmarkEnd w:id="34"/>
    </w:p>
    <w:p w14:paraId="1F1F9183" w14:textId="404B1E60" w:rsidR="00EF50DF" w:rsidRPr="004D6422" w:rsidRDefault="00EF50DF" w:rsidP="004D6422">
      <w:pPr>
        <w:spacing w:line="360" w:lineRule="auto"/>
        <w:rPr>
          <w:rFonts w:ascii="Arial" w:hAnsi="Arial" w:cs="Arial"/>
        </w:rPr>
      </w:pPr>
      <w:r w:rsidRPr="004D6422">
        <w:rPr>
          <w:rFonts w:ascii="Arial" w:hAnsi="Arial" w:cs="Arial"/>
        </w:rPr>
        <w:t>Project B carries the lowest volatility due to stable inflows, but its weak returns make it unsuitable. Project A offers moderate risk with steady and predictable returns. Project C presents higher volatility in early years but ultimately delivers the strongest value creation.</w:t>
      </w:r>
    </w:p>
    <w:p w14:paraId="6A6877D1" w14:textId="191E1B52" w:rsidR="00EF50DF" w:rsidRPr="004D6422" w:rsidRDefault="00EF50DF" w:rsidP="004D6422">
      <w:pPr>
        <w:spacing w:line="360" w:lineRule="auto"/>
        <w:rPr>
          <w:rFonts w:ascii="Arial" w:hAnsi="Arial" w:cs="Arial"/>
        </w:rPr>
      </w:pPr>
      <w:r w:rsidRPr="004D6422">
        <w:rPr>
          <w:rFonts w:ascii="Arial" w:hAnsi="Arial" w:cs="Arial"/>
        </w:rPr>
        <w:t>In distressed firms, investments should balance risk and value creation (Wruck, 1990). Given General Electronics’ restructuring context, selecting a project that strengthens future earnings is strategically important.</w:t>
      </w:r>
    </w:p>
    <w:p w14:paraId="1077304A" w14:textId="7D6A74E4" w:rsidR="00EF50DF" w:rsidRPr="004D6422" w:rsidRDefault="00EF50DF" w:rsidP="004D6422">
      <w:pPr>
        <w:pStyle w:val="Heading2"/>
        <w:spacing w:line="360" w:lineRule="auto"/>
        <w:rPr>
          <w:rFonts w:ascii="Arial" w:hAnsi="Arial" w:cs="Arial"/>
          <w:sz w:val="28"/>
          <w:szCs w:val="28"/>
        </w:rPr>
      </w:pPr>
      <w:bookmarkStart w:id="35" w:name="_Toc214875688"/>
      <w:r w:rsidRPr="004D6422">
        <w:rPr>
          <w:rFonts w:ascii="Arial" w:hAnsi="Arial" w:cs="Arial"/>
          <w:sz w:val="28"/>
          <w:szCs w:val="28"/>
        </w:rPr>
        <w:t>4.8 Strategic Fit with Financial Condition</w:t>
      </w:r>
      <w:bookmarkEnd w:id="35"/>
    </w:p>
    <w:p w14:paraId="3701CA1F" w14:textId="78134091" w:rsidR="00EF50DF" w:rsidRPr="004D6422" w:rsidRDefault="00EF50DF" w:rsidP="004D6422">
      <w:pPr>
        <w:spacing w:line="360" w:lineRule="auto"/>
        <w:rPr>
          <w:rFonts w:ascii="Arial" w:hAnsi="Arial" w:cs="Arial"/>
        </w:rPr>
      </w:pPr>
      <w:r w:rsidRPr="004D6422">
        <w:rPr>
          <w:rFonts w:ascii="Arial" w:hAnsi="Arial" w:cs="Arial"/>
        </w:rPr>
        <w:t>General Electronics faces:</w:t>
      </w:r>
    </w:p>
    <w:p w14:paraId="3F097410" w14:textId="15A0F0B1" w:rsidR="00EF50DF" w:rsidRPr="004D6422" w:rsidRDefault="00EF50DF" w:rsidP="004D6422">
      <w:pPr>
        <w:spacing w:line="360" w:lineRule="auto"/>
        <w:rPr>
          <w:rFonts w:ascii="Arial" w:hAnsi="Arial" w:cs="Arial"/>
        </w:rPr>
      </w:pPr>
      <w:r w:rsidRPr="004D6422">
        <w:rPr>
          <w:rFonts w:ascii="Arial" w:hAnsi="Arial" w:cs="Arial"/>
        </w:rPr>
        <w:t>Negative profitability</w:t>
      </w:r>
    </w:p>
    <w:p w14:paraId="35598F07" w14:textId="5A3E6D12" w:rsidR="00EF50DF" w:rsidRPr="004D6422" w:rsidRDefault="00EF50DF" w:rsidP="004D6422">
      <w:pPr>
        <w:spacing w:line="360" w:lineRule="auto"/>
        <w:rPr>
          <w:rFonts w:ascii="Arial" w:hAnsi="Arial" w:cs="Arial"/>
        </w:rPr>
      </w:pPr>
      <w:r w:rsidRPr="004D6422">
        <w:rPr>
          <w:rFonts w:ascii="Arial" w:hAnsi="Arial" w:cs="Arial"/>
        </w:rPr>
        <w:t>High leverage</w:t>
      </w:r>
    </w:p>
    <w:p w14:paraId="2E33E42F" w14:textId="27EB4347" w:rsidR="00EF50DF" w:rsidRPr="004D6422" w:rsidRDefault="00EF50DF" w:rsidP="004D6422">
      <w:pPr>
        <w:spacing w:line="360" w:lineRule="auto"/>
        <w:rPr>
          <w:rFonts w:ascii="Arial" w:hAnsi="Arial" w:cs="Arial"/>
        </w:rPr>
      </w:pPr>
      <w:r w:rsidRPr="004D6422">
        <w:rPr>
          <w:rFonts w:ascii="Arial" w:hAnsi="Arial" w:cs="Arial"/>
        </w:rPr>
        <w:t>Weak liquidity</w:t>
      </w:r>
    </w:p>
    <w:p w14:paraId="1808D289" w14:textId="0780B850" w:rsidR="00EF50DF" w:rsidRPr="004D6422" w:rsidRDefault="00EF50DF" w:rsidP="004D6422">
      <w:pPr>
        <w:spacing w:line="360" w:lineRule="auto"/>
        <w:rPr>
          <w:rFonts w:ascii="Arial" w:hAnsi="Arial" w:cs="Arial"/>
        </w:rPr>
      </w:pPr>
      <w:r w:rsidRPr="004D6422">
        <w:rPr>
          <w:rFonts w:ascii="Arial" w:hAnsi="Arial" w:cs="Arial"/>
        </w:rPr>
        <w:lastRenderedPageBreak/>
        <w:t>Distress-level Altman Z-Score</w:t>
      </w:r>
    </w:p>
    <w:p w14:paraId="762664F1" w14:textId="702B8D68" w:rsidR="00EF50DF" w:rsidRPr="004D6422" w:rsidRDefault="00EF50DF" w:rsidP="004D6422">
      <w:pPr>
        <w:spacing w:line="360" w:lineRule="auto"/>
        <w:rPr>
          <w:rFonts w:ascii="Arial" w:hAnsi="Arial" w:cs="Arial"/>
        </w:rPr>
      </w:pPr>
      <w:r w:rsidRPr="004D6422">
        <w:rPr>
          <w:rFonts w:ascii="Arial" w:hAnsi="Arial" w:cs="Arial"/>
        </w:rPr>
        <w:t>Therefore, investment decisions must support solvency and long-term returns. Project C’s higher NPV, IRR, and ARR help rebuild profitability and improve future cash-generating capacity, aligning with restructuring objectives. Although Project A offers faster payback, its lower long-term value makes it a secondary option.</w:t>
      </w:r>
    </w:p>
    <w:p w14:paraId="510458ED" w14:textId="39FB6BFC" w:rsidR="00EF50DF" w:rsidRPr="004D6422" w:rsidRDefault="00EF50DF" w:rsidP="004D6422">
      <w:pPr>
        <w:spacing w:line="360" w:lineRule="auto"/>
        <w:rPr>
          <w:rFonts w:ascii="Arial" w:hAnsi="Arial" w:cs="Arial"/>
        </w:rPr>
      </w:pPr>
      <w:r w:rsidRPr="004D6422">
        <w:rPr>
          <w:rFonts w:ascii="Arial" w:hAnsi="Arial" w:cs="Arial"/>
        </w:rPr>
        <w:t>Project B should be rejected, as negative NPV and PI &lt; 1 indicate value destruction (Damodaran, 2025).</w:t>
      </w:r>
    </w:p>
    <w:p w14:paraId="58C5AEA9" w14:textId="69A848C7" w:rsidR="00EF50DF" w:rsidRPr="004D6422" w:rsidRDefault="00EF50DF" w:rsidP="004D6422">
      <w:pPr>
        <w:pStyle w:val="Heading2"/>
        <w:spacing w:line="360" w:lineRule="auto"/>
        <w:rPr>
          <w:rFonts w:ascii="Arial" w:hAnsi="Arial" w:cs="Arial"/>
          <w:sz w:val="28"/>
          <w:szCs w:val="28"/>
        </w:rPr>
      </w:pPr>
      <w:bookmarkStart w:id="36" w:name="_Toc214875689"/>
      <w:r w:rsidRPr="004D6422">
        <w:rPr>
          <w:rFonts w:ascii="Arial" w:hAnsi="Arial" w:cs="Arial"/>
          <w:sz w:val="28"/>
          <w:szCs w:val="28"/>
        </w:rPr>
        <w:t>4.9 Capital Rationing Decision</w:t>
      </w:r>
      <w:bookmarkEnd w:id="36"/>
    </w:p>
    <w:p w14:paraId="1A8FB7FD" w14:textId="77FCD9C0" w:rsidR="00EF50DF" w:rsidRPr="004D6422" w:rsidRDefault="00EF50DF" w:rsidP="004D6422">
      <w:pPr>
        <w:spacing w:line="360" w:lineRule="auto"/>
        <w:rPr>
          <w:rFonts w:ascii="Arial" w:hAnsi="Arial" w:cs="Arial"/>
        </w:rPr>
      </w:pPr>
      <w:r w:rsidRPr="004D6422">
        <w:rPr>
          <w:rFonts w:ascii="Arial" w:hAnsi="Arial" w:cs="Arial"/>
        </w:rPr>
        <w:t>The firm can invest a maximum of £60 million.</w:t>
      </w:r>
    </w:p>
    <w:p w14:paraId="7D7F227A" w14:textId="2C38D613" w:rsidR="00EF50DF" w:rsidRPr="004D6422" w:rsidRDefault="00EF50DF" w:rsidP="004D6422">
      <w:pPr>
        <w:spacing w:line="360" w:lineRule="auto"/>
        <w:rPr>
          <w:rFonts w:ascii="Arial" w:hAnsi="Arial" w:cs="Arial"/>
        </w:rPr>
      </w:pPr>
      <w:r w:rsidRPr="004D6422">
        <w:rPr>
          <w:rFonts w:ascii="Arial" w:hAnsi="Arial" w:cs="Arial"/>
        </w:rPr>
        <w:t>Project C investment: £50m - Fits budget</w:t>
      </w:r>
    </w:p>
    <w:p w14:paraId="5F1F2925" w14:textId="1B796D5F" w:rsidR="00EF50DF" w:rsidRPr="004D6422" w:rsidRDefault="00EF50DF" w:rsidP="004D6422">
      <w:pPr>
        <w:spacing w:line="360" w:lineRule="auto"/>
        <w:rPr>
          <w:rFonts w:ascii="Arial" w:hAnsi="Arial" w:cs="Arial"/>
        </w:rPr>
      </w:pPr>
      <w:r w:rsidRPr="004D6422">
        <w:rPr>
          <w:rFonts w:ascii="Arial" w:hAnsi="Arial" w:cs="Arial"/>
        </w:rPr>
        <w:t>Project A + B: £70m - Exceeds limit</w:t>
      </w:r>
    </w:p>
    <w:p w14:paraId="784BE69A" w14:textId="1C65A084" w:rsidR="00EF50DF" w:rsidRPr="004D6422" w:rsidRDefault="00EF50DF" w:rsidP="004D6422">
      <w:pPr>
        <w:spacing w:line="360" w:lineRule="auto"/>
        <w:rPr>
          <w:rFonts w:ascii="Arial" w:hAnsi="Arial" w:cs="Arial"/>
        </w:rPr>
      </w:pPr>
      <w:r w:rsidRPr="004D6422">
        <w:rPr>
          <w:rFonts w:ascii="Arial" w:hAnsi="Arial" w:cs="Arial"/>
        </w:rPr>
        <w:t>Project A alone: £40m - Possible, but inferior value</w:t>
      </w:r>
    </w:p>
    <w:p w14:paraId="693AB596" w14:textId="01CBBAFA" w:rsidR="00EF50DF" w:rsidRPr="004D6422" w:rsidRDefault="00EF50DF" w:rsidP="004D6422">
      <w:pPr>
        <w:spacing w:line="360" w:lineRule="auto"/>
        <w:rPr>
          <w:rFonts w:ascii="Arial" w:hAnsi="Arial" w:cs="Arial"/>
        </w:rPr>
      </w:pPr>
      <w:r w:rsidRPr="004D6422">
        <w:rPr>
          <w:rFonts w:ascii="Arial" w:hAnsi="Arial" w:cs="Arial"/>
        </w:rPr>
        <w:t>Project C + A: £90m - Exceeds limit</w:t>
      </w:r>
    </w:p>
    <w:p w14:paraId="39A132B6" w14:textId="0F4CE0DC" w:rsidR="00EF50DF" w:rsidRPr="004D6422" w:rsidRDefault="00EF50DF" w:rsidP="004D6422">
      <w:pPr>
        <w:spacing w:line="360" w:lineRule="auto"/>
        <w:rPr>
          <w:rFonts w:ascii="Arial" w:hAnsi="Arial" w:cs="Arial"/>
        </w:rPr>
      </w:pPr>
      <w:r w:rsidRPr="004D6422">
        <w:rPr>
          <w:rFonts w:ascii="Arial" w:hAnsi="Arial" w:cs="Arial"/>
        </w:rPr>
        <w:t>Final Decision:</w:t>
      </w:r>
    </w:p>
    <w:p w14:paraId="7D09EB79" w14:textId="20BF3132" w:rsidR="00EF50DF" w:rsidRPr="004D6422" w:rsidRDefault="00EF50DF" w:rsidP="004D6422">
      <w:pPr>
        <w:spacing w:line="360" w:lineRule="auto"/>
        <w:rPr>
          <w:rFonts w:ascii="Arial" w:hAnsi="Arial" w:cs="Arial"/>
        </w:rPr>
      </w:pPr>
      <w:r w:rsidRPr="004D6422">
        <w:rPr>
          <w:rFonts w:ascii="Arial" w:hAnsi="Arial" w:cs="Arial"/>
        </w:rPr>
        <w:t>Select Project C Only</w:t>
      </w:r>
    </w:p>
    <w:p w14:paraId="1CA78632" w14:textId="009B8775" w:rsidR="00EF50DF" w:rsidRPr="004D6422" w:rsidRDefault="00EF50DF" w:rsidP="004D6422">
      <w:pPr>
        <w:spacing w:line="360" w:lineRule="auto"/>
        <w:rPr>
          <w:rFonts w:ascii="Arial" w:hAnsi="Arial" w:cs="Arial"/>
        </w:rPr>
      </w:pPr>
      <w:r w:rsidRPr="004D6422">
        <w:rPr>
          <w:rFonts w:ascii="Arial" w:hAnsi="Arial" w:cs="Arial"/>
        </w:rPr>
        <w:t>This maximises value within the budget constraint and generates the highest return, supporting long-term recovery.</w:t>
      </w:r>
    </w:p>
    <w:p w14:paraId="0B74EA52" w14:textId="0CF65482" w:rsidR="00EF50DF" w:rsidRPr="004D6422" w:rsidRDefault="00EF50DF" w:rsidP="004D6422">
      <w:pPr>
        <w:pStyle w:val="Heading2"/>
        <w:spacing w:line="360" w:lineRule="auto"/>
        <w:rPr>
          <w:rFonts w:ascii="Arial" w:hAnsi="Arial" w:cs="Arial"/>
          <w:sz w:val="28"/>
          <w:szCs w:val="28"/>
        </w:rPr>
      </w:pPr>
      <w:bookmarkStart w:id="37" w:name="_Toc214875690"/>
      <w:r w:rsidRPr="004D6422">
        <w:rPr>
          <w:rFonts w:ascii="Arial" w:hAnsi="Arial" w:cs="Arial"/>
          <w:sz w:val="28"/>
          <w:szCs w:val="28"/>
        </w:rPr>
        <w:t>4.10 Section Conclusion</w:t>
      </w:r>
      <w:bookmarkEnd w:id="37"/>
    </w:p>
    <w:p w14:paraId="4D82A30E" w14:textId="27B623A2" w:rsidR="00EF50DF" w:rsidRPr="004D6422" w:rsidRDefault="00EF50DF" w:rsidP="004D6422">
      <w:pPr>
        <w:spacing w:line="360" w:lineRule="auto"/>
        <w:rPr>
          <w:rFonts w:ascii="Arial" w:hAnsi="Arial" w:cs="Arial"/>
        </w:rPr>
      </w:pPr>
      <w:r w:rsidRPr="004D6422">
        <w:rPr>
          <w:rFonts w:ascii="Arial" w:hAnsi="Arial" w:cs="Arial"/>
        </w:rPr>
        <w:t>The investment appraisal clearly indicates that Project C is the optimal choice. It delivers the highest NPV, IRR, ARR, and PI, and while its payback is slightly slower than Project A, it creates significantly more value. Project B should be rejected outright due to negative NPV and sub-hurdle IRR. Selecting Project C supports profitability recovery, shareholder value, and long-term financial stability, aligning with both restructuring objectives and capital rationing requirements.</w:t>
      </w:r>
    </w:p>
    <w:p w14:paraId="263F2083" w14:textId="58790A07" w:rsidR="00EF50DF" w:rsidRPr="004D6422" w:rsidRDefault="004D6422" w:rsidP="004D6422">
      <w:pPr>
        <w:pStyle w:val="Heading1"/>
        <w:spacing w:line="360" w:lineRule="auto"/>
        <w:rPr>
          <w:rFonts w:ascii="Arial" w:hAnsi="Arial" w:cs="Arial"/>
          <w:sz w:val="32"/>
          <w:szCs w:val="32"/>
        </w:rPr>
      </w:pPr>
      <w:bookmarkStart w:id="38" w:name="_Toc214875691"/>
      <w:r w:rsidRPr="004D6422">
        <w:rPr>
          <w:rFonts w:ascii="Arial" w:hAnsi="Arial" w:cs="Arial"/>
          <w:sz w:val="32"/>
          <w:szCs w:val="32"/>
        </w:rPr>
        <w:t>5: Conclusion</w:t>
      </w:r>
      <w:bookmarkEnd w:id="38"/>
    </w:p>
    <w:p w14:paraId="4A48148A" w14:textId="77C688F9" w:rsidR="00EF50DF" w:rsidRPr="004D6422" w:rsidRDefault="00EF50DF" w:rsidP="004D6422">
      <w:pPr>
        <w:spacing w:line="360" w:lineRule="auto"/>
        <w:rPr>
          <w:rFonts w:ascii="Arial" w:hAnsi="Arial" w:cs="Arial"/>
        </w:rPr>
      </w:pPr>
      <w:r w:rsidRPr="004D6422">
        <w:rPr>
          <w:rFonts w:ascii="Arial" w:hAnsi="Arial" w:cs="Arial"/>
        </w:rPr>
        <w:t xml:space="preserve">General Electronics’ five-year financial assessment reveals a rapid and severe deterioration across all core dimensions of financial performance. The company has </w:t>
      </w:r>
      <w:r w:rsidRPr="004D6422">
        <w:rPr>
          <w:rFonts w:ascii="Arial" w:hAnsi="Arial" w:cs="Arial"/>
        </w:rPr>
        <w:lastRenderedPageBreak/>
        <w:t>shifted from strong revenue and profit generation to sustained operating losses, weak liquidity, declining asset efficiency, and rising leverage. Profitability collapsed from a £38,572m net profit in 2020 to a £24,029m loss in 2024, while cash reserves fell sharply, signalling weakening resilience and reduced capacity to finance operations internally. Efficiency issues</w:t>
      </w:r>
      <w:r w:rsidR="0078225F" w:rsidRPr="004D6422">
        <w:rPr>
          <w:rFonts w:ascii="Arial" w:hAnsi="Arial" w:cs="Arial"/>
        </w:rPr>
        <w:t xml:space="preserve">, </w:t>
      </w:r>
      <w:r w:rsidRPr="004D6422">
        <w:rPr>
          <w:rFonts w:ascii="Arial" w:hAnsi="Arial" w:cs="Arial"/>
        </w:rPr>
        <w:t>including elevated inventories and slow receivables</w:t>
      </w:r>
      <w:r w:rsidR="0078225F" w:rsidRPr="004D6422">
        <w:rPr>
          <w:rFonts w:ascii="Arial" w:hAnsi="Arial" w:cs="Arial"/>
        </w:rPr>
        <w:t xml:space="preserve">, </w:t>
      </w:r>
      <w:r w:rsidRPr="004D6422">
        <w:rPr>
          <w:rFonts w:ascii="Arial" w:hAnsi="Arial" w:cs="Arial"/>
        </w:rPr>
        <w:t>have lengthened the cash conversion cycle and further strained liquidity. These trends collectively demonstrate a breakdown in operational effectiveness and long-term value creation.</w:t>
      </w:r>
    </w:p>
    <w:p w14:paraId="68AB7FC3" w14:textId="3791EC46" w:rsidR="00EF50DF" w:rsidRPr="004D6422" w:rsidRDefault="00EF50DF" w:rsidP="004D6422">
      <w:pPr>
        <w:spacing w:line="360" w:lineRule="auto"/>
        <w:rPr>
          <w:rFonts w:ascii="Arial" w:hAnsi="Arial" w:cs="Arial"/>
        </w:rPr>
      </w:pPr>
      <w:r w:rsidRPr="004D6422">
        <w:rPr>
          <w:rFonts w:ascii="Arial" w:hAnsi="Arial" w:cs="Arial"/>
        </w:rPr>
        <w:t>The capital structure has become increasingly unstable, with equity eroding significantly and liabilities remaining high. This has elevated solvency risk and reduced access to affordable financing. The distress-level Altman Z-Score confirms a high probability of failure, consistent with established research linking negative earnings, weak liquidity, and excessive leverage to bankruptcy risk (Altman, 1968; Altman et al., 2017). The destruction of shareholder value, reflected in the collapse of earnings per share, further highlights the urgency of corrective action.</w:t>
      </w:r>
    </w:p>
    <w:p w14:paraId="461793C7" w14:textId="74220BEC" w:rsidR="00EF50DF" w:rsidRPr="004D6422" w:rsidRDefault="00EF50DF" w:rsidP="004D6422">
      <w:pPr>
        <w:spacing w:line="360" w:lineRule="auto"/>
        <w:rPr>
          <w:rFonts w:ascii="Arial" w:hAnsi="Arial" w:cs="Arial"/>
        </w:rPr>
      </w:pPr>
      <w:r w:rsidRPr="004D6422">
        <w:rPr>
          <w:rFonts w:ascii="Arial" w:hAnsi="Arial" w:cs="Arial"/>
        </w:rPr>
        <w:t>Working capital inefficiencies have amplified financial pressures. Rising inventories, slow collections, and reduced payables have constrained cash flow and increased reliance on short-term financing. In a high interest-rate environment, this increases financing costs and refinancing risk, limiting strategic flexibility. Addressing these inefficiencies is essential to restoring liquidity and supporting operational stability.</w:t>
      </w:r>
    </w:p>
    <w:p w14:paraId="6BD91462" w14:textId="59305C69" w:rsidR="00EF50DF" w:rsidRPr="004D6422" w:rsidRDefault="00EF50DF" w:rsidP="004D6422">
      <w:pPr>
        <w:spacing w:line="360" w:lineRule="auto"/>
        <w:rPr>
          <w:rFonts w:ascii="Arial" w:hAnsi="Arial" w:cs="Arial"/>
        </w:rPr>
      </w:pPr>
      <w:r w:rsidRPr="004D6422">
        <w:rPr>
          <w:rFonts w:ascii="Arial" w:hAnsi="Arial" w:cs="Arial"/>
        </w:rPr>
        <w:t>The strategic restructuring plan provides a coherent roadmap for financial recovery. Deleveraging through divestitures, renegotiating debt terms, and selectively reinforcing equity can strengthen solvency and reduce financial risk. Operational cost restructuring and portfolio rationalisation can restore margin discipline and refocus resources on higher-value activities. By incorporating ethical and international considerations, the plan aligns with global expectations for responsible business conduct and enhances long-term legitimacy.</w:t>
      </w:r>
    </w:p>
    <w:p w14:paraId="6C270611" w14:textId="600EC60B" w:rsidR="00EF50DF" w:rsidRPr="004D6422" w:rsidRDefault="00EF50DF" w:rsidP="004D6422">
      <w:pPr>
        <w:spacing w:line="360" w:lineRule="auto"/>
        <w:rPr>
          <w:rFonts w:ascii="Arial" w:hAnsi="Arial" w:cs="Arial"/>
        </w:rPr>
      </w:pPr>
      <w:r w:rsidRPr="004D6422">
        <w:rPr>
          <w:rFonts w:ascii="Arial" w:hAnsi="Arial" w:cs="Arial"/>
        </w:rPr>
        <w:t xml:space="preserve">The investment appraisal results clearly identify Project C as the optimal capital investment under the £60 million budget constraint. With the highest NPV, IRR, ARR, and PI, Project C offers the strongest long-term value creation potential and supports the recovery of profitability and shareholder value. Project B should be rejected due </w:t>
      </w:r>
      <w:r w:rsidRPr="004D6422">
        <w:rPr>
          <w:rFonts w:ascii="Arial" w:hAnsi="Arial" w:cs="Arial"/>
        </w:rPr>
        <w:lastRenderedPageBreak/>
        <w:t>to negative NPV, while Project A</w:t>
      </w:r>
      <w:r w:rsidR="0078225F" w:rsidRPr="004D6422">
        <w:rPr>
          <w:rFonts w:ascii="Arial" w:hAnsi="Arial" w:cs="Arial"/>
        </w:rPr>
        <w:t xml:space="preserve">, </w:t>
      </w:r>
      <w:r w:rsidRPr="004D6422">
        <w:rPr>
          <w:rFonts w:ascii="Arial" w:hAnsi="Arial" w:cs="Arial"/>
        </w:rPr>
        <w:t>though acceptable</w:t>
      </w:r>
      <w:r w:rsidR="0078225F" w:rsidRPr="004D6422">
        <w:rPr>
          <w:rFonts w:ascii="Arial" w:hAnsi="Arial" w:cs="Arial"/>
        </w:rPr>
        <w:t xml:space="preserve">, </w:t>
      </w:r>
      <w:r w:rsidRPr="004D6422">
        <w:rPr>
          <w:rFonts w:ascii="Arial" w:hAnsi="Arial" w:cs="Arial"/>
        </w:rPr>
        <w:t>delivers inferior value compared to Project C.</w:t>
      </w:r>
    </w:p>
    <w:p w14:paraId="3A87B224" w14:textId="30209BBC" w:rsidR="00EF50DF" w:rsidRPr="004D6422" w:rsidRDefault="00EF50DF" w:rsidP="004D6422">
      <w:pPr>
        <w:spacing w:line="360" w:lineRule="auto"/>
        <w:rPr>
          <w:rFonts w:ascii="Arial" w:hAnsi="Arial" w:cs="Arial"/>
        </w:rPr>
      </w:pPr>
      <w:r w:rsidRPr="004D6422">
        <w:rPr>
          <w:rFonts w:ascii="Arial" w:hAnsi="Arial" w:cs="Arial"/>
        </w:rPr>
        <w:t>Overall, the evidence demonstrates that General Electronics faces critical financial distress but retains a viable path to recovery. Through decisive restructuring, disciplined working capital management, and strategic investment in Project C, the company can stabilise its financial position, rebuild profitability, and lay the foundation for sustainable long-term value creation.</w:t>
      </w:r>
    </w:p>
    <w:p w14:paraId="148DD014" w14:textId="77777777" w:rsidR="00EF50DF" w:rsidRPr="004D6422" w:rsidRDefault="00EF50DF" w:rsidP="004D6422">
      <w:pPr>
        <w:spacing w:line="360" w:lineRule="auto"/>
        <w:rPr>
          <w:rFonts w:ascii="Arial" w:hAnsi="Arial" w:cs="Arial"/>
        </w:rPr>
      </w:pPr>
    </w:p>
    <w:p w14:paraId="4DCEDB0D" w14:textId="77777777" w:rsidR="00EF50DF" w:rsidRPr="004D6422" w:rsidRDefault="00EF50DF" w:rsidP="004D6422">
      <w:pPr>
        <w:spacing w:line="360" w:lineRule="auto"/>
        <w:rPr>
          <w:rFonts w:ascii="Arial" w:hAnsi="Arial" w:cs="Arial"/>
        </w:rPr>
      </w:pPr>
    </w:p>
    <w:p w14:paraId="582DDA9A" w14:textId="77777777" w:rsidR="00EF50DF" w:rsidRPr="004D6422" w:rsidRDefault="00EF50DF" w:rsidP="004D6422">
      <w:pPr>
        <w:spacing w:line="360" w:lineRule="auto"/>
        <w:rPr>
          <w:rFonts w:ascii="Arial" w:hAnsi="Arial" w:cs="Arial"/>
        </w:rPr>
      </w:pPr>
    </w:p>
    <w:p w14:paraId="08C56EC8" w14:textId="77777777" w:rsidR="00EF50DF" w:rsidRPr="004D6422" w:rsidRDefault="00EF50DF" w:rsidP="004D6422">
      <w:pPr>
        <w:spacing w:line="360" w:lineRule="auto"/>
        <w:rPr>
          <w:rFonts w:ascii="Arial" w:hAnsi="Arial" w:cs="Arial"/>
        </w:rPr>
      </w:pPr>
    </w:p>
    <w:p w14:paraId="05C9CA3C" w14:textId="77777777" w:rsidR="00EF50DF" w:rsidRPr="004D6422" w:rsidRDefault="00EF50DF" w:rsidP="004D6422">
      <w:pPr>
        <w:spacing w:line="360" w:lineRule="auto"/>
        <w:rPr>
          <w:rFonts w:ascii="Arial" w:hAnsi="Arial" w:cs="Arial"/>
        </w:rPr>
      </w:pPr>
    </w:p>
    <w:p w14:paraId="66A4EC88" w14:textId="77777777" w:rsidR="00EF50DF" w:rsidRPr="004D6422" w:rsidRDefault="00EF50DF" w:rsidP="004D6422">
      <w:pPr>
        <w:spacing w:line="360" w:lineRule="auto"/>
        <w:rPr>
          <w:rFonts w:ascii="Arial" w:hAnsi="Arial" w:cs="Arial"/>
        </w:rPr>
      </w:pPr>
    </w:p>
    <w:p w14:paraId="52DD7AF9" w14:textId="77777777" w:rsidR="00EF50DF" w:rsidRPr="004D6422" w:rsidRDefault="00EF50DF" w:rsidP="004D6422">
      <w:pPr>
        <w:spacing w:line="360" w:lineRule="auto"/>
        <w:rPr>
          <w:rFonts w:ascii="Arial" w:hAnsi="Arial" w:cs="Arial"/>
        </w:rPr>
      </w:pPr>
    </w:p>
    <w:p w14:paraId="06988BE4" w14:textId="77777777" w:rsidR="00EF50DF" w:rsidRPr="004D6422" w:rsidRDefault="00EF50DF" w:rsidP="004D6422">
      <w:pPr>
        <w:spacing w:line="360" w:lineRule="auto"/>
        <w:rPr>
          <w:rFonts w:ascii="Arial" w:hAnsi="Arial" w:cs="Arial"/>
        </w:rPr>
      </w:pPr>
    </w:p>
    <w:p w14:paraId="704C5874" w14:textId="77777777" w:rsidR="00EF50DF" w:rsidRPr="004D6422" w:rsidRDefault="00EF50DF" w:rsidP="004D6422">
      <w:pPr>
        <w:spacing w:line="360" w:lineRule="auto"/>
        <w:rPr>
          <w:rFonts w:ascii="Arial" w:hAnsi="Arial" w:cs="Arial"/>
        </w:rPr>
      </w:pPr>
    </w:p>
    <w:p w14:paraId="2984691D" w14:textId="77777777" w:rsidR="00EF50DF" w:rsidRPr="004D6422" w:rsidRDefault="00EF50DF" w:rsidP="004D6422">
      <w:pPr>
        <w:spacing w:line="360" w:lineRule="auto"/>
        <w:rPr>
          <w:rFonts w:ascii="Arial" w:hAnsi="Arial" w:cs="Arial"/>
        </w:rPr>
      </w:pPr>
    </w:p>
    <w:p w14:paraId="2B95D9D7" w14:textId="77777777" w:rsidR="00EF50DF" w:rsidRPr="004D6422" w:rsidRDefault="00EF50DF" w:rsidP="004D6422">
      <w:pPr>
        <w:spacing w:line="360" w:lineRule="auto"/>
        <w:rPr>
          <w:rFonts w:ascii="Arial" w:hAnsi="Arial" w:cs="Arial"/>
        </w:rPr>
      </w:pPr>
    </w:p>
    <w:p w14:paraId="66DC7E2B" w14:textId="77777777" w:rsidR="00EF50DF" w:rsidRPr="004D6422" w:rsidRDefault="00EF50DF" w:rsidP="004D6422">
      <w:pPr>
        <w:spacing w:line="360" w:lineRule="auto"/>
        <w:rPr>
          <w:rFonts w:ascii="Arial" w:hAnsi="Arial" w:cs="Arial"/>
        </w:rPr>
      </w:pPr>
    </w:p>
    <w:p w14:paraId="6024E279" w14:textId="77777777" w:rsidR="00EF50DF" w:rsidRPr="004D6422" w:rsidRDefault="00EF50DF" w:rsidP="004D6422">
      <w:pPr>
        <w:spacing w:line="360" w:lineRule="auto"/>
        <w:rPr>
          <w:rFonts w:ascii="Arial" w:hAnsi="Arial" w:cs="Arial"/>
        </w:rPr>
      </w:pPr>
    </w:p>
    <w:p w14:paraId="65BD166D" w14:textId="77777777" w:rsidR="00EF50DF" w:rsidRPr="004D6422" w:rsidRDefault="00EF50DF" w:rsidP="004D6422">
      <w:pPr>
        <w:spacing w:line="360" w:lineRule="auto"/>
        <w:rPr>
          <w:rFonts w:ascii="Arial" w:hAnsi="Arial" w:cs="Arial"/>
        </w:rPr>
      </w:pPr>
    </w:p>
    <w:p w14:paraId="2EC4E619" w14:textId="77777777" w:rsidR="00EF50DF" w:rsidRPr="004D6422" w:rsidRDefault="00EF50DF" w:rsidP="004D6422">
      <w:pPr>
        <w:spacing w:line="360" w:lineRule="auto"/>
        <w:rPr>
          <w:rFonts w:ascii="Arial" w:hAnsi="Arial" w:cs="Arial"/>
        </w:rPr>
      </w:pPr>
    </w:p>
    <w:p w14:paraId="129EF1EA" w14:textId="77777777" w:rsidR="00EF50DF" w:rsidRPr="004D6422" w:rsidRDefault="00EF50DF" w:rsidP="004D6422">
      <w:pPr>
        <w:spacing w:line="360" w:lineRule="auto"/>
        <w:rPr>
          <w:rFonts w:ascii="Arial" w:hAnsi="Arial" w:cs="Arial"/>
        </w:rPr>
      </w:pPr>
    </w:p>
    <w:p w14:paraId="5BBF2BE3" w14:textId="77777777" w:rsidR="00EF50DF" w:rsidRPr="004D6422" w:rsidRDefault="00EF50DF" w:rsidP="004D6422">
      <w:pPr>
        <w:spacing w:line="360" w:lineRule="auto"/>
        <w:rPr>
          <w:rFonts w:ascii="Arial" w:hAnsi="Arial" w:cs="Arial"/>
        </w:rPr>
      </w:pPr>
    </w:p>
    <w:p w14:paraId="3060F137" w14:textId="77777777" w:rsidR="00EF50DF" w:rsidRPr="004D6422" w:rsidRDefault="00EF50DF" w:rsidP="004D6422">
      <w:pPr>
        <w:spacing w:line="360" w:lineRule="auto"/>
        <w:rPr>
          <w:rFonts w:ascii="Arial" w:hAnsi="Arial" w:cs="Arial"/>
        </w:rPr>
      </w:pPr>
    </w:p>
    <w:p w14:paraId="30E43F78" w14:textId="77777777" w:rsidR="00EF50DF" w:rsidRPr="004D6422" w:rsidRDefault="00EF50DF" w:rsidP="004D6422">
      <w:pPr>
        <w:spacing w:line="360" w:lineRule="auto"/>
        <w:rPr>
          <w:rFonts w:ascii="Arial" w:hAnsi="Arial" w:cs="Arial"/>
        </w:rPr>
      </w:pPr>
    </w:p>
    <w:p w14:paraId="70F48DD4" w14:textId="77777777" w:rsidR="00EF50DF" w:rsidRPr="004D6422" w:rsidRDefault="00EF50DF" w:rsidP="004D6422">
      <w:pPr>
        <w:pStyle w:val="Heading1"/>
        <w:spacing w:line="360" w:lineRule="auto"/>
        <w:rPr>
          <w:rFonts w:ascii="Arial" w:hAnsi="Arial" w:cs="Arial"/>
          <w:sz w:val="32"/>
          <w:szCs w:val="32"/>
        </w:rPr>
      </w:pPr>
      <w:bookmarkStart w:id="39" w:name="_Toc214875692"/>
      <w:r w:rsidRPr="004D6422">
        <w:rPr>
          <w:rFonts w:ascii="Arial" w:hAnsi="Arial" w:cs="Arial"/>
          <w:sz w:val="32"/>
          <w:szCs w:val="32"/>
        </w:rPr>
        <w:lastRenderedPageBreak/>
        <w:t>Reference list</w:t>
      </w:r>
      <w:bookmarkEnd w:id="39"/>
    </w:p>
    <w:p w14:paraId="70F1F406" w14:textId="77777777" w:rsidR="00EF50DF" w:rsidRPr="00DB1E36" w:rsidRDefault="00EF50DF" w:rsidP="004D6422">
      <w:pPr>
        <w:spacing w:line="360" w:lineRule="auto"/>
        <w:rPr>
          <w:rFonts w:ascii="Arial" w:hAnsi="Arial" w:cs="Arial"/>
        </w:rPr>
      </w:pPr>
      <w:r w:rsidRPr="00DB1E36">
        <w:rPr>
          <w:rFonts w:ascii="Arial" w:hAnsi="Arial" w:cs="Arial"/>
        </w:rPr>
        <w:t xml:space="preserve">Altman, E.I. (1968). Financial Ratios, Discriminant Analysis and the Prediction of Corporate Bankruptcy. </w:t>
      </w:r>
      <w:r w:rsidRPr="00DB1E36">
        <w:rPr>
          <w:rFonts w:ascii="Arial" w:hAnsi="Arial" w:cs="Arial"/>
          <w:i/>
          <w:iCs/>
        </w:rPr>
        <w:t>The Journal of Finance</w:t>
      </w:r>
      <w:r w:rsidRPr="00DB1E36">
        <w:rPr>
          <w:rFonts w:ascii="Arial" w:hAnsi="Arial" w:cs="Arial"/>
        </w:rPr>
        <w:t>, [online] 23(4), pp.589–609. doi:https://doi.org/10.2307/2978933.</w:t>
      </w:r>
    </w:p>
    <w:p w14:paraId="0D2B8DAF" w14:textId="77777777" w:rsidR="00EF50DF" w:rsidRPr="00DB1E36" w:rsidRDefault="00EF50DF" w:rsidP="004D6422">
      <w:pPr>
        <w:spacing w:line="360" w:lineRule="auto"/>
        <w:rPr>
          <w:rFonts w:ascii="Arial" w:hAnsi="Arial" w:cs="Arial"/>
        </w:rPr>
      </w:pPr>
      <w:r w:rsidRPr="00DB1E36">
        <w:rPr>
          <w:rFonts w:ascii="Arial" w:hAnsi="Arial" w:cs="Arial"/>
        </w:rPr>
        <w:t xml:space="preserve">Altman, E.I., Iwanicz-Drozdowska, M., Laitinen, E.K. and Suvas, A. (2017). Financial Distress Prediction in an International Context: A Review and Empirical Analysis of Altman’s Z- Score Model. </w:t>
      </w:r>
      <w:r w:rsidRPr="00DB1E36">
        <w:rPr>
          <w:rFonts w:ascii="Arial" w:hAnsi="Arial" w:cs="Arial"/>
          <w:i/>
          <w:iCs/>
        </w:rPr>
        <w:t>Journal of International Financial Management &amp; Accounting</w:t>
      </w:r>
      <w:r w:rsidRPr="00DB1E36">
        <w:rPr>
          <w:rFonts w:ascii="Arial" w:hAnsi="Arial" w:cs="Arial"/>
        </w:rPr>
        <w:t>, 28(2), pp.131–171. doi:https://doi.org/10.1111/jifm.12053.</w:t>
      </w:r>
    </w:p>
    <w:p w14:paraId="5AE71DA8" w14:textId="77777777" w:rsidR="00EF50DF" w:rsidRPr="00DB1E36" w:rsidRDefault="00EF50DF" w:rsidP="004D6422">
      <w:pPr>
        <w:spacing w:line="360" w:lineRule="auto"/>
        <w:rPr>
          <w:rFonts w:ascii="Arial" w:hAnsi="Arial" w:cs="Arial"/>
        </w:rPr>
      </w:pPr>
      <w:r w:rsidRPr="00DB1E36">
        <w:rPr>
          <w:rFonts w:ascii="Arial" w:hAnsi="Arial" w:cs="Arial"/>
        </w:rPr>
        <w:t xml:space="preserve">Bank of England (2023). </w:t>
      </w:r>
      <w:r w:rsidRPr="00DB1E36">
        <w:rPr>
          <w:rFonts w:ascii="Arial" w:hAnsi="Arial" w:cs="Arial"/>
          <w:i/>
          <w:iCs/>
        </w:rPr>
        <w:t>Monetary Policy Report - November 2023</w:t>
      </w:r>
      <w:r w:rsidRPr="00DB1E36">
        <w:rPr>
          <w:rFonts w:ascii="Arial" w:hAnsi="Arial" w:cs="Arial"/>
        </w:rPr>
        <w:t>. [online] Bank of England. Available at: https://www.bankofengland.co.uk/monetary-policy-report/2023/november-2023 [Accessed 12 Nov. 2025].</w:t>
      </w:r>
    </w:p>
    <w:p w14:paraId="6F69A0E0" w14:textId="77777777" w:rsidR="00EF50DF" w:rsidRPr="00DB1E36" w:rsidRDefault="00EF50DF" w:rsidP="004D6422">
      <w:pPr>
        <w:spacing w:line="360" w:lineRule="auto"/>
        <w:rPr>
          <w:rFonts w:ascii="Arial" w:hAnsi="Arial" w:cs="Arial"/>
        </w:rPr>
      </w:pPr>
      <w:r w:rsidRPr="00DB1E36">
        <w:rPr>
          <w:rFonts w:ascii="Arial" w:hAnsi="Arial" w:cs="Arial"/>
        </w:rPr>
        <w:t xml:space="preserve">Baños-Caballero, S., García-Teruel, P.J. and Martínez-Solano, P. (2014). Working capital management, corporate performance, and financial constraints. </w:t>
      </w:r>
      <w:r w:rsidRPr="00DB1E36">
        <w:rPr>
          <w:rFonts w:ascii="Arial" w:hAnsi="Arial" w:cs="Arial"/>
          <w:i/>
          <w:iCs/>
        </w:rPr>
        <w:t>Journal of Business Research</w:t>
      </w:r>
      <w:r w:rsidRPr="00DB1E36">
        <w:rPr>
          <w:rFonts w:ascii="Arial" w:hAnsi="Arial" w:cs="Arial"/>
        </w:rPr>
        <w:t>, [online] 67(3), pp.332–338. doi:https://doi.org/10.1016/j.jbusres.2013.01.016.</w:t>
      </w:r>
    </w:p>
    <w:p w14:paraId="424DB254" w14:textId="77777777" w:rsidR="00EF50DF" w:rsidRPr="00DB1E36" w:rsidRDefault="00EF50DF" w:rsidP="004D6422">
      <w:pPr>
        <w:spacing w:line="360" w:lineRule="auto"/>
        <w:rPr>
          <w:rFonts w:ascii="Arial" w:hAnsi="Arial" w:cs="Arial"/>
        </w:rPr>
      </w:pPr>
      <w:r w:rsidRPr="00DB1E36">
        <w:rPr>
          <w:rFonts w:ascii="Arial" w:hAnsi="Arial" w:cs="Arial"/>
        </w:rPr>
        <w:t xml:space="preserve">Beaver, W.H. (1966). Financial Ratios As Predictors of Failure. </w:t>
      </w:r>
      <w:r w:rsidRPr="00DB1E36">
        <w:rPr>
          <w:rFonts w:ascii="Arial" w:hAnsi="Arial" w:cs="Arial"/>
          <w:i/>
          <w:iCs/>
        </w:rPr>
        <w:t>Journal of Accounting Research</w:t>
      </w:r>
      <w:r w:rsidRPr="00DB1E36">
        <w:rPr>
          <w:rFonts w:ascii="Arial" w:hAnsi="Arial" w:cs="Arial"/>
        </w:rPr>
        <w:t>, 4(3), pp.71–111. doi:https://doi.org/10.2307/2490171.</w:t>
      </w:r>
    </w:p>
    <w:p w14:paraId="39BF0B38" w14:textId="77777777" w:rsidR="00EF50DF" w:rsidRPr="00DB1E36" w:rsidRDefault="00EF50DF" w:rsidP="004D6422">
      <w:pPr>
        <w:spacing w:line="360" w:lineRule="auto"/>
        <w:rPr>
          <w:rFonts w:ascii="Arial" w:hAnsi="Arial" w:cs="Arial"/>
        </w:rPr>
      </w:pPr>
      <w:r w:rsidRPr="00DB1E36">
        <w:rPr>
          <w:rFonts w:ascii="Arial" w:hAnsi="Arial" w:cs="Arial"/>
        </w:rPr>
        <w:t xml:space="preserve">Csr, global (2023). </w:t>
      </w:r>
      <w:r w:rsidRPr="00DB1E36">
        <w:rPr>
          <w:rFonts w:ascii="Arial" w:hAnsi="Arial" w:cs="Arial"/>
          <w:i/>
          <w:iCs/>
        </w:rPr>
        <w:t>The International Minimum Standard for Responsible Business Conduct UN Guiding Principles on Business and Human Rights and OECD Guidelines for Multinational Enterprises (UNGPs/OECD) Primer to the International Minimum Standard</w:t>
      </w:r>
      <w:r w:rsidRPr="00DB1E36">
        <w:rPr>
          <w:rFonts w:ascii="Arial" w:hAnsi="Arial" w:cs="Arial"/>
        </w:rPr>
        <w:t>. [online] Available at: https://www.ohchr.org/sites/default/files/documents/issues/business/workinggroupbusiness/wg-business-cfis/2023/investros-esg/business/WGBHR-CFI-Investors-Global_CSR_2.pdf [Accessed 7 Nov. 2025].</w:t>
      </w:r>
    </w:p>
    <w:p w14:paraId="711E40DA" w14:textId="77777777" w:rsidR="00EF50DF" w:rsidRPr="00DB1E36" w:rsidRDefault="00EF50DF" w:rsidP="004D6422">
      <w:pPr>
        <w:spacing w:line="360" w:lineRule="auto"/>
        <w:rPr>
          <w:rFonts w:ascii="Arial" w:hAnsi="Arial" w:cs="Arial"/>
        </w:rPr>
      </w:pPr>
      <w:r w:rsidRPr="00DB1E36">
        <w:rPr>
          <w:rFonts w:ascii="Arial" w:hAnsi="Arial" w:cs="Arial"/>
        </w:rPr>
        <w:t xml:space="preserve">Damodaran, A. (2025). </w:t>
      </w:r>
      <w:r w:rsidRPr="00DB1E36">
        <w:rPr>
          <w:rFonts w:ascii="Arial" w:hAnsi="Arial" w:cs="Arial"/>
          <w:i/>
          <w:iCs/>
        </w:rPr>
        <w:t>Damodaran Online: Home Page for Aswath Damodaran</w:t>
      </w:r>
      <w:r w:rsidRPr="00DB1E36">
        <w:rPr>
          <w:rFonts w:ascii="Arial" w:hAnsi="Arial" w:cs="Arial"/>
        </w:rPr>
        <w:t>. [online] Nyu.edu. Available at: https://pages.stern.nyu.edu/~adamodar/ [Accessed 3 Nov. 2025].</w:t>
      </w:r>
    </w:p>
    <w:p w14:paraId="30AADF69" w14:textId="77777777" w:rsidR="00EF50DF" w:rsidRPr="00DB1E36" w:rsidRDefault="00EF50DF" w:rsidP="004D6422">
      <w:pPr>
        <w:spacing w:line="360" w:lineRule="auto"/>
        <w:rPr>
          <w:rFonts w:ascii="Arial" w:hAnsi="Arial" w:cs="Arial"/>
        </w:rPr>
      </w:pPr>
      <w:r w:rsidRPr="00DB1E36">
        <w:rPr>
          <w:rFonts w:ascii="Arial" w:hAnsi="Arial" w:cs="Arial"/>
        </w:rPr>
        <w:t xml:space="preserve">De, P., Rogério João Lunkes and Antonio Cezar Bornia (2020). </w:t>
      </w:r>
      <w:r w:rsidRPr="00DB1E36">
        <w:rPr>
          <w:rFonts w:ascii="Arial" w:hAnsi="Arial" w:cs="Arial"/>
          <w:i/>
          <w:iCs/>
        </w:rPr>
        <w:t>Capital budgeting: a systematic review of the literature</w:t>
      </w:r>
      <w:r w:rsidRPr="00DB1E36">
        <w:rPr>
          <w:rFonts w:ascii="Arial" w:hAnsi="Arial" w:cs="Arial"/>
        </w:rPr>
        <w:t xml:space="preserve">. [online] ResearchGate. Available at: </w:t>
      </w:r>
      <w:r w:rsidRPr="00DB1E36">
        <w:rPr>
          <w:rFonts w:ascii="Arial" w:hAnsi="Arial" w:cs="Arial"/>
        </w:rPr>
        <w:lastRenderedPageBreak/>
        <w:t>https://www.researchgate.net/publication/339918413_Capital_budgeting_a_systematic_review_of_the_literature [Accessed 15 Nov. 2025].</w:t>
      </w:r>
    </w:p>
    <w:p w14:paraId="26498E7F" w14:textId="77777777" w:rsidR="00EF50DF" w:rsidRPr="00DB1E36" w:rsidRDefault="00EF50DF" w:rsidP="004D6422">
      <w:pPr>
        <w:spacing w:line="360" w:lineRule="auto"/>
        <w:rPr>
          <w:rFonts w:ascii="Arial" w:hAnsi="Arial" w:cs="Arial"/>
        </w:rPr>
      </w:pPr>
      <w:r w:rsidRPr="00DB1E36">
        <w:rPr>
          <w:rFonts w:ascii="Arial" w:hAnsi="Arial" w:cs="Arial"/>
        </w:rPr>
        <w:t xml:space="preserve">Deloof, M. (2003). Does Working Capital Management Affect Profitability of Belgian Firms? </w:t>
      </w:r>
      <w:r w:rsidRPr="00DB1E36">
        <w:rPr>
          <w:rFonts w:ascii="Arial" w:hAnsi="Arial" w:cs="Arial"/>
          <w:i/>
          <w:iCs/>
        </w:rPr>
        <w:t>Journal of Business Finance &amp; Accounting</w:t>
      </w:r>
      <w:r w:rsidRPr="00DB1E36">
        <w:rPr>
          <w:rFonts w:ascii="Arial" w:hAnsi="Arial" w:cs="Arial"/>
        </w:rPr>
        <w:t>, 30(3-4), pp.573–588. doi:https://doi.org/10.1111/1468-5957.00008.</w:t>
      </w:r>
    </w:p>
    <w:p w14:paraId="6EEC5F52" w14:textId="77777777" w:rsidR="00EF50DF" w:rsidRPr="00DB1E36" w:rsidRDefault="00EF50DF" w:rsidP="004D6422">
      <w:pPr>
        <w:spacing w:line="360" w:lineRule="auto"/>
        <w:rPr>
          <w:rFonts w:ascii="Arial" w:hAnsi="Arial" w:cs="Arial"/>
        </w:rPr>
      </w:pPr>
      <w:r w:rsidRPr="00DB1E36">
        <w:rPr>
          <w:rFonts w:ascii="Arial" w:hAnsi="Arial" w:cs="Arial"/>
        </w:rPr>
        <w:t xml:space="preserve">Égert, B. (2021). Investment in OECD Countries: a Primer. </w:t>
      </w:r>
      <w:r w:rsidRPr="00DB1E36">
        <w:rPr>
          <w:rFonts w:ascii="Arial" w:hAnsi="Arial" w:cs="Arial"/>
          <w:i/>
          <w:iCs/>
        </w:rPr>
        <w:t>Comparative Economic Studies</w:t>
      </w:r>
      <w:r w:rsidRPr="00DB1E36">
        <w:rPr>
          <w:rFonts w:ascii="Arial" w:hAnsi="Arial" w:cs="Arial"/>
        </w:rPr>
        <w:t>. doi:https://doi.org/10.1057/s41294-021-00146-3.</w:t>
      </w:r>
    </w:p>
    <w:p w14:paraId="7D11CE09" w14:textId="77777777" w:rsidR="00EF50DF" w:rsidRPr="00DB1E36" w:rsidRDefault="00EF50DF" w:rsidP="004D6422">
      <w:pPr>
        <w:spacing w:line="360" w:lineRule="auto"/>
        <w:rPr>
          <w:rFonts w:ascii="Arial" w:hAnsi="Arial" w:cs="Arial"/>
        </w:rPr>
      </w:pPr>
      <w:r w:rsidRPr="00DB1E36">
        <w:rPr>
          <w:rFonts w:ascii="Arial" w:hAnsi="Arial" w:cs="Arial"/>
        </w:rPr>
        <w:t xml:space="preserve">Eurostat (2023). </w:t>
      </w:r>
      <w:r w:rsidRPr="00DB1E36">
        <w:rPr>
          <w:rFonts w:ascii="Arial" w:hAnsi="Arial" w:cs="Arial"/>
          <w:i/>
          <w:iCs/>
        </w:rPr>
        <w:t>Exchange rates and interest rates</w:t>
      </w:r>
      <w:r w:rsidRPr="00DB1E36">
        <w:rPr>
          <w:rFonts w:ascii="Arial" w:hAnsi="Arial" w:cs="Arial"/>
        </w:rPr>
        <w:t>. [online] ec.europa.eu. Available at: https://ec.europa.eu/eurostat/statistics-explained/index.php?title=Exchange_rates_and_interest_rates [Accessed 12 Nov. 2025].</w:t>
      </w:r>
    </w:p>
    <w:p w14:paraId="2F1A3C36" w14:textId="77777777" w:rsidR="00EF50DF" w:rsidRPr="00DB1E36" w:rsidRDefault="00EF50DF" w:rsidP="004D6422">
      <w:pPr>
        <w:spacing w:line="360" w:lineRule="auto"/>
        <w:rPr>
          <w:rFonts w:ascii="Arial" w:hAnsi="Arial" w:cs="Arial"/>
        </w:rPr>
      </w:pPr>
      <w:r w:rsidRPr="00DB1E36">
        <w:rPr>
          <w:rFonts w:ascii="Arial" w:hAnsi="Arial" w:cs="Arial"/>
        </w:rPr>
        <w:t xml:space="preserve">Frick, W. (2019). </w:t>
      </w:r>
      <w:r w:rsidRPr="00DB1E36">
        <w:rPr>
          <w:rFonts w:ascii="Arial" w:hAnsi="Arial" w:cs="Arial"/>
          <w:i/>
          <w:iCs/>
        </w:rPr>
        <w:t>How to Survive a Recession and Thrive Afterward</w:t>
      </w:r>
      <w:r w:rsidRPr="00DB1E36">
        <w:rPr>
          <w:rFonts w:ascii="Arial" w:hAnsi="Arial" w:cs="Arial"/>
        </w:rPr>
        <w:t>. [online] Harvard Business Review. Available at: https://hbr.org/2019/05/how-to-survive-a-recession-and-thrive-afterward [Accessed 11 Nov. 2025].</w:t>
      </w:r>
    </w:p>
    <w:p w14:paraId="1C84B0B9" w14:textId="77777777" w:rsidR="00EF50DF" w:rsidRPr="00DB1E36" w:rsidRDefault="00EF50DF" w:rsidP="004D6422">
      <w:pPr>
        <w:spacing w:line="360" w:lineRule="auto"/>
        <w:rPr>
          <w:rFonts w:ascii="Arial" w:hAnsi="Arial" w:cs="Arial"/>
        </w:rPr>
      </w:pPr>
      <w:r w:rsidRPr="00DB1E36">
        <w:rPr>
          <w:rFonts w:ascii="Arial" w:hAnsi="Arial" w:cs="Arial"/>
        </w:rPr>
        <w:t xml:space="preserve">Gitman, L.J. (1974). Estimating Corporate Liquidity Requirements: A Simplified Approach. </w:t>
      </w:r>
      <w:r w:rsidRPr="00DB1E36">
        <w:rPr>
          <w:rFonts w:ascii="Arial" w:hAnsi="Arial" w:cs="Arial"/>
          <w:i/>
          <w:iCs/>
        </w:rPr>
        <w:t>The Financial Review</w:t>
      </w:r>
      <w:r w:rsidRPr="00DB1E36">
        <w:rPr>
          <w:rFonts w:ascii="Arial" w:hAnsi="Arial" w:cs="Arial"/>
        </w:rPr>
        <w:t>, 9(1), pp.79–88. doi:https://doi.org/10.1111/j.1540-6288.1974.tb01453.x.</w:t>
      </w:r>
    </w:p>
    <w:p w14:paraId="297C592A" w14:textId="77777777" w:rsidR="00EF50DF" w:rsidRPr="00DB1E36" w:rsidRDefault="00EF50DF" w:rsidP="004D6422">
      <w:pPr>
        <w:spacing w:line="360" w:lineRule="auto"/>
        <w:rPr>
          <w:rFonts w:ascii="Arial" w:hAnsi="Arial" w:cs="Arial"/>
        </w:rPr>
      </w:pPr>
      <w:r w:rsidRPr="00DB1E36">
        <w:rPr>
          <w:rFonts w:ascii="Arial" w:hAnsi="Arial" w:cs="Arial"/>
        </w:rPr>
        <w:t xml:space="preserve">Graham, J.R. and Harvey, C.R. (2001). The Theory and Practice of Corporate finance: Evidence from the Field. </w:t>
      </w:r>
      <w:r w:rsidRPr="00DB1E36">
        <w:rPr>
          <w:rFonts w:ascii="Arial" w:hAnsi="Arial" w:cs="Arial"/>
          <w:i/>
          <w:iCs/>
        </w:rPr>
        <w:t>Journal of Financial Economics</w:t>
      </w:r>
      <w:r w:rsidRPr="00DB1E36">
        <w:rPr>
          <w:rFonts w:ascii="Arial" w:hAnsi="Arial" w:cs="Arial"/>
        </w:rPr>
        <w:t>, [online] 60(2-3), pp.187–243. doi:https://doi.org/10.1016/S0304-405X(01)00044-7.</w:t>
      </w:r>
    </w:p>
    <w:p w14:paraId="22755D54" w14:textId="77777777" w:rsidR="00EF50DF" w:rsidRPr="00DB1E36" w:rsidRDefault="00EF50DF" w:rsidP="004D6422">
      <w:pPr>
        <w:spacing w:line="360" w:lineRule="auto"/>
        <w:rPr>
          <w:rFonts w:ascii="Arial" w:hAnsi="Arial" w:cs="Arial"/>
        </w:rPr>
      </w:pPr>
      <w:r w:rsidRPr="00DB1E36">
        <w:rPr>
          <w:rFonts w:ascii="Arial" w:hAnsi="Arial" w:cs="Arial"/>
        </w:rPr>
        <w:t xml:space="preserve">IMF (2023). </w:t>
      </w:r>
      <w:r w:rsidRPr="00DB1E36">
        <w:rPr>
          <w:rFonts w:ascii="Arial" w:hAnsi="Arial" w:cs="Arial"/>
          <w:i/>
          <w:iCs/>
        </w:rPr>
        <w:t>Global Financial Stability Report, October 2023: Financial and Climate Policies for a High-Interest-Rate Era</w:t>
      </w:r>
      <w:r w:rsidRPr="00DB1E36">
        <w:rPr>
          <w:rFonts w:ascii="Arial" w:hAnsi="Arial" w:cs="Arial"/>
        </w:rPr>
        <w:t>. [online] IMF. Available at: https://www.imf.org/en/Publications/GFSR/Issues/2023/10/10/global-financial-stability-report-october-2023 [Accessed 5 Nov. 2025].</w:t>
      </w:r>
    </w:p>
    <w:p w14:paraId="0B8A146B" w14:textId="77777777" w:rsidR="00EF50DF" w:rsidRPr="00DB1E36" w:rsidRDefault="00EF50DF" w:rsidP="004D6422">
      <w:pPr>
        <w:spacing w:line="360" w:lineRule="auto"/>
        <w:rPr>
          <w:rFonts w:ascii="Arial" w:hAnsi="Arial" w:cs="Arial"/>
        </w:rPr>
      </w:pPr>
      <w:r w:rsidRPr="00DB1E36">
        <w:rPr>
          <w:rFonts w:ascii="Arial" w:hAnsi="Arial" w:cs="Arial"/>
        </w:rPr>
        <w:t xml:space="preserve">Lazaridis, I. and Tryfonidis, D. (2006). </w:t>
      </w:r>
      <w:r w:rsidRPr="00DB1E36">
        <w:rPr>
          <w:rFonts w:ascii="Arial" w:hAnsi="Arial" w:cs="Arial"/>
          <w:i/>
          <w:iCs/>
        </w:rPr>
        <w:t>Relationship between Working Capital Management and Profitability of Listed Companies in the Athens Stock Exchange</w:t>
      </w:r>
      <w:r w:rsidRPr="00DB1E36">
        <w:rPr>
          <w:rFonts w:ascii="Arial" w:hAnsi="Arial" w:cs="Arial"/>
        </w:rPr>
        <w:t>. [online] Ssrn.com. Available at: https://papers.ssrn.com/sol3/papers.cfm?abstract_id=931591 [Accessed 2 Nov. 2025].</w:t>
      </w:r>
    </w:p>
    <w:p w14:paraId="4B3E097D" w14:textId="77777777" w:rsidR="00EF50DF" w:rsidRPr="00DB1E36" w:rsidRDefault="00EF50DF" w:rsidP="004D6422">
      <w:pPr>
        <w:spacing w:line="360" w:lineRule="auto"/>
        <w:rPr>
          <w:rFonts w:ascii="Arial" w:hAnsi="Arial" w:cs="Arial"/>
        </w:rPr>
      </w:pPr>
      <w:r w:rsidRPr="00DB1E36">
        <w:rPr>
          <w:rFonts w:ascii="Arial" w:hAnsi="Arial" w:cs="Arial"/>
        </w:rPr>
        <w:lastRenderedPageBreak/>
        <w:t xml:space="preserve">Nyu.edu. (2022). </w:t>
      </w:r>
      <w:r w:rsidRPr="00DB1E36">
        <w:rPr>
          <w:rFonts w:ascii="Arial" w:hAnsi="Arial" w:cs="Arial"/>
          <w:i/>
          <w:iCs/>
        </w:rPr>
        <w:t>Investment Valuation 3rd Edition: Entry Page</w:t>
      </w:r>
      <w:r w:rsidRPr="00DB1E36">
        <w:rPr>
          <w:rFonts w:ascii="Arial" w:hAnsi="Arial" w:cs="Arial"/>
        </w:rPr>
        <w:t>. [online] Available at: https://pages.stern.nyu.edu/~adamodar/New_Home_Page/Inv3ed.htm [Accessed 8 Nov. 2025].</w:t>
      </w:r>
    </w:p>
    <w:p w14:paraId="25FED83A" w14:textId="77777777" w:rsidR="00EF50DF" w:rsidRPr="00DB1E36" w:rsidRDefault="00EF50DF" w:rsidP="004D6422">
      <w:pPr>
        <w:spacing w:line="360" w:lineRule="auto"/>
        <w:rPr>
          <w:rFonts w:ascii="Arial" w:hAnsi="Arial" w:cs="Arial"/>
        </w:rPr>
      </w:pPr>
      <w:r w:rsidRPr="00DB1E36">
        <w:rPr>
          <w:rFonts w:ascii="Arial" w:hAnsi="Arial" w:cs="Arial"/>
        </w:rPr>
        <w:t xml:space="preserve">OECD (2023). </w:t>
      </w:r>
      <w:r w:rsidRPr="00DB1E36">
        <w:rPr>
          <w:rFonts w:ascii="Arial" w:hAnsi="Arial" w:cs="Arial"/>
          <w:i/>
          <w:iCs/>
        </w:rPr>
        <w:t>Corporate governance</w:t>
      </w:r>
      <w:r w:rsidRPr="00DB1E36">
        <w:rPr>
          <w:rFonts w:ascii="Arial" w:hAnsi="Arial" w:cs="Arial"/>
        </w:rPr>
        <w:t>. [online] OECD. Available at: https://www.oecd.org/en/topics/corporate-governance.html [Accessed 9 Nov. 2025].</w:t>
      </w:r>
    </w:p>
    <w:p w14:paraId="3CB9FE6A" w14:textId="77777777" w:rsidR="00EF50DF" w:rsidRPr="00DB1E36" w:rsidRDefault="00EF50DF" w:rsidP="004D6422">
      <w:pPr>
        <w:spacing w:line="360" w:lineRule="auto"/>
        <w:rPr>
          <w:rFonts w:ascii="Arial" w:hAnsi="Arial" w:cs="Arial"/>
        </w:rPr>
      </w:pPr>
      <w:r w:rsidRPr="00DB1E36">
        <w:rPr>
          <w:rFonts w:ascii="Arial" w:hAnsi="Arial" w:cs="Arial"/>
        </w:rPr>
        <w:t xml:space="preserve">OECD (2024a). </w:t>
      </w:r>
      <w:r w:rsidRPr="00DB1E36">
        <w:rPr>
          <w:rFonts w:ascii="Arial" w:hAnsi="Arial" w:cs="Arial"/>
          <w:i/>
          <w:iCs/>
        </w:rPr>
        <w:t>Corporate Tax Statistics 2024</w:t>
      </w:r>
      <w:r w:rsidRPr="00DB1E36">
        <w:rPr>
          <w:rFonts w:ascii="Arial" w:hAnsi="Arial" w:cs="Arial"/>
        </w:rPr>
        <w:t>. [online] OECD. Available at: https://www.oecd.org/en/publications/corporate-tax-statistics-2024_9c27d6e8-en.html [Accessed 6 Nov. 2025].</w:t>
      </w:r>
    </w:p>
    <w:p w14:paraId="4661FE13" w14:textId="77777777" w:rsidR="00EF50DF" w:rsidRPr="00DB1E36" w:rsidRDefault="00EF50DF" w:rsidP="004D6422">
      <w:pPr>
        <w:spacing w:line="360" w:lineRule="auto"/>
        <w:rPr>
          <w:rFonts w:ascii="Arial" w:hAnsi="Arial" w:cs="Arial"/>
        </w:rPr>
      </w:pPr>
      <w:r w:rsidRPr="00DB1E36">
        <w:rPr>
          <w:rFonts w:ascii="Arial" w:hAnsi="Arial" w:cs="Arial"/>
        </w:rPr>
        <w:t xml:space="preserve">OECD (2024b). </w:t>
      </w:r>
      <w:r w:rsidRPr="00DB1E36">
        <w:rPr>
          <w:rFonts w:ascii="Arial" w:hAnsi="Arial" w:cs="Arial"/>
          <w:i/>
          <w:iCs/>
        </w:rPr>
        <w:t>OECD Economic Outlook, Volume 2024 Issue 2</w:t>
      </w:r>
      <w:r w:rsidRPr="00DB1E36">
        <w:rPr>
          <w:rFonts w:ascii="Arial" w:hAnsi="Arial" w:cs="Arial"/>
        </w:rPr>
        <w:t>. [online] OECD. Available at: https://www.oecd.org/en/publications/2024/12/oecd-economic-outlook-volume-2024-issue-2_67bb8fac.html [Accessed 8 Nov. 2025].</w:t>
      </w:r>
    </w:p>
    <w:p w14:paraId="385D0960" w14:textId="77777777" w:rsidR="00EF50DF" w:rsidRPr="00DB1E36" w:rsidRDefault="00EF50DF" w:rsidP="004D6422">
      <w:pPr>
        <w:spacing w:line="360" w:lineRule="auto"/>
        <w:rPr>
          <w:rFonts w:ascii="Arial" w:hAnsi="Arial" w:cs="Arial"/>
        </w:rPr>
      </w:pPr>
      <w:r w:rsidRPr="00DB1E36">
        <w:rPr>
          <w:rFonts w:ascii="Arial" w:hAnsi="Arial" w:cs="Arial"/>
        </w:rPr>
        <w:t xml:space="preserve">OECD (2024c). </w:t>
      </w:r>
      <w:r w:rsidRPr="00DB1E36">
        <w:rPr>
          <w:rFonts w:ascii="Arial" w:hAnsi="Arial" w:cs="Arial"/>
          <w:i/>
          <w:iCs/>
        </w:rPr>
        <w:t>Responsible business conduct</w:t>
      </w:r>
      <w:r w:rsidRPr="00DB1E36">
        <w:rPr>
          <w:rFonts w:ascii="Arial" w:hAnsi="Arial" w:cs="Arial"/>
        </w:rPr>
        <w:t>. [online] OECD. Available at: https://www.oecd.org/en/topics/policy-issues/responsible-business-conduct.html [Accessed 13 Nov. 2025].</w:t>
      </w:r>
    </w:p>
    <w:p w14:paraId="643D85FC" w14:textId="77777777" w:rsidR="00EF50DF" w:rsidRPr="00DB1E36" w:rsidRDefault="00EF50DF" w:rsidP="004D6422">
      <w:pPr>
        <w:spacing w:line="360" w:lineRule="auto"/>
        <w:rPr>
          <w:rFonts w:ascii="Arial" w:hAnsi="Arial" w:cs="Arial"/>
        </w:rPr>
      </w:pPr>
      <w:r w:rsidRPr="00DB1E36">
        <w:rPr>
          <w:rFonts w:ascii="Arial" w:hAnsi="Arial" w:cs="Arial"/>
        </w:rPr>
        <w:t xml:space="preserve">PricewaterhouseCoopers (2024). </w:t>
      </w:r>
      <w:r w:rsidRPr="00DB1E36">
        <w:rPr>
          <w:rFonts w:ascii="Arial" w:hAnsi="Arial" w:cs="Arial"/>
          <w:i/>
          <w:iCs/>
        </w:rPr>
        <w:t>Working Capital Study 24/25 - PwC UK</w:t>
      </w:r>
      <w:r w:rsidRPr="00DB1E36">
        <w:rPr>
          <w:rFonts w:ascii="Arial" w:hAnsi="Arial" w:cs="Arial"/>
        </w:rPr>
        <w:t>. [online] PwC. Available at: https://www.pwc.co.uk/services/value-creation/insights/working-capital-study/2024.html [Accessed 5 Nov. 2025].</w:t>
      </w:r>
    </w:p>
    <w:p w14:paraId="2749F3C8" w14:textId="77777777" w:rsidR="00EF50DF" w:rsidRPr="00DB1E36" w:rsidRDefault="00EF50DF" w:rsidP="004D6422">
      <w:pPr>
        <w:spacing w:line="360" w:lineRule="auto"/>
        <w:rPr>
          <w:rFonts w:ascii="Arial" w:hAnsi="Arial" w:cs="Arial"/>
        </w:rPr>
      </w:pPr>
      <w:r w:rsidRPr="00DB1E36">
        <w:rPr>
          <w:rFonts w:ascii="Arial" w:hAnsi="Arial" w:cs="Arial"/>
        </w:rPr>
        <w:t xml:space="preserve">ResearchGate. (n.d.). </w:t>
      </w:r>
      <w:r w:rsidRPr="00DB1E36">
        <w:rPr>
          <w:rFonts w:ascii="Arial" w:hAnsi="Arial" w:cs="Arial"/>
          <w:i/>
          <w:iCs/>
        </w:rPr>
        <w:t>(PDF) Trends in Working Capital Management and its Impact on Firms’ Performance: An Analysis of Mauritian Small Manufacturing Firms</w:t>
      </w:r>
      <w:r w:rsidRPr="00DB1E36">
        <w:rPr>
          <w:rFonts w:ascii="Arial" w:hAnsi="Arial" w:cs="Arial"/>
        </w:rPr>
        <w:t>. [online] Available at: https://www.researchgate.net/publication/238599541_Trends_in_Working_Capital_Management_and_its_Impact_on_Firms [Accessed 10 Nov. 2025].</w:t>
      </w:r>
    </w:p>
    <w:p w14:paraId="5B1A1453" w14:textId="77777777" w:rsidR="00EF50DF" w:rsidRPr="00DB1E36" w:rsidRDefault="00EF50DF" w:rsidP="004D6422">
      <w:pPr>
        <w:spacing w:line="360" w:lineRule="auto"/>
        <w:rPr>
          <w:rFonts w:ascii="Arial" w:hAnsi="Arial" w:cs="Arial"/>
        </w:rPr>
      </w:pPr>
      <w:r w:rsidRPr="00DB1E36">
        <w:rPr>
          <w:rFonts w:ascii="Arial" w:hAnsi="Arial" w:cs="Arial"/>
        </w:rPr>
        <w:t xml:space="preserve">Schendel, D., Patton, G.R. and Riggs, J. (1976). Corporate Turnaround Strategies: A Study of Profit Decline and Recovery. </w:t>
      </w:r>
      <w:r w:rsidRPr="00DB1E36">
        <w:rPr>
          <w:rFonts w:ascii="Arial" w:hAnsi="Arial" w:cs="Arial"/>
          <w:i/>
          <w:iCs/>
        </w:rPr>
        <w:t>Journal of General Management</w:t>
      </w:r>
      <w:r w:rsidRPr="00DB1E36">
        <w:rPr>
          <w:rFonts w:ascii="Arial" w:hAnsi="Arial" w:cs="Arial"/>
        </w:rPr>
        <w:t>, 3(3), pp.3–11. doi:https://doi.org/10.1177/030630707600300301.</w:t>
      </w:r>
    </w:p>
    <w:p w14:paraId="128A97BC" w14:textId="77777777" w:rsidR="00EF50DF" w:rsidRPr="00DB1E36" w:rsidRDefault="00EF50DF" w:rsidP="004D6422">
      <w:pPr>
        <w:spacing w:line="360" w:lineRule="auto"/>
        <w:rPr>
          <w:rFonts w:ascii="Arial" w:hAnsi="Arial" w:cs="Arial"/>
        </w:rPr>
      </w:pPr>
      <w:r w:rsidRPr="00DB1E36">
        <w:rPr>
          <w:rFonts w:ascii="Arial" w:hAnsi="Arial" w:cs="Arial"/>
        </w:rPr>
        <w:t xml:space="preserve">Titman, S. and Wessels, R. (1988). The Determinants of Capital Structure Choice. </w:t>
      </w:r>
      <w:r w:rsidRPr="00DB1E36">
        <w:rPr>
          <w:rFonts w:ascii="Arial" w:hAnsi="Arial" w:cs="Arial"/>
          <w:i/>
          <w:iCs/>
        </w:rPr>
        <w:t>The Journal of Finance</w:t>
      </w:r>
      <w:r w:rsidRPr="00DB1E36">
        <w:rPr>
          <w:rFonts w:ascii="Arial" w:hAnsi="Arial" w:cs="Arial"/>
        </w:rPr>
        <w:t>, 43(1), pp.1–19. doi:https://doi.org/10.2307/2328319.</w:t>
      </w:r>
    </w:p>
    <w:p w14:paraId="69EBCA21" w14:textId="77777777" w:rsidR="00EF50DF" w:rsidRPr="00DB1E36" w:rsidRDefault="00EF50DF" w:rsidP="004D6422">
      <w:pPr>
        <w:spacing w:line="360" w:lineRule="auto"/>
        <w:rPr>
          <w:rFonts w:ascii="Arial" w:hAnsi="Arial" w:cs="Arial"/>
        </w:rPr>
      </w:pPr>
      <w:r w:rsidRPr="00DB1E36">
        <w:rPr>
          <w:rFonts w:ascii="Arial" w:hAnsi="Arial" w:cs="Arial"/>
        </w:rPr>
        <w:t xml:space="preserve">Torbjörn Arenbo (2023). </w:t>
      </w:r>
      <w:r w:rsidRPr="00DB1E36">
        <w:rPr>
          <w:rFonts w:ascii="Arial" w:hAnsi="Arial" w:cs="Arial"/>
          <w:i/>
          <w:iCs/>
        </w:rPr>
        <w:t>Capital Allocation and Value Creation</w:t>
      </w:r>
      <w:r w:rsidRPr="00DB1E36">
        <w:rPr>
          <w:rFonts w:ascii="Arial" w:hAnsi="Arial" w:cs="Arial"/>
        </w:rPr>
        <w:t>. doi:https://doi.org/10.1007/978-3-031-47048-6.</w:t>
      </w:r>
    </w:p>
    <w:p w14:paraId="15B65518" w14:textId="77777777" w:rsidR="00EF50DF" w:rsidRPr="00DB1E36" w:rsidRDefault="00EF50DF" w:rsidP="004D6422">
      <w:pPr>
        <w:spacing w:line="360" w:lineRule="auto"/>
        <w:rPr>
          <w:rFonts w:ascii="Arial" w:hAnsi="Arial" w:cs="Arial"/>
        </w:rPr>
      </w:pPr>
      <w:r w:rsidRPr="00DB1E36">
        <w:rPr>
          <w:rFonts w:ascii="Arial" w:hAnsi="Arial" w:cs="Arial"/>
        </w:rPr>
        <w:lastRenderedPageBreak/>
        <w:t xml:space="preserve">World Bank (2023). </w:t>
      </w:r>
      <w:r w:rsidRPr="00DB1E36">
        <w:rPr>
          <w:rFonts w:ascii="Arial" w:hAnsi="Arial" w:cs="Arial"/>
          <w:i/>
          <w:iCs/>
        </w:rPr>
        <w:t>GLOBAL OUTLOOK</w:t>
      </w:r>
      <w:r w:rsidRPr="00DB1E36">
        <w:rPr>
          <w:rFonts w:ascii="Arial" w:hAnsi="Arial" w:cs="Arial"/>
        </w:rPr>
        <w:t>. [online] Available at: https://openknowledge.worldbank.org/server/api/core/bitstreams/2106db86-a217-4f8f-81f2-7397feb83c1f/content [Accessed 6 Nov. 2025].</w:t>
      </w:r>
    </w:p>
    <w:p w14:paraId="0EEB2BED" w14:textId="77777777" w:rsidR="00EF50DF" w:rsidRPr="00DB1E36" w:rsidRDefault="00EF50DF" w:rsidP="004D6422">
      <w:pPr>
        <w:spacing w:line="360" w:lineRule="auto"/>
        <w:rPr>
          <w:rFonts w:ascii="Arial" w:hAnsi="Arial" w:cs="Arial"/>
        </w:rPr>
      </w:pPr>
      <w:r w:rsidRPr="00DB1E36">
        <w:rPr>
          <w:rFonts w:ascii="Arial" w:hAnsi="Arial" w:cs="Arial"/>
        </w:rPr>
        <w:t xml:space="preserve">World Economic Forum (2023). </w:t>
      </w:r>
      <w:r w:rsidRPr="00DB1E36">
        <w:rPr>
          <w:rFonts w:ascii="Arial" w:hAnsi="Arial" w:cs="Arial"/>
          <w:i/>
          <w:iCs/>
        </w:rPr>
        <w:t>Global Risks Report 2023</w:t>
      </w:r>
      <w:r w:rsidRPr="00DB1E36">
        <w:rPr>
          <w:rFonts w:ascii="Arial" w:hAnsi="Arial" w:cs="Arial"/>
        </w:rPr>
        <w:t>. [online] World Economic Forum. Available at: https://www.weforum.org/publications/global-risks-report-2023/ [Accessed 8 Nov. 2025].</w:t>
      </w:r>
    </w:p>
    <w:p w14:paraId="6F00CB08" w14:textId="77777777" w:rsidR="00EF50DF" w:rsidRPr="00DB1E36" w:rsidRDefault="00EF50DF" w:rsidP="004D6422">
      <w:pPr>
        <w:spacing w:line="360" w:lineRule="auto"/>
        <w:rPr>
          <w:rFonts w:ascii="Arial" w:hAnsi="Arial" w:cs="Arial"/>
        </w:rPr>
      </w:pPr>
      <w:r w:rsidRPr="00DB1E36">
        <w:rPr>
          <w:rFonts w:ascii="Arial" w:hAnsi="Arial" w:cs="Arial"/>
        </w:rPr>
        <w:t xml:space="preserve">Wruck, K.H. (1990). Financial distress, reorganization, and organizational efficiency. </w:t>
      </w:r>
      <w:r w:rsidRPr="00DB1E36">
        <w:rPr>
          <w:rFonts w:ascii="Arial" w:hAnsi="Arial" w:cs="Arial"/>
          <w:i/>
          <w:iCs/>
        </w:rPr>
        <w:t>Journal of Financial Economics</w:t>
      </w:r>
      <w:r w:rsidRPr="00DB1E36">
        <w:rPr>
          <w:rFonts w:ascii="Arial" w:hAnsi="Arial" w:cs="Arial"/>
        </w:rPr>
        <w:t>, 27(2), pp.419–444. doi:https://doi.org/10.1016/0304-405x(90)90063-6.</w:t>
      </w:r>
    </w:p>
    <w:p w14:paraId="708781E8" w14:textId="77777777" w:rsidR="00EF50DF" w:rsidRPr="004D6422" w:rsidRDefault="00EF50DF" w:rsidP="004D6422">
      <w:pPr>
        <w:spacing w:line="360" w:lineRule="auto"/>
        <w:rPr>
          <w:rFonts w:ascii="Arial" w:hAnsi="Arial" w:cs="Arial"/>
        </w:rPr>
      </w:pPr>
    </w:p>
    <w:p w14:paraId="66146575" w14:textId="77777777" w:rsidR="00EF50DF" w:rsidRPr="004D6422" w:rsidRDefault="00EF50DF" w:rsidP="004D6422">
      <w:pPr>
        <w:spacing w:line="360" w:lineRule="auto"/>
        <w:rPr>
          <w:rFonts w:ascii="Arial" w:hAnsi="Arial" w:cs="Arial"/>
        </w:rPr>
      </w:pPr>
    </w:p>
    <w:p w14:paraId="0A54A557" w14:textId="77777777" w:rsidR="00EF50DF" w:rsidRPr="004D6422" w:rsidRDefault="00EF50DF" w:rsidP="004D6422">
      <w:pPr>
        <w:spacing w:line="360" w:lineRule="auto"/>
        <w:rPr>
          <w:rFonts w:ascii="Arial" w:hAnsi="Arial" w:cs="Arial"/>
        </w:rPr>
      </w:pPr>
    </w:p>
    <w:p w14:paraId="78CCE3AC" w14:textId="77777777" w:rsidR="00EF50DF" w:rsidRPr="004D6422" w:rsidRDefault="00EF50DF" w:rsidP="004D6422">
      <w:pPr>
        <w:spacing w:line="360" w:lineRule="auto"/>
        <w:rPr>
          <w:rFonts w:ascii="Arial" w:hAnsi="Arial" w:cs="Arial"/>
        </w:rPr>
      </w:pPr>
    </w:p>
    <w:p w14:paraId="1248B9C6" w14:textId="77777777" w:rsidR="00EF50DF" w:rsidRDefault="00EF50DF" w:rsidP="004D6422">
      <w:pPr>
        <w:spacing w:line="360" w:lineRule="auto"/>
        <w:rPr>
          <w:rFonts w:ascii="Arial" w:hAnsi="Arial" w:cs="Arial"/>
        </w:rPr>
      </w:pPr>
    </w:p>
    <w:p w14:paraId="458C7974" w14:textId="77777777" w:rsidR="00C24F7E" w:rsidRDefault="00C24F7E" w:rsidP="004D6422">
      <w:pPr>
        <w:spacing w:line="360" w:lineRule="auto"/>
        <w:rPr>
          <w:rFonts w:ascii="Arial" w:hAnsi="Arial" w:cs="Arial"/>
        </w:rPr>
      </w:pPr>
    </w:p>
    <w:p w14:paraId="09E8FADA" w14:textId="77777777" w:rsidR="00C24F7E" w:rsidRDefault="00C24F7E" w:rsidP="004D6422">
      <w:pPr>
        <w:spacing w:line="360" w:lineRule="auto"/>
        <w:rPr>
          <w:rFonts w:ascii="Arial" w:hAnsi="Arial" w:cs="Arial"/>
        </w:rPr>
      </w:pPr>
    </w:p>
    <w:p w14:paraId="5A5E467C" w14:textId="77777777" w:rsidR="00C24F7E" w:rsidRDefault="00C24F7E" w:rsidP="004D6422">
      <w:pPr>
        <w:spacing w:line="360" w:lineRule="auto"/>
        <w:rPr>
          <w:rFonts w:ascii="Arial" w:hAnsi="Arial" w:cs="Arial"/>
        </w:rPr>
      </w:pPr>
    </w:p>
    <w:p w14:paraId="73212ECA" w14:textId="77777777" w:rsidR="00C24F7E" w:rsidRDefault="00C24F7E" w:rsidP="004D6422">
      <w:pPr>
        <w:spacing w:line="360" w:lineRule="auto"/>
        <w:rPr>
          <w:rFonts w:ascii="Arial" w:hAnsi="Arial" w:cs="Arial"/>
        </w:rPr>
      </w:pPr>
    </w:p>
    <w:p w14:paraId="3F506ADE" w14:textId="77777777" w:rsidR="00C24F7E" w:rsidRDefault="00C24F7E" w:rsidP="004D6422">
      <w:pPr>
        <w:spacing w:line="360" w:lineRule="auto"/>
        <w:rPr>
          <w:rFonts w:ascii="Arial" w:hAnsi="Arial" w:cs="Arial"/>
        </w:rPr>
      </w:pPr>
    </w:p>
    <w:p w14:paraId="2955251E" w14:textId="77777777" w:rsidR="00C24F7E" w:rsidRDefault="00C24F7E" w:rsidP="004D6422">
      <w:pPr>
        <w:spacing w:line="360" w:lineRule="auto"/>
        <w:rPr>
          <w:rFonts w:ascii="Arial" w:hAnsi="Arial" w:cs="Arial"/>
        </w:rPr>
      </w:pPr>
    </w:p>
    <w:p w14:paraId="6AB42012" w14:textId="77777777" w:rsidR="00C24F7E" w:rsidRDefault="00C24F7E" w:rsidP="004D6422">
      <w:pPr>
        <w:spacing w:line="360" w:lineRule="auto"/>
        <w:rPr>
          <w:rFonts w:ascii="Arial" w:hAnsi="Arial" w:cs="Arial"/>
        </w:rPr>
      </w:pPr>
    </w:p>
    <w:p w14:paraId="5231B236" w14:textId="77777777" w:rsidR="00C24F7E" w:rsidRDefault="00C24F7E" w:rsidP="004D6422">
      <w:pPr>
        <w:spacing w:line="360" w:lineRule="auto"/>
        <w:rPr>
          <w:rFonts w:ascii="Arial" w:hAnsi="Arial" w:cs="Arial"/>
        </w:rPr>
      </w:pPr>
    </w:p>
    <w:p w14:paraId="045B3B03" w14:textId="77777777" w:rsidR="00C24F7E" w:rsidRDefault="00C24F7E" w:rsidP="004D6422">
      <w:pPr>
        <w:spacing w:line="360" w:lineRule="auto"/>
        <w:rPr>
          <w:rFonts w:ascii="Arial" w:hAnsi="Arial" w:cs="Arial"/>
        </w:rPr>
      </w:pPr>
    </w:p>
    <w:p w14:paraId="378D81E9" w14:textId="77777777" w:rsidR="00C24F7E" w:rsidRDefault="00C24F7E" w:rsidP="004D6422">
      <w:pPr>
        <w:spacing w:line="360" w:lineRule="auto"/>
        <w:rPr>
          <w:rFonts w:ascii="Arial" w:hAnsi="Arial" w:cs="Arial"/>
        </w:rPr>
      </w:pPr>
    </w:p>
    <w:p w14:paraId="64786002" w14:textId="3BA55EC0" w:rsidR="004D6422" w:rsidRPr="004D6422" w:rsidRDefault="004D6422" w:rsidP="004D6422">
      <w:pPr>
        <w:pStyle w:val="Heading1"/>
        <w:rPr>
          <w:rFonts w:ascii="Arial" w:hAnsi="Arial" w:cs="Arial"/>
          <w:sz w:val="32"/>
          <w:szCs w:val="32"/>
        </w:rPr>
      </w:pPr>
      <w:bookmarkStart w:id="40" w:name="_Toc214875693"/>
      <w:r w:rsidRPr="004D6422">
        <w:rPr>
          <w:rFonts w:ascii="Arial" w:hAnsi="Arial" w:cs="Arial"/>
          <w:sz w:val="32"/>
          <w:szCs w:val="32"/>
        </w:rPr>
        <w:lastRenderedPageBreak/>
        <w:t>Appendix</w:t>
      </w:r>
      <w:bookmarkEnd w:id="40"/>
    </w:p>
    <w:p w14:paraId="2A9D43DC" w14:textId="77777777" w:rsidR="0078225F" w:rsidRPr="004D6422" w:rsidRDefault="0078225F" w:rsidP="004D6422">
      <w:pPr>
        <w:pStyle w:val="Heading2"/>
        <w:rPr>
          <w:rFonts w:ascii="Arial" w:hAnsi="Arial" w:cs="Arial"/>
          <w:sz w:val="28"/>
          <w:szCs w:val="28"/>
        </w:rPr>
      </w:pPr>
      <w:bookmarkStart w:id="41" w:name="_Toc214875694"/>
      <w:r w:rsidRPr="004D6422">
        <w:rPr>
          <w:rFonts w:ascii="Arial" w:hAnsi="Arial" w:cs="Arial"/>
          <w:sz w:val="28"/>
          <w:szCs w:val="28"/>
        </w:rPr>
        <w:t>Appendix A: Financial Ratio Analysis</w:t>
      </w:r>
      <w:bookmarkEnd w:id="41"/>
    </w:p>
    <w:p w14:paraId="6E412A1B" w14:textId="2C6CFB4D" w:rsidR="0078225F" w:rsidRPr="0078225F" w:rsidRDefault="0078225F" w:rsidP="004D6422">
      <w:pPr>
        <w:spacing w:line="360" w:lineRule="auto"/>
        <w:rPr>
          <w:rFonts w:ascii="Arial" w:hAnsi="Arial" w:cs="Arial"/>
          <w:b/>
          <w:bCs/>
        </w:rPr>
      </w:pPr>
      <w:r w:rsidRPr="0078225F">
        <w:rPr>
          <w:rFonts w:ascii="Arial" w:hAnsi="Arial" w:cs="Arial"/>
          <w:b/>
          <w:bCs/>
        </w:rPr>
        <w:t>A1. Profitability Ratios (2020</w:t>
      </w:r>
      <w:r w:rsidR="00C24F7E">
        <w:rPr>
          <w:rFonts w:ascii="Arial" w:hAnsi="Arial" w:cs="Arial"/>
          <w:b/>
          <w:bCs/>
        </w:rPr>
        <w:t>-</w:t>
      </w:r>
      <w:r w:rsidRPr="0078225F">
        <w:rPr>
          <w:rFonts w:ascii="Arial" w:hAnsi="Arial" w:cs="Arial"/>
          <w:b/>
          <w:bCs/>
        </w:rPr>
        <w:t>2024)</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2194"/>
        <w:gridCol w:w="1714"/>
        <w:gridCol w:w="1755"/>
      </w:tblGrid>
      <w:tr w:rsidR="0078225F" w:rsidRPr="0078225F" w14:paraId="185E5998" w14:textId="77777777">
        <w:trPr>
          <w:tblHeader/>
          <w:tblCellSpacing w:w="15" w:type="dxa"/>
        </w:trPr>
        <w:tc>
          <w:tcPr>
            <w:tcW w:w="0" w:type="auto"/>
            <w:vAlign w:val="center"/>
            <w:hideMark/>
          </w:tcPr>
          <w:p w14:paraId="54F9502F" w14:textId="77777777" w:rsidR="0078225F" w:rsidRPr="0078225F" w:rsidRDefault="0078225F" w:rsidP="004D6422">
            <w:pPr>
              <w:spacing w:line="360" w:lineRule="auto"/>
              <w:rPr>
                <w:rFonts w:ascii="Arial" w:hAnsi="Arial" w:cs="Arial"/>
                <w:b/>
                <w:bCs/>
              </w:rPr>
            </w:pPr>
            <w:r w:rsidRPr="0078225F">
              <w:rPr>
                <w:rFonts w:ascii="Arial" w:hAnsi="Arial" w:cs="Arial"/>
                <w:b/>
                <w:bCs/>
              </w:rPr>
              <w:t>Year</w:t>
            </w:r>
          </w:p>
        </w:tc>
        <w:tc>
          <w:tcPr>
            <w:tcW w:w="0" w:type="auto"/>
            <w:vAlign w:val="center"/>
            <w:hideMark/>
          </w:tcPr>
          <w:p w14:paraId="7B85F702" w14:textId="165126DD" w:rsidR="0078225F" w:rsidRPr="0078225F" w:rsidRDefault="0078225F" w:rsidP="004D6422">
            <w:pPr>
              <w:spacing w:line="360" w:lineRule="auto"/>
              <w:rPr>
                <w:rFonts w:ascii="Arial" w:hAnsi="Arial" w:cs="Arial"/>
                <w:b/>
                <w:bCs/>
              </w:rPr>
            </w:pPr>
            <w:r w:rsidRPr="004D6422">
              <w:rPr>
                <w:rFonts w:ascii="Arial" w:hAnsi="Arial" w:cs="Arial"/>
                <w:b/>
                <w:bCs/>
              </w:rPr>
              <w:t xml:space="preserve">    </w:t>
            </w:r>
            <w:r w:rsidRPr="0078225F">
              <w:rPr>
                <w:rFonts w:ascii="Arial" w:hAnsi="Arial" w:cs="Arial"/>
                <w:b/>
                <w:bCs/>
              </w:rPr>
              <w:t>Net Income (£m)</w:t>
            </w:r>
          </w:p>
        </w:tc>
        <w:tc>
          <w:tcPr>
            <w:tcW w:w="0" w:type="auto"/>
            <w:vAlign w:val="center"/>
            <w:hideMark/>
          </w:tcPr>
          <w:p w14:paraId="5D62030F" w14:textId="77777777" w:rsidR="0078225F" w:rsidRPr="0078225F" w:rsidRDefault="0078225F" w:rsidP="004D6422">
            <w:pPr>
              <w:spacing w:line="360" w:lineRule="auto"/>
              <w:rPr>
                <w:rFonts w:ascii="Arial" w:hAnsi="Arial" w:cs="Arial"/>
                <w:b/>
                <w:bCs/>
              </w:rPr>
            </w:pPr>
            <w:r w:rsidRPr="0078225F">
              <w:rPr>
                <w:rFonts w:ascii="Arial" w:hAnsi="Arial" w:cs="Arial"/>
                <w:b/>
                <w:bCs/>
              </w:rPr>
              <w:t>Net Sales (£m)</w:t>
            </w:r>
          </w:p>
        </w:tc>
        <w:tc>
          <w:tcPr>
            <w:tcW w:w="0" w:type="auto"/>
            <w:vAlign w:val="center"/>
            <w:hideMark/>
          </w:tcPr>
          <w:p w14:paraId="141C2FB1" w14:textId="77777777" w:rsidR="0078225F" w:rsidRPr="0078225F" w:rsidRDefault="0078225F" w:rsidP="004D6422">
            <w:pPr>
              <w:spacing w:line="360" w:lineRule="auto"/>
              <w:rPr>
                <w:rFonts w:ascii="Arial" w:hAnsi="Arial" w:cs="Arial"/>
                <w:b/>
                <w:bCs/>
              </w:rPr>
            </w:pPr>
            <w:r w:rsidRPr="0078225F">
              <w:rPr>
                <w:rFonts w:ascii="Arial" w:hAnsi="Arial" w:cs="Arial"/>
                <w:b/>
                <w:bCs/>
              </w:rPr>
              <w:t>Net Margin (%)</w:t>
            </w:r>
          </w:p>
        </w:tc>
      </w:tr>
      <w:tr w:rsidR="0078225F" w:rsidRPr="0078225F" w14:paraId="3F9EBE1C" w14:textId="77777777">
        <w:trPr>
          <w:tblCellSpacing w:w="15" w:type="dxa"/>
        </w:trPr>
        <w:tc>
          <w:tcPr>
            <w:tcW w:w="0" w:type="auto"/>
            <w:vAlign w:val="center"/>
            <w:hideMark/>
          </w:tcPr>
          <w:p w14:paraId="769FC9D9" w14:textId="77777777" w:rsidR="0078225F" w:rsidRPr="0078225F" w:rsidRDefault="0078225F" w:rsidP="004D6422">
            <w:pPr>
              <w:spacing w:line="360" w:lineRule="auto"/>
              <w:rPr>
                <w:rFonts w:ascii="Arial" w:hAnsi="Arial" w:cs="Arial"/>
              </w:rPr>
            </w:pPr>
            <w:r w:rsidRPr="0078225F">
              <w:rPr>
                <w:rFonts w:ascii="Arial" w:hAnsi="Arial" w:cs="Arial"/>
              </w:rPr>
              <w:t>2020</w:t>
            </w:r>
          </w:p>
        </w:tc>
        <w:tc>
          <w:tcPr>
            <w:tcW w:w="0" w:type="auto"/>
            <w:vAlign w:val="center"/>
            <w:hideMark/>
          </w:tcPr>
          <w:p w14:paraId="6B0F7B6C" w14:textId="4AD1BD01"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38,572</w:t>
            </w:r>
          </w:p>
        </w:tc>
        <w:tc>
          <w:tcPr>
            <w:tcW w:w="0" w:type="auto"/>
            <w:vAlign w:val="center"/>
            <w:hideMark/>
          </w:tcPr>
          <w:p w14:paraId="4BFEC629" w14:textId="77777777" w:rsidR="0078225F" w:rsidRPr="0078225F" w:rsidRDefault="0078225F" w:rsidP="004D6422">
            <w:pPr>
              <w:spacing w:line="360" w:lineRule="auto"/>
              <w:rPr>
                <w:rFonts w:ascii="Arial" w:hAnsi="Arial" w:cs="Arial"/>
              </w:rPr>
            </w:pPr>
            <w:r w:rsidRPr="0078225F">
              <w:rPr>
                <w:rFonts w:ascii="Arial" w:hAnsi="Arial" w:cs="Arial"/>
              </w:rPr>
              <w:t>614,680</w:t>
            </w:r>
          </w:p>
        </w:tc>
        <w:tc>
          <w:tcPr>
            <w:tcW w:w="0" w:type="auto"/>
            <w:vAlign w:val="center"/>
            <w:hideMark/>
          </w:tcPr>
          <w:p w14:paraId="0804EA57" w14:textId="77777777" w:rsidR="0078225F" w:rsidRPr="0078225F" w:rsidRDefault="0078225F" w:rsidP="004D6422">
            <w:pPr>
              <w:spacing w:line="360" w:lineRule="auto"/>
              <w:rPr>
                <w:rFonts w:ascii="Arial" w:hAnsi="Arial" w:cs="Arial"/>
              </w:rPr>
            </w:pPr>
            <w:r w:rsidRPr="0078225F">
              <w:rPr>
                <w:rFonts w:ascii="Arial" w:hAnsi="Arial" w:cs="Arial"/>
                <w:b/>
                <w:bCs/>
              </w:rPr>
              <w:t>6.3%</w:t>
            </w:r>
          </w:p>
        </w:tc>
      </w:tr>
      <w:tr w:rsidR="0078225F" w:rsidRPr="0078225F" w14:paraId="5FBAE1A9" w14:textId="77777777">
        <w:trPr>
          <w:tblCellSpacing w:w="15" w:type="dxa"/>
        </w:trPr>
        <w:tc>
          <w:tcPr>
            <w:tcW w:w="0" w:type="auto"/>
            <w:vAlign w:val="center"/>
            <w:hideMark/>
          </w:tcPr>
          <w:p w14:paraId="47EFFBFB" w14:textId="77777777" w:rsidR="0078225F" w:rsidRPr="0078225F" w:rsidRDefault="0078225F" w:rsidP="004D6422">
            <w:pPr>
              <w:spacing w:line="360" w:lineRule="auto"/>
              <w:rPr>
                <w:rFonts w:ascii="Arial" w:hAnsi="Arial" w:cs="Arial"/>
              </w:rPr>
            </w:pPr>
            <w:r w:rsidRPr="0078225F">
              <w:rPr>
                <w:rFonts w:ascii="Arial" w:hAnsi="Arial" w:cs="Arial"/>
              </w:rPr>
              <w:t>2021</w:t>
            </w:r>
          </w:p>
        </w:tc>
        <w:tc>
          <w:tcPr>
            <w:tcW w:w="0" w:type="auto"/>
            <w:vAlign w:val="center"/>
            <w:hideMark/>
          </w:tcPr>
          <w:p w14:paraId="5CA2B4C8" w14:textId="07435686"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5,301</w:t>
            </w:r>
          </w:p>
        </w:tc>
        <w:tc>
          <w:tcPr>
            <w:tcW w:w="0" w:type="auto"/>
            <w:vAlign w:val="center"/>
            <w:hideMark/>
          </w:tcPr>
          <w:p w14:paraId="68FE4C5F" w14:textId="77777777" w:rsidR="0078225F" w:rsidRPr="0078225F" w:rsidRDefault="0078225F" w:rsidP="004D6422">
            <w:pPr>
              <w:spacing w:line="360" w:lineRule="auto"/>
              <w:rPr>
                <w:rFonts w:ascii="Arial" w:hAnsi="Arial" w:cs="Arial"/>
              </w:rPr>
            </w:pPr>
            <w:r w:rsidRPr="0078225F">
              <w:rPr>
                <w:rFonts w:ascii="Arial" w:hAnsi="Arial" w:cs="Arial"/>
              </w:rPr>
              <w:t>601,602</w:t>
            </w:r>
          </w:p>
        </w:tc>
        <w:tc>
          <w:tcPr>
            <w:tcW w:w="0" w:type="auto"/>
            <w:vAlign w:val="center"/>
            <w:hideMark/>
          </w:tcPr>
          <w:p w14:paraId="7EC4D20B" w14:textId="77777777" w:rsidR="0078225F" w:rsidRPr="0078225F" w:rsidRDefault="0078225F" w:rsidP="004D6422">
            <w:pPr>
              <w:spacing w:line="360" w:lineRule="auto"/>
              <w:rPr>
                <w:rFonts w:ascii="Arial" w:hAnsi="Arial" w:cs="Arial"/>
              </w:rPr>
            </w:pPr>
            <w:r w:rsidRPr="0078225F">
              <w:rPr>
                <w:rFonts w:ascii="Arial" w:hAnsi="Arial" w:cs="Arial"/>
                <w:b/>
                <w:bCs/>
              </w:rPr>
              <w:t>0.9%</w:t>
            </w:r>
          </w:p>
        </w:tc>
      </w:tr>
      <w:tr w:rsidR="0078225F" w:rsidRPr="0078225F" w14:paraId="249DEBBE" w14:textId="77777777">
        <w:trPr>
          <w:tblCellSpacing w:w="15" w:type="dxa"/>
        </w:trPr>
        <w:tc>
          <w:tcPr>
            <w:tcW w:w="0" w:type="auto"/>
            <w:vAlign w:val="center"/>
            <w:hideMark/>
          </w:tcPr>
          <w:p w14:paraId="1F6FFF5E" w14:textId="77777777" w:rsidR="0078225F" w:rsidRPr="0078225F" w:rsidRDefault="0078225F" w:rsidP="004D6422">
            <w:pPr>
              <w:spacing w:line="360" w:lineRule="auto"/>
              <w:rPr>
                <w:rFonts w:ascii="Arial" w:hAnsi="Arial" w:cs="Arial"/>
              </w:rPr>
            </w:pPr>
            <w:r w:rsidRPr="0078225F">
              <w:rPr>
                <w:rFonts w:ascii="Arial" w:hAnsi="Arial" w:cs="Arial"/>
              </w:rPr>
              <w:t>2022</w:t>
            </w:r>
          </w:p>
        </w:tc>
        <w:tc>
          <w:tcPr>
            <w:tcW w:w="0" w:type="auto"/>
            <w:vAlign w:val="center"/>
            <w:hideMark/>
          </w:tcPr>
          <w:p w14:paraId="26A46D00" w14:textId="29D9634E"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407</w:t>
            </w:r>
          </w:p>
        </w:tc>
        <w:tc>
          <w:tcPr>
            <w:tcW w:w="0" w:type="auto"/>
            <w:vAlign w:val="center"/>
            <w:hideMark/>
          </w:tcPr>
          <w:p w14:paraId="0CF66727" w14:textId="77777777" w:rsidR="0078225F" w:rsidRPr="0078225F" w:rsidRDefault="0078225F" w:rsidP="004D6422">
            <w:pPr>
              <w:spacing w:line="360" w:lineRule="auto"/>
              <w:rPr>
                <w:rFonts w:ascii="Arial" w:hAnsi="Arial" w:cs="Arial"/>
              </w:rPr>
            </w:pPr>
            <w:r w:rsidRPr="0078225F">
              <w:rPr>
                <w:rFonts w:ascii="Arial" w:hAnsi="Arial" w:cs="Arial"/>
              </w:rPr>
              <w:t>542,751</w:t>
            </w:r>
          </w:p>
        </w:tc>
        <w:tc>
          <w:tcPr>
            <w:tcW w:w="0" w:type="auto"/>
            <w:vAlign w:val="center"/>
            <w:hideMark/>
          </w:tcPr>
          <w:p w14:paraId="63E007F3" w14:textId="77777777" w:rsidR="0078225F" w:rsidRPr="0078225F" w:rsidRDefault="0078225F" w:rsidP="004D6422">
            <w:pPr>
              <w:spacing w:line="360" w:lineRule="auto"/>
              <w:rPr>
                <w:rFonts w:ascii="Arial" w:hAnsi="Arial" w:cs="Arial"/>
              </w:rPr>
            </w:pPr>
            <w:r w:rsidRPr="0078225F">
              <w:rPr>
                <w:rFonts w:ascii="Arial" w:hAnsi="Arial" w:cs="Arial"/>
                <w:b/>
                <w:bCs/>
              </w:rPr>
              <w:t>0.1%</w:t>
            </w:r>
          </w:p>
        </w:tc>
      </w:tr>
      <w:tr w:rsidR="0078225F" w:rsidRPr="0078225F" w14:paraId="148A920B" w14:textId="77777777">
        <w:trPr>
          <w:tblCellSpacing w:w="15" w:type="dxa"/>
        </w:trPr>
        <w:tc>
          <w:tcPr>
            <w:tcW w:w="0" w:type="auto"/>
            <w:vAlign w:val="center"/>
            <w:hideMark/>
          </w:tcPr>
          <w:p w14:paraId="5969922B" w14:textId="77777777" w:rsidR="0078225F" w:rsidRPr="0078225F" w:rsidRDefault="0078225F" w:rsidP="004D6422">
            <w:pPr>
              <w:spacing w:line="360" w:lineRule="auto"/>
              <w:rPr>
                <w:rFonts w:ascii="Arial" w:hAnsi="Arial" w:cs="Arial"/>
              </w:rPr>
            </w:pPr>
            <w:r w:rsidRPr="0078225F">
              <w:rPr>
                <w:rFonts w:ascii="Arial" w:hAnsi="Arial" w:cs="Arial"/>
              </w:rPr>
              <w:t>2023</w:t>
            </w:r>
          </w:p>
        </w:tc>
        <w:tc>
          <w:tcPr>
            <w:tcW w:w="0" w:type="auto"/>
            <w:vAlign w:val="center"/>
            <w:hideMark/>
          </w:tcPr>
          <w:p w14:paraId="421953A9" w14:textId="2B02051C" w:rsidR="0078225F" w:rsidRPr="0078225F" w:rsidRDefault="0078225F" w:rsidP="004D6422">
            <w:pPr>
              <w:spacing w:line="360" w:lineRule="auto"/>
              <w:rPr>
                <w:rFonts w:ascii="Arial" w:hAnsi="Arial" w:cs="Arial"/>
              </w:rPr>
            </w:pPr>
            <w:r w:rsidRPr="004D6422">
              <w:rPr>
                <w:rFonts w:ascii="Arial" w:hAnsi="Arial" w:cs="Arial"/>
              </w:rPr>
              <w:t xml:space="preserve">    </w:t>
            </w:r>
            <w:r w:rsidR="00C24F7E">
              <w:rPr>
                <w:rFonts w:ascii="Arial" w:hAnsi="Arial" w:cs="Arial"/>
              </w:rPr>
              <w:t>-</w:t>
            </w:r>
            <w:r w:rsidRPr="0078225F">
              <w:rPr>
                <w:rFonts w:ascii="Arial" w:hAnsi="Arial" w:cs="Arial"/>
              </w:rPr>
              <w:t>98,238</w:t>
            </w:r>
          </w:p>
        </w:tc>
        <w:tc>
          <w:tcPr>
            <w:tcW w:w="0" w:type="auto"/>
            <w:vAlign w:val="center"/>
            <w:hideMark/>
          </w:tcPr>
          <w:p w14:paraId="60AB64A4" w14:textId="77777777" w:rsidR="0078225F" w:rsidRPr="0078225F" w:rsidRDefault="0078225F" w:rsidP="004D6422">
            <w:pPr>
              <w:spacing w:line="360" w:lineRule="auto"/>
              <w:rPr>
                <w:rFonts w:ascii="Arial" w:hAnsi="Arial" w:cs="Arial"/>
              </w:rPr>
            </w:pPr>
            <w:r w:rsidRPr="0078225F">
              <w:rPr>
                <w:rFonts w:ascii="Arial" w:hAnsi="Arial" w:cs="Arial"/>
              </w:rPr>
              <w:t>420,457</w:t>
            </w:r>
          </w:p>
        </w:tc>
        <w:tc>
          <w:tcPr>
            <w:tcW w:w="0" w:type="auto"/>
            <w:vAlign w:val="center"/>
            <w:hideMark/>
          </w:tcPr>
          <w:p w14:paraId="2A40D726" w14:textId="7C379074" w:rsidR="0078225F" w:rsidRPr="0078225F" w:rsidRDefault="00C24F7E" w:rsidP="004D6422">
            <w:pPr>
              <w:spacing w:line="360" w:lineRule="auto"/>
              <w:rPr>
                <w:rFonts w:ascii="Arial" w:hAnsi="Arial" w:cs="Arial"/>
              </w:rPr>
            </w:pPr>
            <w:r>
              <w:rPr>
                <w:rFonts w:ascii="Arial" w:hAnsi="Arial" w:cs="Arial"/>
                <w:b/>
                <w:bCs/>
              </w:rPr>
              <w:t>-</w:t>
            </w:r>
            <w:r w:rsidR="0078225F" w:rsidRPr="0078225F">
              <w:rPr>
                <w:rFonts w:ascii="Arial" w:hAnsi="Arial" w:cs="Arial"/>
                <w:b/>
                <w:bCs/>
              </w:rPr>
              <w:t>23.4%</w:t>
            </w:r>
          </w:p>
        </w:tc>
      </w:tr>
      <w:tr w:rsidR="0078225F" w:rsidRPr="0078225F" w14:paraId="1768685C" w14:textId="77777777">
        <w:trPr>
          <w:tblCellSpacing w:w="15" w:type="dxa"/>
        </w:trPr>
        <w:tc>
          <w:tcPr>
            <w:tcW w:w="0" w:type="auto"/>
            <w:vAlign w:val="center"/>
            <w:hideMark/>
          </w:tcPr>
          <w:p w14:paraId="23115D2E" w14:textId="77777777" w:rsidR="0078225F" w:rsidRPr="0078225F" w:rsidRDefault="0078225F" w:rsidP="004D6422">
            <w:pPr>
              <w:spacing w:line="360" w:lineRule="auto"/>
              <w:rPr>
                <w:rFonts w:ascii="Arial" w:hAnsi="Arial" w:cs="Arial"/>
              </w:rPr>
            </w:pPr>
            <w:r w:rsidRPr="0078225F">
              <w:rPr>
                <w:rFonts w:ascii="Arial" w:hAnsi="Arial" w:cs="Arial"/>
              </w:rPr>
              <w:t>2024</w:t>
            </w:r>
          </w:p>
        </w:tc>
        <w:tc>
          <w:tcPr>
            <w:tcW w:w="0" w:type="auto"/>
            <w:vAlign w:val="center"/>
            <w:hideMark/>
          </w:tcPr>
          <w:p w14:paraId="6C30757D" w14:textId="742E1AB1" w:rsidR="0078225F" w:rsidRPr="0078225F" w:rsidRDefault="0078225F" w:rsidP="004D6422">
            <w:pPr>
              <w:spacing w:line="360" w:lineRule="auto"/>
              <w:rPr>
                <w:rFonts w:ascii="Arial" w:hAnsi="Arial" w:cs="Arial"/>
              </w:rPr>
            </w:pPr>
            <w:r w:rsidRPr="004D6422">
              <w:rPr>
                <w:rFonts w:ascii="Arial" w:hAnsi="Arial" w:cs="Arial"/>
              </w:rPr>
              <w:t xml:space="preserve">    </w:t>
            </w:r>
            <w:r w:rsidR="00C24F7E">
              <w:rPr>
                <w:rFonts w:ascii="Arial" w:hAnsi="Arial" w:cs="Arial"/>
              </w:rPr>
              <w:t>-</w:t>
            </w:r>
            <w:r w:rsidRPr="0078225F">
              <w:rPr>
                <w:rFonts w:ascii="Arial" w:hAnsi="Arial" w:cs="Arial"/>
              </w:rPr>
              <w:t>24,029</w:t>
            </w:r>
          </w:p>
        </w:tc>
        <w:tc>
          <w:tcPr>
            <w:tcW w:w="0" w:type="auto"/>
            <w:vAlign w:val="center"/>
            <w:hideMark/>
          </w:tcPr>
          <w:p w14:paraId="1A183D11" w14:textId="77777777" w:rsidR="0078225F" w:rsidRPr="0078225F" w:rsidRDefault="0078225F" w:rsidP="004D6422">
            <w:pPr>
              <w:spacing w:line="360" w:lineRule="auto"/>
              <w:rPr>
                <w:rFonts w:ascii="Arial" w:hAnsi="Arial" w:cs="Arial"/>
              </w:rPr>
            </w:pPr>
            <w:r w:rsidRPr="0078225F">
              <w:rPr>
                <w:rFonts w:ascii="Arial" w:hAnsi="Arial" w:cs="Arial"/>
              </w:rPr>
              <w:t>394,879</w:t>
            </w:r>
          </w:p>
        </w:tc>
        <w:tc>
          <w:tcPr>
            <w:tcW w:w="0" w:type="auto"/>
            <w:vAlign w:val="center"/>
            <w:hideMark/>
          </w:tcPr>
          <w:p w14:paraId="2EEB6402" w14:textId="74970C07" w:rsidR="0078225F" w:rsidRPr="0078225F" w:rsidRDefault="00C24F7E" w:rsidP="004D6422">
            <w:pPr>
              <w:spacing w:line="360" w:lineRule="auto"/>
              <w:rPr>
                <w:rFonts w:ascii="Arial" w:hAnsi="Arial" w:cs="Arial"/>
              </w:rPr>
            </w:pPr>
            <w:r>
              <w:rPr>
                <w:rFonts w:ascii="Arial" w:hAnsi="Arial" w:cs="Arial"/>
                <w:b/>
                <w:bCs/>
              </w:rPr>
              <w:t>-</w:t>
            </w:r>
            <w:r w:rsidR="0078225F" w:rsidRPr="0078225F">
              <w:rPr>
                <w:rFonts w:ascii="Arial" w:hAnsi="Arial" w:cs="Arial"/>
                <w:b/>
                <w:bCs/>
              </w:rPr>
              <w:t>6.1%</w:t>
            </w:r>
          </w:p>
        </w:tc>
      </w:tr>
    </w:tbl>
    <w:p w14:paraId="1B785DC7" w14:textId="77777777" w:rsidR="0078225F" w:rsidRPr="004D6422" w:rsidRDefault="0078225F" w:rsidP="004D6422">
      <w:pPr>
        <w:spacing w:line="360" w:lineRule="auto"/>
        <w:rPr>
          <w:rFonts w:ascii="Arial" w:hAnsi="Arial" w:cs="Arial"/>
        </w:rPr>
      </w:pPr>
      <w:r w:rsidRPr="0078225F">
        <w:rPr>
          <w:rFonts w:ascii="Arial" w:hAnsi="Arial" w:cs="Arial"/>
          <w:b/>
          <w:bCs/>
        </w:rPr>
        <w:t>Worked Example (2020):</w:t>
      </w:r>
      <w:r w:rsidRPr="0078225F">
        <w:rPr>
          <w:rFonts w:ascii="Arial" w:hAnsi="Arial" w:cs="Arial"/>
        </w:rPr>
        <w:br/>
        <w:t>Net Margin = 38,572 ÷ 614,680 = 6.3%</w:t>
      </w:r>
    </w:p>
    <w:p w14:paraId="41AE7B3C" w14:textId="77777777" w:rsidR="0078225F" w:rsidRPr="0078225F" w:rsidRDefault="0078225F" w:rsidP="004D6422">
      <w:pPr>
        <w:spacing w:line="360" w:lineRule="auto"/>
        <w:rPr>
          <w:rFonts w:ascii="Arial" w:hAnsi="Arial" w:cs="Arial"/>
          <w:b/>
          <w:bCs/>
        </w:rPr>
      </w:pPr>
      <w:r w:rsidRPr="0078225F">
        <w:rPr>
          <w:rFonts w:ascii="Arial" w:hAnsi="Arial" w:cs="Arial"/>
          <w:b/>
          <w:bCs/>
        </w:rPr>
        <w:t>A2. Liquidity Ratios (Current Ratio)</w:t>
      </w:r>
    </w:p>
    <w:p w14:paraId="5DBA84E9" w14:textId="77777777" w:rsidR="0078225F" w:rsidRPr="0078225F" w:rsidRDefault="0078225F" w:rsidP="004D6422">
      <w:pPr>
        <w:spacing w:line="360" w:lineRule="auto"/>
        <w:rPr>
          <w:rFonts w:ascii="Arial" w:hAnsi="Arial" w:cs="Arial"/>
        </w:rPr>
      </w:pPr>
      <w:r w:rsidRPr="0078225F">
        <w:rPr>
          <w:rFonts w:ascii="Arial" w:hAnsi="Arial" w:cs="Arial"/>
        </w:rPr>
        <w:t>(Current Assets ÷ Current Liabilities)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2612"/>
        <w:gridCol w:w="2674"/>
        <w:gridCol w:w="1609"/>
      </w:tblGrid>
      <w:tr w:rsidR="0078225F" w:rsidRPr="0078225F" w14:paraId="02844B10" w14:textId="77777777">
        <w:trPr>
          <w:tblHeader/>
          <w:tblCellSpacing w:w="15" w:type="dxa"/>
        </w:trPr>
        <w:tc>
          <w:tcPr>
            <w:tcW w:w="0" w:type="auto"/>
            <w:vAlign w:val="center"/>
            <w:hideMark/>
          </w:tcPr>
          <w:p w14:paraId="5789CFDC" w14:textId="77777777" w:rsidR="0078225F" w:rsidRPr="0078225F" w:rsidRDefault="0078225F" w:rsidP="004D6422">
            <w:pPr>
              <w:spacing w:line="360" w:lineRule="auto"/>
              <w:rPr>
                <w:rFonts w:ascii="Arial" w:hAnsi="Arial" w:cs="Arial"/>
                <w:b/>
                <w:bCs/>
              </w:rPr>
            </w:pPr>
            <w:r w:rsidRPr="0078225F">
              <w:rPr>
                <w:rFonts w:ascii="Arial" w:hAnsi="Arial" w:cs="Arial"/>
                <w:b/>
                <w:bCs/>
              </w:rPr>
              <w:t>Year</w:t>
            </w:r>
          </w:p>
        </w:tc>
        <w:tc>
          <w:tcPr>
            <w:tcW w:w="0" w:type="auto"/>
            <w:vAlign w:val="center"/>
            <w:hideMark/>
          </w:tcPr>
          <w:p w14:paraId="5CF8165E" w14:textId="7961FCF7" w:rsidR="0078225F" w:rsidRPr="0078225F" w:rsidRDefault="0078225F" w:rsidP="004D6422">
            <w:pPr>
              <w:spacing w:line="360" w:lineRule="auto"/>
              <w:rPr>
                <w:rFonts w:ascii="Arial" w:hAnsi="Arial" w:cs="Arial"/>
                <w:b/>
                <w:bCs/>
              </w:rPr>
            </w:pPr>
            <w:r w:rsidRPr="004D6422">
              <w:rPr>
                <w:rFonts w:ascii="Arial" w:hAnsi="Arial" w:cs="Arial"/>
                <w:b/>
                <w:bCs/>
              </w:rPr>
              <w:t xml:space="preserve">    </w:t>
            </w:r>
            <w:r w:rsidRPr="0078225F">
              <w:rPr>
                <w:rFonts w:ascii="Arial" w:hAnsi="Arial" w:cs="Arial"/>
                <w:b/>
                <w:bCs/>
              </w:rPr>
              <w:t>Current Assets (£m)</w:t>
            </w:r>
          </w:p>
        </w:tc>
        <w:tc>
          <w:tcPr>
            <w:tcW w:w="0" w:type="auto"/>
            <w:vAlign w:val="center"/>
            <w:hideMark/>
          </w:tcPr>
          <w:p w14:paraId="347F001F" w14:textId="77777777" w:rsidR="0078225F" w:rsidRPr="0078225F" w:rsidRDefault="0078225F" w:rsidP="004D6422">
            <w:pPr>
              <w:spacing w:line="360" w:lineRule="auto"/>
              <w:rPr>
                <w:rFonts w:ascii="Arial" w:hAnsi="Arial" w:cs="Arial"/>
                <w:b/>
                <w:bCs/>
              </w:rPr>
            </w:pPr>
            <w:r w:rsidRPr="0078225F">
              <w:rPr>
                <w:rFonts w:ascii="Arial" w:hAnsi="Arial" w:cs="Arial"/>
                <w:b/>
                <w:bCs/>
              </w:rPr>
              <w:t>Current Liabilities (£m)</w:t>
            </w:r>
          </w:p>
        </w:tc>
        <w:tc>
          <w:tcPr>
            <w:tcW w:w="0" w:type="auto"/>
            <w:vAlign w:val="center"/>
            <w:hideMark/>
          </w:tcPr>
          <w:p w14:paraId="0734754A" w14:textId="77777777" w:rsidR="0078225F" w:rsidRPr="0078225F" w:rsidRDefault="0078225F" w:rsidP="004D6422">
            <w:pPr>
              <w:spacing w:line="360" w:lineRule="auto"/>
              <w:rPr>
                <w:rFonts w:ascii="Arial" w:hAnsi="Arial" w:cs="Arial"/>
                <w:b/>
                <w:bCs/>
              </w:rPr>
            </w:pPr>
            <w:r w:rsidRPr="0078225F">
              <w:rPr>
                <w:rFonts w:ascii="Arial" w:hAnsi="Arial" w:cs="Arial"/>
                <w:b/>
                <w:bCs/>
              </w:rPr>
              <w:t>Current Ratio</w:t>
            </w:r>
          </w:p>
        </w:tc>
      </w:tr>
      <w:tr w:rsidR="0078225F" w:rsidRPr="0078225F" w14:paraId="0A8D39FD" w14:textId="77777777">
        <w:trPr>
          <w:tblCellSpacing w:w="15" w:type="dxa"/>
        </w:trPr>
        <w:tc>
          <w:tcPr>
            <w:tcW w:w="0" w:type="auto"/>
            <w:vAlign w:val="center"/>
            <w:hideMark/>
          </w:tcPr>
          <w:p w14:paraId="28405A9D" w14:textId="77777777" w:rsidR="0078225F" w:rsidRPr="0078225F" w:rsidRDefault="0078225F" w:rsidP="004D6422">
            <w:pPr>
              <w:spacing w:line="360" w:lineRule="auto"/>
              <w:rPr>
                <w:rFonts w:ascii="Arial" w:hAnsi="Arial" w:cs="Arial"/>
              </w:rPr>
            </w:pPr>
            <w:r w:rsidRPr="0078225F">
              <w:rPr>
                <w:rFonts w:ascii="Arial" w:hAnsi="Arial" w:cs="Arial"/>
              </w:rPr>
              <w:t>2020</w:t>
            </w:r>
          </w:p>
        </w:tc>
        <w:tc>
          <w:tcPr>
            <w:tcW w:w="0" w:type="auto"/>
            <w:vAlign w:val="center"/>
            <w:hideMark/>
          </w:tcPr>
          <w:p w14:paraId="47E0FC8C" w14:textId="7F92CCD9"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326,843</w:t>
            </w:r>
          </w:p>
        </w:tc>
        <w:tc>
          <w:tcPr>
            <w:tcW w:w="0" w:type="auto"/>
            <w:vAlign w:val="center"/>
            <w:hideMark/>
          </w:tcPr>
          <w:p w14:paraId="1D456A97" w14:textId="77777777" w:rsidR="0078225F" w:rsidRPr="0078225F" w:rsidRDefault="0078225F" w:rsidP="004D6422">
            <w:pPr>
              <w:spacing w:line="360" w:lineRule="auto"/>
              <w:rPr>
                <w:rFonts w:ascii="Arial" w:hAnsi="Arial" w:cs="Arial"/>
              </w:rPr>
            </w:pPr>
            <w:r w:rsidRPr="0078225F">
              <w:rPr>
                <w:rFonts w:ascii="Arial" w:hAnsi="Arial" w:cs="Arial"/>
              </w:rPr>
              <w:t>179,510</w:t>
            </w:r>
          </w:p>
        </w:tc>
        <w:tc>
          <w:tcPr>
            <w:tcW w:w="0" w:type="auto"/>
            <w:vAlign w:val="center"/>
            <w:hideMark/>
          </w:tcPr>
          <w:p w14:paraId="0B16F3A2" w14:textId="77777777" w:rsidR="0078225F" w:rsidRPr="0078225F" w:rsidRDefault="0078225F" w:rsidP="004D6422">
            <w:pPr>
              <w:spacing w:line="360" w:lineRule="auto"/>
              <w:rPr>
                <w:rFonts w:ascii="Arial" w:hAnsi="Arial" w:cs="Arial"/>
              </w:rPr>
            </w:pPr>
            <w:r w:rsidRPr="0078225F">
              <w:rPr>
                <w:rFonts w:ascii="Arial" w:hAnsi="Arial" w:cs="Arial"/>
                <w:b/>
                <w:bCs/>
              </w:rPr>
              <w:t>1.82</w:t>
            </w:r>
          </w:p>
        </w:tc>
      </w:tr>
      <w:tr w:rsidR="0078225F" w:rsidRPr="0078225F" w14:paraId="620D8303" w14:textId="77777777">
        <w:trPr>
          <w:tblCellSpacing w:w="15" w:type="dxa"/>
        </w:trPr>
        <w:tc>
          <w:tcPr>
            <w:tcW w:w="0" w:type="auto"/>
            <w:vAlign w:val="center"/>
            <w:hideMark/>
          </w:tcPr>
          <w:p w14:paraId="66F651DC" w14:textId="77777777" w:rsidR="0078225F" w:rsidRPr="0078225F" w:rsidRDefault="0078225F" w:rsidP="004D6422">
            <w:pPr>
              <w:spacing w:line="360" w:lineRule="auto"/>
              <w:rPr>
                <w:rFonts w:ascii="Arial" w:hAnsi="Arial" w:cs="Arial"/>
              </w:rPr>
            </w:pPr>
            <w:r w:rsidRPr="0078225F">
              <w:rPr>
                <w:rFonts w:ascii="Arial" w:hAnsi="Arial" w:cs="Arial"/>
              </w:rPr>
              <w:t>2021</w:t>
            </w:r>
          </w:p>
        </w:tc>
        <w:tc>
          <w:tcPr>
            <w:tcW w:w="0" w:type="auto"/>
            <w:vAlign w:val="center"/>
            <w:hideMark/>
          </w:tcPr>
          <w:p w14:paraId="12AF528C" w14:textId="4891D6EE"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337,146</w:t>
            </w:r>
          </w:p>
        </w:tc>
        <w:tc>
          <w:tcPr>
            <w:tcW w:w="0" w:type="auto"/>
            <w:vAlign w:val="center"/>
            <w:hideMark/>
          </w:tcPr>
          <w:p w14:paraId="6AFE6E5E" w14:textId="77777777" w:rsidR="0078225F" w:rsidRPr="0078225F" w:rsidRDefault="0078225F" w:rsidP="004D6422">
            <w:pPr>
              <w:spacing w:line="360" w:lineRule="auto"/>
              <w:rPr>
                <w:rFonts w:ascii="Arial" w:hAnsi="Arial" w:cs="Arial"/>
              </w:rPr>
            </w:pPr>
            <w:r w:rsidRPr="0078225F">
              <w:rPr>
                <w:rFonts w:ascii="Arial" w:hAnsi="Arial" w:cs="Arial"/>
              </w:rPr>
              <w:t>216,787</w:t>
            </w:r>
          </w:p>
        </w:tc>
        <w:tc>
          <w:tcPr>
            <w:tcW w:w="0" w:type="auto"/>
            <w:vAlign w:val="center"/>
            <w:hideMark/>
          </w:tcPr>
          <w:p w14:paraId="3DDCFE1D" w14:textId="77777777" w:rsidR="0078225F" w:rsidRPr="0078225F" w:rsidRDefault="0078225F" w:rsidP="004D6422">
            <w:pPr>
              <w:spacing w:line="360" w:lineRule="auto"/>
              <w:rPr>
                <w:rFonts w:ascii="Arial" w:hAnsi="Arial" w:cs="Arial"/>
              </w:rPr>
            </w:pPr>
            <w:r w:rsidRPr="0078225F">
              <w:rPr>
                <w:rFonts w:ascii="Arial" w:hAnsi="Arial" w:cs="Arial"/>
                <w:b/>
                <w:bCs/>
              </w:rPr>
              <w:t>1.55</w:t>
            </w:r>
          </w:p>
        </w:tc>
      </w:tr>
      <w:tr w:rsidR="0078225F" w:rsidRPr="0078225F" w14:paraId="62340298" w14:textId="77777777">
        <w:trPr>
          <w:tblCellSpacing w:w="15" w:type="dxa"/>
        </w:trPr>
        <w:tc>
          <w:tcPr>
            <w:tcW w:w="0" w:type="auto"/>
            <w:vAlign w:val="center"/>
            <w:hideMark/>
          </w:tcPr>
          <w:p w14:paraId="3B67FA2F" w14:textId="77777777" w:rsidR="0078225F" w:rsidRPr="0078225F" w:rsidRDefault="0078225F" w:rsidP="004D6422">
            <w:pPr>
              <w:spacing w:line="360" w:lineRule="auto"/>
              <w:rPr>
                <w:rFonts w:ascii="Arial" w:hAnsi="Arial" w:cs="Arial"/>
              </w:rPr>
            </w:pPr>
            <w:r w:rsidRPr="0078225F">
              <w:rPr>
                <w:rFonts w:ascii="Arial" w:hAnsi="Arial" w:cs="Arial"/>
              </w:rPr>
              <w:t>2022</w:t>
            </w:r>
          </w:p>
        </w:tc>
        <w:tc>
          <w:tcPr>
            <w:tcW w:w="0" w:type="auto"/>
            <w:vAlign w:val="center"/>
            <w:hideMark/>
          </w:tcPr>
          <w:p w14:paraId="1EF5ACBA" w14:textId="497D9526"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338,040</w:t>
            </w:r>
          </w:p>
        </w:tc>
        <w:tc>
          <w:tcPr>
            <w:tcW w:w="0" w:type="auto"/>
            <w:vAlign w:val="center"/>
            <w:hideMark/>
          </w:tcPr>
          <w:p w14:paraId="51F01244" w14:textId="77777777" w:rsidR="0078225F" w:rsidRPr="0078225F" w:rsidRDefault="0078225F" w:rsidP="004D6422">
            <w:pPr>
              <w:spacing w:line="360" w:lineRule="auto"/>
              <w:rPr>
                <w:rFonts w:ascii="Arial" w:hAnsi="Arial" w:cs="Arial"/>
              </w:rPr>
            </w:pPr>
            <w:r w:rsidRPr="0078225F">
              <w:rPr>
                <w:rFonts w:ascii="Arial" w:hAnsi="Arial" w:cs="Arial"/>
              </w:rPr>
              <w:t>216,473</w:t>
            </w:r>
          </w:p>
        </w:tc>
        <w:tc>
          <w:tcPr>
            <w:tcW w:w="0" w:type="auto"/>
            <w:vAlign w:val="center"/>
            <w:hideMark/>
          </w:tcPr>
          <w:p w14:paraId="01F9AB79" w14:textId="77777777" w:rsidR="0078225F" w:rsidRPr="0078225F" w:rsidRDefault="0078225F" w:rsidP="004D6422">
            <w:pPr>
              <w:spacing w:line="360" w:lineRule="auto"/>
              <w:rPr>
                <w:rFonts w:ascii="Arial" w:hAnsi="Arial" w:cs="Arial"/>
              </w:rPr>
            </w:pPr>
            <w:r w:rsidRPr="0078225F">
              <w:rPr>
                <w:rFonts w:ascii="Arial" w:hAnsi="Arial" w:cs="Arial"/>
                <w:b/>
                <w:bCs/>
              </w:rPr>
              <w:t>1.56</w:t>
            </w:r>
          </w:p>
        </w:tc>
      </w:tr>
      <w:tr w:rsidR="0078225F" w:rsidRPr="0078225F" w14:paraId="2B943E94" w14:textId="77777777">
        <w:trPr>
          <w:tblCellSpacing w:w="15" w:type="dxa"/>
        </w:trPr>
        <w:tc>
          <w:tcPr>
            <w:tcW w:w="0" w:type="auto"/>
            <w:vAlign w:val="center"/>
            <w:hideMark/>
          </w:tcPr>
          <w:p w14:paraId="00545F8F" w14:textId="77777777" w:rsidR="0078225F" w:rsidRPr="0078225F" w:rsidRDefault="0078225F" w:rsidP="004D6422">
            <w:pPr>
              <w:spacing w:line="360" w:lineRule="auto"/>
              <w:rPr>
                <w:rFonts w:ascii="Arial" w:hAnsi="Arial" w:cs="Arial"/>
              </w:rPr>
            </w:pPr>
            <w:r w:rsidRPr="0078225F">
              <w:rPr>
                <w:rFonts w:ascii="Arial" w:hAnsi="Arial" w:cs="Arial"/>
              </w:rPr>
              <w:t>2023</w:t>
            </w:r>
          </w:p>
        </w:tc>
        <w:tc>
          <w:tcPr>
            <w:tcW w:w="0" w:type="auto"/>
            <w:vAlign w:val="center"/>
            <w:hideMark/>
          </w:tcPr>
          <w:p w14:paraId="3FE2AF5D" w14:textId="4E126041"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258,851</w:t>
            </w:r>
          </w:p>
        </w:tc>
        <w:tc>
          <w:tcPr>
            <w:tcW w:w="0" w:type="auto"/>
            <w:vAlign w:val="center"/>
            <w:hideMark/>
          </w:tcPr>
          <w:p w14:paraId="766E6863" w14:textId="77777777" w:rsidR="0078225F" w:rsidRPr="0078225F" w:rsidRDefault="0078225F" w:rsidP="004D6422">
            <w:pPr>
              <w:spacing w:line="360" w:lineRule="auto"/>
              <w:rPr>
                <w:rFonts w:ascii="Arial" w:hAnsi="Arial" w:cs="Arial"/>
              </w:rPr>
            </w:pPr>
            <w:r w:rsidRPr="0078225F">
              <w:rPr>
                <w:rFonts w:ascii="Arial" w:hAnsi="Arial" w:cs="Arial"/>
              </w:rPr>
              <w:t>161,148</w:t>
            </w:r>
          </w:p>
        </w:tc>
        <w:tc>
          <w:tcPr>
            <w:tcW w:w="0" w:type="auto"/>
            <w:vAlign w:val="center"/>
            <w:hideMark/>
          </w:tcPr>
          <w:p w14:paraId="04A791E2" w14:textId="77777777" w:rsidR="0078225F" w:rsidRPr="0078225F" w:rsidRDefault="0078225F" w:rsidP="004D6422">
            <w:pPr>
              <w:spacing w:line="360" w:lineRule="auto"/>
              <w:rPr>
                <w:rFonts w:ascii="Arial" w:hAnsi="Arial" w:cs="Arial"/>
              </w:rPr>
            </w:pPr>
            <w:r w:rsidRPr="0078225F">
              <w:rPr>
                <w:rFonts w:ascii="Arial" w:hAnsi="Arial" w:cs="Arial"/>
                <w:b/>
                <w:bCs/>
              </w:rPr>
              <w:t>1.60</w:t>
            </w:r>
          </w:p>
        </w:tc>
      </w:tr>
      <w:tr w:rsidR="0078225F" w:rsidRPr="0078225F" w14:paraId="1E6CFDEA" w14:textId="77777777">
        <w:trPr>
          <w:tblCellSpacing w:w="15" w:type="dxa"/>
        </w:trPr>
        <w:tc>
          <w:tcPr>
            <w:tcW w:w="0" w:type="auto"/>
            <w:vAlign w:val="center"/>
            <w:hideMark/>
          </w:tcPr>
          <w:p w14:paraId="7131856F" w14:textId="77777777" w:rsidR="0078225F" w:rsidRPr="0078225F" w:rsidRDefault="0078225F" w:rsidP="004D6422">
            <w:pPr>
              <w:spacing w:line="360" w:lineRule="auto"/>
              <w:rPr>
                <w:rFonts w:ascii="Arial" w:hAnsi="Arial" w:cs="Arial"/>
              </w:rPr>
            </w:pPr>
            <w:r w:rsidRPr="0078225F">
              <w:rPr>
                <w:rFonts w:ascii="Arial" w:hAnsi="Arial" w:cs="Arial"/>
              </w:rPr>
              <w:t>2024</w:t>
            </w:r>
          </w:p>
        </w:tc>
        <w:tc>
          <w:tcPr>
            <w:tcW w:w="0" w:type="auto"/>
            <w:vAlign w:val="center"/>
            <w:hideMark/>
          </w:tcPr>
          <w:p w14:paraId="13D8F314" w14:textId="4C28E7CE"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242,494</w:t>
            </w:r>
          </w:p>
        </w:tc>
        <w:tc>
          <w:tcPr>
            <w:tcW w:w="0" w:type="auto"/>
            <w:vAlign w:val="center"/>
            <w:hideMark/>
          </w:tcPr>
          <w:p w14:paraId="04F21492" w14:textId="77777777" w:rsidR="0078225F" w:rsidRPr="0078225F" w:rsidRDefault="0078225F" w:rsidP="004D6422">
            <w:pPr>
              <w:spacing w:line="360" w:lineRule="auto"/>
              <w:rPr>
                <w:rFonts w:ascii="Arial" w:hAnsi="Arial" w:cs="Arial"/>
              </w:rPr>
            </w:pPr>
            <w:r w:rsidRPr="0078225F">
              <w:rPr>
                <w:rFonts w:ascii="Arial" w:hAnsi="Arial" w:cs="Arial"/>
              </w:rPr>
              <w:t>158,291</w:t>
            </w:r>
          </w:p>
        </w:tc>
        <w:tc>
          <w:tcPr>
            <w:tcW w:w="0" w:type="auto"/>
            <w:vAlign w:val="center"/>
            <w:hideMark/>
          </w:tcPr>
          <w:p w14:paraId="560BD165" w14:textId="77777777" w:rsidR="0078225F" w:rsidRPr="0078225F" w:rsidRDefault="0078225F" w:rsidP="004D6422">
            <w:pPr>
              <w:spacing w:line="360" w:lineRule="auto"/>
              <w:rPr>
                <w:rFonts w:ascii="Arial" w:hAnsi="Arial" w:cs="Arial"/>
              </w:rPr>
            </w:pPr>
            <w:r w:rsidRPr="0078225F">
              <w:rPr>
                <w:rFonts w:ascii="Arial" w:hAnsi="Arial" w:cs="Arial"/>
                <w:b/>
                <w:bCs/>
              </w:rPr>
              <w:t>1.53</w:t>
            </w:r>
          </w:p>
        </w:tc>
      </w:tr>
    </w:tbl>
    <w:p w14:paraId="5655B4E7" w14:textId="77777777" w:rsidR="0078225F" w:rsidRPr="0078225F" w:rsidRDefault="0078225F" w:rsidP="004D6422">
      <w:pPr>
        <w:spacing w:line="360" w:lineRule="auto"/>
        <w:rPr>
          <w:rFonts w:ascii="Arial" w:hAnsi="Arial" w:cs="Arial"/>
        </w:rPr>
      </w:pPr>
      <w:r w:rsidRPr="0078225F">
        <w:rPr>
          <w:rFonts w:ascii="Arial" w:hAnsi="Arial" w:cs="Arial"/>
          <w:b/>
          <w:bCs/>
        </w:rPr>
        <w:t>Worked Example (2024):</w:t>
      </w:r>
      <w:r w:rsidRPr="0078225F">
        <w:rPr>
          <w:rFonts w:ascii="Arial" w:hAnsi="Arial" w:cs="Arial"/>
        </w:rPr>
        <w:br/>
        <w:t>242,494 ÷ 158,291 = 1.53</w:t>
      </w:r>
    </w:p>
    <w:p w14:paraId="325DA1FF" w14:textId="77777777" w:rsidR="0078225F" w:rsidRPr="0078225F" w:rsidRDefault="0078225F" w:rsidP="004D6422">
      <w:pPr>
        <w:spacing w:line="360" w:lineRule="auto"/>
        <w:rPr>
          <w:rFonts w:ascii="Arial" w:hAnsi="Arial" w:cs="Arial"/>
          <w:b/>
          <w:bCs/>
        </w:rPr>
      </w:pPr>
      <w:r w:rsidRPr="0078225F">
        <w:rPr>
          <w:rFonts w:ascii="Arial" w:hAnsi="Arial" w:cs="Arial"/>
          <w:b/>
          <w:bCs/>
        </w:rPr>
        <w:t>A3. Efficiency Indicators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3173"/>
        <w:gridCol w:w="2063"/>
      </w:tblGrid>
      <w:tr w:rsidR="0078225F" w:rsidRPr="0078225F" w14:paraId="53D46DB1" w14:textId="77777777">
        <w:trPr>
          <w:tblHeader/>
          <w:tblCellSpacing w:w="15" w:type="dxa"/>
        </w:trPr>
        <w:tc>
          <w:tcPr>
            <w:tcW w:w="0" w:type="auto"/>
            <w:vAlign w:val="center"/>
            <w:hideMark/>
          </w:tcPr>
          <w:p w14:paraId="4D1C7559" w14:textId="77777777" w:rsidR="0078225F" w:rsidRPr="0078225F" w:rsidRDefault="0078225F" w:rsidP="004D6422">
            <w:pPr>
              <w:spacing w:line="360" w:lineRule="auto"/>
              <w:rPr>
                <w:rFonts w:ascii="Arial" w:hAnsi="Arial" w:cs="Arial"/>
                <w:b/>
                <w:bCs/>
              </w:rPr>
            </w:pPr>
            <w:r w:rsidRPr="0078225F">
              <w:rPr>
                <w:rFonts w:ascii="Arial" w:hAnsi="Arial" w:cs="Arial"/>
                <w:b/>
                <w:bCs/>
              </w:rPr>
              <w:lastRenderedPageBreak/>
              <w:t>Year</w:t>
            </w:r>
          </w:p>
        </w:tc>
        <w:tc>
          <w:tcPr>
            <w:tcW w:w="0" w:type="auto"/>
            <w:vAlign w:val="center"/>
            <w:hideMark/>
          </w:tcPr>
          <w:p w14:paraId="57CEBCA2" w14:textId="0A68127A" w:rsidR="0078225F" w:rsidRPr="0078225F" w:rsidRDefault="0078225F" w:rsidP="004D6422">
            <w:pPr>
              <w:spacing w:line="360" w:lineRule="auto"/>
              <w:rPr>
                <w:rFonts w:ascii="Arial" w:hAnsi="Arial" w:cs="Arial"/>
                <w:b/>
                <w:bCs/>
              </w:rPr>
            </w:pPr>
            <w:r w:rsidRPr="004D6422">
              <w:rPr>
                <w:rFonts w:ascii="Arial" w:hAnsi="Arial" w:cs="Arial"/>
                <w:b/>
                <w:bCs/>
              </w:rPr>
              <w:t xml:space="preserve">  </w:t>
            </w:r>
            <w:r w:rsidRPr="0078225F">
              <w:rPr>
                <w:rFonts w:ascii="Arial" w:hAnsi="Arial" w:cs="Arial"/>
                <w:b/>
                <w:bCs/>
              </w:rPr>
              <w:t>Accounts Receivable (£m)</w:t>
            </w:r>
          </w:p>
        </w:tc>
        <w:tc>
          <w:tcPr>
            <w:tcW w:w="0" w:type="auto"/>
            <w:vAlign w:val="center"/>
            <w:hideMark/>
          </w:tcPr>
          <w:p w14:paraId="312782DF" w14:textId="053CDFB6" w:rsidR="0078225F" w:rsidRPr="0078225F" w:rsidRDefault="0078225F" w:rsidP="004D6422">
            <w:pPr>
              <w:spacing w:line="360" w:lineRule="auto"/>
              <w:rPr>
                <w:rFonts w:ascii="Arial" w:hAnsi="Arial" w:cs="Arial"/>
                <w:b/>
                <w:bCs/>
              </w:rPr>
            </w:pPr>
            <w:r w:rsidRPr="004D6422">
              <w:rPr>
                <w:rFonts w:ascii="Arial" w:hAnsi="Arial" w:cs="Arial"/>
                <w:b/>
                <w:bCs/>
              </w:rPr>
              <w:t xml:space="preserve">  </w:t>
            </w:r>
            <w:r w:rsidRPr="0078225F">
              <w:rPr>
                <w:rFonts w:ascii="Arial" w:hAnsi="Arial" w:cs="Arial"/>
                <w:b/>
                <w:bCs/>
              </w:rPr>
              <w:t>Inventories (£m)</w:t>
            </w:r>
          </w:p>
        </w:tc>
      </w:tr>
      <w:tr w:rsidR="0078225F" w:rsidRPr="0078225F" w14:paraId="5A38ED2C" w14:textId="77777777">
        <w:trPr>
          <w:tblCellSpacing w:w="15" w:type="dxa"/>
        </w:trPr>
        <w:tc>
          <w:tcPr>
            <w:tcW w:w="0" w:type="auto"/>
            <w:vAlign w:val="center"/>
            <w:hideMark/>
          </w:tcPr>
          <w:p w14:paraId="1781007C" w14:textId="77777777" w:rsidR="0078225F" w:rsidRPr="0078225F" w:rsidRDefault="0078225F" w:rsidP="004D6422">
            <w:pPr>
              <w:spacing w:line="360" w:lineRule="auto"/>
              <w:rPr>
                <w:rFonts w:ascii="Arial" w:hAnsi="Arial" w:cs="Arial"/>
              </w:rPr>
            </w:pPr>
            <w:r w:rsidRPr="0078225F">
              <w:rPr>
                <w:rFonts w:ascii="Arial" w:hAnsi="Arial" w:cs="Arial"/>
              </w:rPr>
              <w:t>2020</w:t>
            </w:r>
          </w:p>
        </w:tc>
        <w:tc>
          <w:tcPr>
            <w:tcW w:w="0" w:type="auto"/>
            <w:vAlign w:val="center"/>
            <w:hideMark/>
          </w:tcPr>
          <w:p w14:paraId="4AFC5F13" w14:textId="7C0827CA"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129,433</w:t>
            </w:r>
          </w:p>
        </w:tc>
        <w:tc>
          <w:tcPr>
            <w:tcW w:w="0" w:type="auto"/>
            <w:vAlign w:val="center"/>
            <w:hideMark/>
          </w:tcPr>
          <w:p w14:paraId="4ED8476D" w14:textId="5893E7CB"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120,430</w:t>
            </w:r>
          </w:p>
        </w:tc>
      </w:tr>
      <w:tr w:rsidR="0078225F" w:rsidRPr="0078225F" w14:paraId="2666EBD3" w14:textId="77777777">
        <w:trPr>
          <w:tblCellSpacing w:w="15" w:type="dxa"/>
        </w:trPr>
        <w:tc>
          <w:tcPr>
            <w:tcW w:w="0" w:type="auto"/>
            <w:vAlign w:val="center"/>
            <w:hideMark/>
          </w:tcPr>
          <w:p w14:paraId="54EFA340" w14:textId="77777777" w:rsidR="0078225F" w:rsidRPr="0078225F" w:rsidRDefault="0078225F" w:rsidP="004D6422">
            <w:pPr>
              <w:spacing w:line="360" w:lineRule="auto"/>
              <w:rPr>
                <w:rFonts w:ascii="Arial" w:hAnsi="Arial" w:cs="Arial"/>
              </w:rPr>
            </w:pPr>
            <w:r w:rsidRPr="0078225F">
              <w:rPr>
                <w:rFonts w:ascii="Arial" w:hAnsi="Arial" w:cs="Arial"/>
              </w:rPr>
              <w:t>2021</w:t>
            </w:r>
          </w:p>
        </w:tc>
        <w:tc>
          <w:tcPr>
            <w:tcW w:w="0" w:type="auto"/>
            <w:vAlign w:val="center"/>
            <w:hideMark/>
          </w:tcPr>
          <w:p w14:paraId="0856A82B" w14:textId="65062AED"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129,215</w:t>
            </w:r>
          </w:p>
        </w:tc>
        <w:tc>
          <w:tcPr>
            <w:tcW w:w="0" w:type="auto"/>
            <w:vAlign w:val="center"/>
            <w:hideMark/>
          </w:tcPr>
          <w:p w14:paraId="7F7E2BE5" w14:textId="7BB96830"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134,469</w:t>
            </w:r>
          </w:p>
        </w:tc>
      </w:tr>
      <w:tr w:rsidR="0078225F" w:rsidRPr="0078225F" w14:paraId="0E7C830E" w14:textId="77777777">
        <w:trPr>
          <w:tblCellSpacing w:w="15" w:type="dxa"/>
        </w:trPr>
        <w:tc>
          <w:tcPr>
            <w:tcW w:w="0" w:type="auto"/>
            <w:vAlign w:val="center"/>
            <w:hideMark/>
          </w:tcPr>
          <w:p w14:paraId="5571CC67" w14:textId="77777777" w:rsidR="0078225F" w:rsidRPr="0078225F" w:rsidRDefault="0078225F" w:rsidP="004D6422">
            <w:pPr>
              <w:spacing w:line="360" w:lineRule="auto"/>
              <w:rPr>
                <w:rFonts w:ascii="Arial" w:hAnsi="Arial" w:cs="Arial"/>
              </w:rPr>
            </w:pPr>
            <w:r w:rsidRPr="0078225F">
              <w:rPr>
                <w:rFonts w:ascii="Arial" w:hAnsi="Arial" w:cs="Arial"/>
              </w:rPr>
              <w:t>2022</w:t>
            </w:r>
          </w:p>
        </w:tc>
        <w:tc>
          <w:tcPr>
            <w:tcW w:w="0" w:type="auto"/>
            <w:vAlign w:val="center"/>
            <w:hideMark/>
          </w:tcPr>
          <w:p w14:paraId="09BB6197" w14:textId="613B0B66"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112,346</w:t>
            </w:r>
          </w:p>
        </w:tc>
        <w:tc>
          <w:tcPr>
            <w:tcW w:w="0" w:type="auto"/>
            <w:vAlign w:val="center"/>
            <w:hideMark/>
          </w:tcPr>
          <w:p w14:paraId="749B8CFC" w14:textId="0EFC3BAD"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140,181</w:t>
            </w:r>
          </w:p>
        </w:tc>
      </w:tr>
      <w:tr w:rsidR="0078225F" w:rsidRPr="0078225F" w14:paraId="05B6C420" w14:textId="77777777">
        <w:trPr>
          <w:tblCellSpacing w:w="15" w:type="dxa"/>
        </w:trPr>
        <w:tc>
          <w:tcPr>
            <w:tcW w:w="0" w:type="auto"/>
            <w:vAlign w:val="center"/>
            <w:hideMark/>
          </w:tcPr>
          <w:p w14:paraId="59BC6BF4" w14:textId="77777777" w:rsidR="0078225F" w:rsidRPr="0078225F" w:rsidRDefault="0078225F" w:rsidP="004D6422">
            <w:pPr>
              <w:spacing w:line="360" w:lineRule="auto"/>
              <w:rPr>
                <w:rFonts w:ascii="Arial" w:hAnsi="Arial" w:cs="Arial"/>
              </w:rPr>
            </w:pPr>
            <w:r w:rsidRPr="0078225F">
              <w:rPr>
                <w:rFonts w:ascii="Arial" w:hAnsi="Arial" w:cs="Arial"/>
              </w:rPr>
              <w:t>2023</w:t>
            </w:r>
          </w:p>
        </w:tc>
        <w:tc>
          <w:tcPr>
            <w:tcW w:w="0" w:type="auto"/>
            <w:vAlign w:val="center"/>
            <w:hideMark/>
          </w:tcPr>
          <w:p w14:paraId="2C864E80" w14:textId="45137E2F"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112,596</w:t>
            </w:r>
          </w:p>
        </w:tc>
        <w:tc>
          <w:tcPr>
            <w:tcW w:w="0" w:type="auto"/>
            <w:vAlign w:val="center"/>
            <w:hideMark/>
          </w:tcPr>
          <w:p w14:paraId="377E5CB1" w14:textId="3574C993"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88,273</w:t>
            </w:r>
          </w:p>
        </w:tc>
      </w:tr>
      <w:tr w:rsidR="0078225F" w:rsidRPr="0078225F" w14:paraId="07F96F9C" w14:textId="77777777">
        <w:trPr>
          <w:tblCellSpacing w:w="15" w:type="dxa"/>
        </w:trPr>
        <w:tc>
          <w:tcPr>
            <w:tcW w:w="0" w:type="auto"/>
            <w:vAlign w:val="center"/>
            <w:hideMark/>
          </w:tcPr>
          <w:p w14:paraId="4F8EC096" w14:textId="1C899D03" w:rsidR="0078225F" w:rsidRPr="0078225F" w:rsidRDefault="0078225F" w:rsidP="004D6422">
            <w:pPr>
              <w:spacing w:line="360" w:lineRule="auto"/>
              <w:rPr>
                <w:rFonts w:ascii="Arial" w:hAnsi="Arial" w:cs="Arial"/>
              </w:rPr>
            </w:pPr>
            <w:r w:rsidRPr="0078225F">
              <w:rPr>
                <w:rFonts w:ascii="Arial" w:hAnsi="Arial" w:cs="Arial"/>
              </w:rPr>
              <w:t>2024</w:t>
            </w:r>
            <w:r w:rsidRPr="004D6422">
              <w:rPr>
                <w:rFonts w:ascii="Arial" w:hAnsi="Arial" w:cs="Arial"/>
              </w:rPr>
              <w:t xml:space="preserve"> </w:t>
            </w:r>
          </w:p>
        </w:tc>
        <w:tc>
          <w:tcPr>
            <w:tcW w:w="0" w:type="auto"/>
            <w:vAlign w:val="center"/>
            <w:hideMark/>
          </w:tcPr>
          <w:p w14:paraId="327F26D7" w14:textId="3D6310D5"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114,182</w:t>
            </w:r>
          </w:p>
        </w:tc>
        <w:tc>
          <w:tcPr>
            <w:tcW w:w="0" w:type="auto"/>
            <w:vAlign w:val="center"/>
            <w:hideMark/>
          </w:tcPr>
          <w:p w14:paraId="5301D29B" w14:textId="4A3381BB"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79,355</w:t>
            </w:r>
          </w:p>
        </w:tc>
      </w:tr>
    </w:tbl>
    <w:p w14:paraId="24781174" w14:textId="77777777" w:rsidR="0078225F" w:rsidRPr="0078225F" w:rsidRDefault="0078225F" w:rsidP="004D6422">
      <w:pPr>
        <w:spacing w:line="360" w:lineRule="auto"/>
        <w:rPr>
          <w:rFonts w:ascii="Arial" w:hAnsi="Arial" w:cs="Arial"/>
          <w:b/>
          <w:bCs/>
        </w:rPr>
      </w:pPr>
      <w:r w:rsidRPr="0078225F">
        <w:rPr>
          <w:rFonts w:ascii="Arial" w:hAnsi="Arial" w:cs="Arial"/>
          <w:b/>
          <w:bCs/>
        </w:rPr>
        <w:t>A4. Gearing / Solvency (Debt-to-Equity)</w:t>
      </w:r>
    </w:p>
    <w:p w14:paraId="2D425A98" w14:textId="77777777" w:rsidR="0078225F" w:rsidRPr="0078225F" w:rsidRDefault="0078225F" w:rsidP="004D6422">
      <w:pPr>
        <w:spacing w:line="360" w:lineRule="auto"/>
        <w:rPr>
          <w:rFonts w:ascii="Arial" w:hAnsi="Arial" w:cs="Arial"/>
        </w:rPr>
      </w:pPr>
      <w:r w:rsidRPr="0078225F">
        <w:rPr>
          <w:rFonts w:ascii="Arial" w:hAnsi="Arial" w:cs="Arial"/>
        </w:rPr>
        <w:t>Debt-to-Equity = Total Liabilities ÷ Equity</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2496"/>
        <w:gridCol w:w="1501"/>
        <w:gridCol w:w="809"/>
      </w:tblGrid>
      <w:tr w:rsidR="0078225F" w:rsidRPr="0078225F" w14:paraId="51D74B6A" w14:textId="77777777">
        <w:trPr>
          <w:tblHeader/>
          <w:tblCellSpacing w:w="15" w:type="dxa"/>
        </w:trPr>
        <w:tc>
          <w:tcPr>
            <w:tcW w:w="0" w:type="auto"/>
            <w:vAlign w:val="center"/>
            <w:hideMark/>
          </w:tcPr>
          <w:p w14:paraId="659A4FAF" w14:textId="77777777" w:rsidR="0078225F" w:rsidRPr="0078225F" w:rsidRDefault="0078225F" w:rsidP="004D6422">
            <w:pPr>
              <w:spacing w:line="360" w:lineRule="auto"/>
              <w:rPr>
                <w:rFonts w:ascii="Arial" w:hAnsi="Arial" w:cs="Arial"/>
                <w:b/>
                <w:bCs/>
              </w:rPr>
            </w:pPr>
            <w:r w:rsidRPr="0078225F">
              <w:rPr>
                <w:rFonts w:ascii="Arial" w:hAnsi="Arial" w:cs="Arial"/>
                <w:b/>
                <w:bCs/>
              </w:rPr>
              <w:t>Year</w:t>
            </w:r>
          </w:p>
        </w:tc>
        <w:tc>
          <w:tcPr>
            <w:tcW w:w="0" w:type="auto"/>
            <w:vAlign w:val="center"/>
            <w:hideMark/>
          </w:tcPr>
          <w:p w14:paraId="6BEFDDF0" w14:textId="1FAA7CCF" w:rsidR="0078225F" w:rsidRPr="0078225F" w:rsidRDefault="0078225F" w:rsidP="004D6422">
            <w:pPr>
              <w:spacing w:line="360" w:lineRule="auto"/>
              <w:rPr>
                <w:rFonts w:ascii="Arial" w:hAnsi="Arial" w:cs="Arial"/>
                <w:b/>
                <w:bCs/>
              </w:rPr>
            </w:pPr>
            <w:r w:rsidRPr="004D6422">
              <w:rPr>
                <w:rFonts w:ascii="Arial" w:hAnsi="Arial" w:cs="Arial"/>
                <w:b/>
                <w:bCs/>
              </w:rPr>
              <w:t xml:space="preserve">  </w:t>
            </w:r>
            <w:r w:rsidRPr="0078225F">
              <w:rPr>
                <w:rFonts w:ascii="Arial" w:hAnsi="Arial" w:cs="Arial"/>
                <w:b/>
                <w:bCs/>
              </w:rPr>
              <w:t>Total Liabilities (£m)</w:t>
            </w:r>
          </w:p>
        </w:tc>
        <w:tc>
          <w:tcPr>
            <w:tcW w:w="0" w:type="auto"/>
            <w:vAlign w:val="center"/>
            <w:hideMark/>
          </w:tcPr>
          <w:p w14:paraId="6C223992" w14:textId="63193E50" w:rsidR="0078225F" w:rsidRPr="0078225F" w:rsidRDefault="0078225F" w:rsidP="004D6422">
            <w:pPr>
              <w:spacing w:line="360" w:lineRule="auto"/>
              <w:rPr>
                <w:rFonts w:ascii="Arial" w:hAnsi="Arial" w:cs="Arial"/>
                <w:b/>
                <w:bCs/>
              </w:rPr>
            </w:pPr>
            <w:r w:rsidRPr="004D6422">
              <w:rPr>
                <w:rFonts w:ascii="Arial" w:hAnsi="Arial" w:cs="Arial"/>
                <w:b/>
                <w:bCs/>
              </w:rPr>
              <w:t xml:space="preserve">  </w:t>
            </w:r>
            <w:r w:rsidRPr="0078225F">
              <w:rPr>
                <w:rFonts w:ascii="Arial" w:hAnsi="Arial" w:cs="Arial"/>
                <w:b/>
                <w:bCs/>
              </w:rPr>
              <w:t>Equity (£m)</w:t>
            </w:r>
          </w:p>
        </w:tc>
        <w:tc>
          <w:tcPr>
            <w:tcW w:w="0" w:type="auto"/>
            <w:vAlign w:val="center"/>
            <w:hideMark/>
          </w:tcPr>
          <w:p w14:paraId="780779C4" w14:textId="3E2BCED4" w:rsidR="0078225F" w:rsidRPr="0078225F" w:rsidRDefault="0078225F" w:rsidP="004D6422">
            <w:pPr>
              <w:spacing w:line="360" w:lineRule="auto"/>
              <w:rPr>
                <w:rFonts w:ascii="Arial" w:hAnsi="Arial" w:cs="Arial"/>
                <w:b/>
                <w:bCs/>
              </w:rPr>
            </w:pPr>
            <w:r w:rsidRPr="004D6422">
              <w:rPr>
                <w:rFonts w:ascii="Arial" w:hAnsi="Arial" w:cs="Arial"/>
                <w:b/>
                <w:bCs/>
              </w:rPr>
              <w:t xml:space="preserve">    </w:t>
            </w:r>
            <w:r w:rsidRPr="0078225F">
              <w:rPr>
                <w:rFonts w:ascii="Arial" w:hAnsi="Arial" w:cs="Arial"/>
                <w:b/>
                <w:bCs/>
              </w:rPr>
              <w:t>D/E</w:t>
            </w:r>
          </w:p>
        </w:tc>
      </w:tr>
      <w:tr w:rsidR="0078225F" w:rsidRPr="0078225F" w14:paraId="2112F3E2" w14:textId="77777777">
        <w:trPr>
          <w:tblCellSpacing w:w="15" w:type="dxa"/>
        </w:trPr>
        <w:tc>
          <w:tcPr>
            <w:tcW w:w="0" w:type="auto"/>
            <w:vAlign w:val="center"/>
            <w:hideMark/>
          </w:tcPr>
          <w:p w14:paraId="4B74FB0C" w14:textId="77777777" w:rsidR="0078225F" w:rsidRPr="0078225F" w:rsidRDefault="0078225F" w:rsidP="004D6422">
            <w:pPr>
              <w:spacing w:line="360" w:lineRule="auto"/>
              <w:rPr>
                <w:rFonts w:ascii="Arial" w:hAnsi="Arial" w:cs="Arial"/>
              </w:rPr>
            </w:pPr>
            <w:r w:rsidRPr="0078225F">
              <w:rPr>
                <w:rFonts w:ascii="Arial" w:hAnsi="Arial" w:cs="Arial"/>
              </w:rPr>
              <w:t>2020</w:t>
            </w:r>
          </w:p>
        </w:tc>
        <w:tc>
          <w:tcPr>
            <w:tcW w:w="0" w:type="auto"/>
            <w:vAlign w:val="center"/>
            <w:hideMark/>
          </w:tcPr>
          <w:p w14:paraId="61CFD785" w14:textId="02D6272C"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196,989</w:t>
            </w:r>
          </w:p>
        </w:tc>
        <w:tc>
          <w:tcPr>
            <w:tcW w:w="0" w:type="auto"/>
            <w:vAlign w:val="center"/>
            <w:hideMark/>
          </w:tcPr>
          <w:p w14:paraId="7D8BF330" w14:textId="59F7D467"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313,301</w:t>
            </w:r>
          </w:p>
        </w:tc>
        <w:tc>
          <w:tcPr>
            <w:tcW w:w="0" w:type="auto"/>
            <w:vAlign w:val="center"/>
            <w:hideMark/>
          </w:tcPr>
          <w:p w14:paraId="7CFD6B86" w14:textId="74D2F5E6" w:rsidR="0078225F" w:rsidRPr="0078225F" w:rsidRDefault="0078225F" w:rsidP="004D6422">
            <w:pPr>
              <w:spacing w:line="360" w:lineRule="auto"/>
              <w:rPr>
                <w:rFonts w:ascii="Arial" w:hAnsi="Arial" w:cs="Arial"/>
              </w:rPr>
            </w:pPr>
            <w:r w:rsidRPr="004D6422">
              <w:rPr>
                <w:rFonts w:ascii="Arial" w:hAnsi="Arial" w:cs="Arial"/>
                <w:b/>
                <w:bCs/>
              </w:rPr>
              <w:t xml:space="preserve">    </w:t>
            </w:r>
            <w:r w:rsidRPr="0078225F">
              <w:rPr>
                <w:rFonts w:ascii="Arial" w:hAnsi="Arial" w:cs="Arial"/>
                <w:b/>
                <w:bCs/>
              </w:rPr>
              <w:t>0.63</w:t>
            </w:r>
          </w:p>
        </w:tc>
      </w:tr>
      <w:tr w:rsidR="0078225F" w:rsidRPr="0078225F" w14:paraId="6FCB6061" w14:textId="77777777">
        <w:trPr>
          <w:tblCellSpacing w:w="15" w:type="dxa"/>
        </w:trPr>
        <w:tc>
          <w:tcPr>
            <w:tcW w:w="0" w:type="auto"/>
            <w:vAlign w:val="center"/>
            <w:hideMark/>
          </w:tcPr>
          <w:p w14:paraId="6F22F6D9" w14:textId="77777777" w:rsidR="0078225F" w:rsidRPr="0078225F" w:rsidRDefault="0078225F" w:rsidP="004D6422">
            <w:pPr>
              <w:spacing w:line="360" w:lineRule="auto"/>
              <w:rPr>
                <w:rFonts w:ascii="Arial" w:hAnsi="Arial" w:cs="Arial"/>
              </w:rPr>
            </w:pPr>
            <w:r w:rsidRPr="0078225F">
              <w:rPr>
                <w:rFonts w:ascii="Arial" w:hAnsi="Arial" w:cs="Arial"/>
              </w:rPr>
              <w:t>2021</w:t>
            </w:r>
          </w:p>
        </w:tc>
        <w:tc>
          <w:tcPr>
            <w:tcW w:w="0" w:type="auto"/>
            <w:vAlign w:val="center"/>
            <w:hideMark/>
          </w:tcPr>
          <w:p w14:paraId="2B64C331" w14:textId="161C4AFF"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234,399</w:t>
            </w:r>
          </w:p>
        </w:tc>
        <w:tc>
          <w:tcPr>
            <w:tcW w:w="0" w:type="auto"/>
            <w:vAlign w:val="center"/>
            <w:hideMark/>
          </w:tcPr>
          <w:p w14:paraId="53A0F90E" w14:textId="70D3718C"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275,949</w:t>
            </w:r>
          </w:p>
        </w:tc>
        <w:tc>
          <w:tcPr>
            <w:tcW w:w="0" w:type="auto"/>
            <w:vAlign w:val="center"/>
            <w:hideMark/>
          </w:tcPr>
          <w:p w14:paraId="617F6826" w14:textId="483F971F" w:rsidR="0078225F" w:rsidRPr="0078225F" w:rsidRDefault="0078225F" w:rsidP="004D6422">
            <w:pPr>
              <w:spacing w:line="360" w:lineRule="auto"/>
              <w:rPr>
                <w:rFonts w:ascii="Arial" w:hAnsi="Arial" w:cs="Arial"/>
              </w:rPr>
            </w:pPr>
            <w:r w:rsidRPr="004D6422">
              <w:rPr>
                <w:rFonts w:ascii="Arial" w:hAnsi="Arial" w:cs="Arial"/>
                <w:b/>
                <w:bCs/>
              </w:rPr>
              <w:t xml:space="preserve">    </w:t>
            </w:r>
            <w:r w:rsidRPr="0078225F">
              <w:rPr>
                <w:rFonts w:ascii="Arial" w:hAnsi="Arial" w:cs="Arial"/>
                <w:b/>
                <w:bCs/>
              </w:rPr>
              <w:t>0.85</w:t>
            </w:r>
          </w:p>
        </w:tc>
      </w:tr>
      <w:tr w:rsidR="0078225F" w:rsidRPr="0078225F" w14:paraId="0113FEDC" w14:textId="77777777">
        <w:trPr>
          <w:tblCellSpacing w:w="15" w:type="dxa"/>
        </w:trPr>
        <w:tc>
          <w:tcPr>
            <w:tcW w:w="0" w:type="auto"/>
            <w:vAlign w:val="center"/>
            <w:hideMark/>
          </w:tcPr>
          <w:p w14:paraId="683D5CA0" w14:textId="77777777" w:rsidR="0078225F" w:rsidRPr="0078225F" w:rsidRDefault="0078225F" w:rsidP="004D6422">
            <w:pPr>
              <w:spacing w:line="360" w:lineRule="auto"/>
              <w:rPr>
                <w:rFonts w:ascii="Arial" w:hAnsi="Arial" w:cs="Arial"/>
              </w:rPr>
            </w:pPr>
            <w:r w:rsidRPr="0078225F">
              <w:rPr>
                <w:rFonts w:ascii="Arial" w:hAnsi="Arial" w:cs="Arial"/>
              </w:rPr>
              <w:t>2022</w:t>
            </w:r>
          </w:p>
        </w:tc>
        <w:tc>
          <w:tcPr>
            <w:tcW w:w="0" w:type="auto"/>
            <w:vAlign w:val="center"/>
            <w:hideMark/>
          </w:tcPr>
          <w:p w14:paraId="15175BD7" w14:textId="2F703C27"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235,757</w:t>
            </w:r>
          </w:p>
        </w:tc>
        <w:tc>
          <w:tcPr>
            <w:tcW w:w="0" w:type="auto"/>
            <w:vAlign w:val="center"/>
            <w:hideMark/>
          </w:tcPr>
          <w:p w14:paraId="3C2B084B" w14:textId="000ECBAA"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268,406</w:t>
            </w:r>
          </w:p>
        </w:tc>
        <w:tc>
          <w:tcPr>
            <w:tcW w:w="0" w:type="auto"/>
            <w:vAlign w:val="center"/>
            <w:hideMark/>
          </w:tcPr>
          <w:p w14:paraId="59EA0022" w14:textId="61A2671A" w:rsidR="0078225F" w:rsidRPr="0078225F" w:rsidRDefault="0078225F" w:rsidP="004D6422">
            <w:pPr>
              <w:spacing w:line="360" w:lineRule="auto"/>
              <w:rPr>
                <w:rFonts w:ascii="Arial" w:hAnsi="Arial" w:cs="Arial"/>
              </w:rPr>
            </w:pPr>
            <w:r w:rsidRPr="004D6422">
              <w:rPr>
                <w:rFonts w:ascii="Arial" w:hAnsi="Arial" w:cs="Arial"/>
                <w:b/>
                <w:bCs/>
              </w:rPr>
              <w:t xml:space="preserve">    </w:t>
            </w:r>
            <w:r w:rsidRPr="0078225F">
              <w:rPr>
                <w:rFonts w:ascii="Arial" w:hAnsi="Arial" w:cs="Arial"/>
                <w:b/>
                <w:bCs/>
              </w:rPr>
              <w:t>0.88</w:t>
            </w:r>
          </w:p>
        </w:tc>
      </w:tr>
      <w:tr w:rsidR="0078225F" w:rsidRPr="0078225F" w14:paraId="32DB06B8" w14:textId="77777777">
        <w:trPr>
          <w:tblCellSpacing w:w="15" w:type="dxa"/>
        </w:trPr>
        <w:tc>
          <w:tcPr>
            <w:tcW w:w="0" w:type="auto"/>
            <w:vAlign w:val="center"/>
            <w:hideMark/>
          </w:tcPr>
          <w:p w14:paraId="7724DD9D" w14:textId="77777777" w:rsidR="0078225F" w:rsidRPr="0078225F" w:rsidRDefault="0078225F" w:rsidP="004D6422">
            <w:pPr>
              <w:spacing w:line="360" w:lineRule="auto"/>
              <w:rPr>
                <w:rFonts w:ascii="Arial" w:hAnsi="Arial" w:cs="Arial"/>
              </w:rPr>
            </w:pPr>
            <w:r w:rsidRPr="0078225F">
              <w:rPr>
                <w:rFonts w:ascii="Arial" w:hAnsi="Arial" w:cs="Arial"/>
              </w:rPr>
              <w:t>2023</w:t>
            </w:r>
          </w:p>
        </w:tc>
        <w:tc>
          <w:tcPr>
            <w:tcW w:w="0" w:type="auto"/>
            <w:vAlign w:val="center"/>
            <w:hideMark/>
          </w:tcPr>
          <w:p w14:paraId="5C56C9DE" w14:textId="46D2C497"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176,952</w:t>
            </w:r>
          </w:p>
        </w:tc>
        <w:tc>
          <w:tcPr>
            <w:tcW w:w="0" w:type="auto"/>
            <w:vAlign w:val="center"/>
            <w:hideMark/>
          </w:tcPr>
          <w:p w14:paraId="088B3C5E" w14:textId="111874B6"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178,920</w:t>
            </w:r>
          </w:p>
        </w:tc>
        <w:tc>
          <w:tcPr>
            <w:tcW w:w="0" w:type="auto"/>
            <w:vAlign w:val="center"/>
            <w:hideMark/>
          </w:tcPr>
          <w:p w14:paraId="60979925" w14:textId="5850B36F" w:rsidR="0078225F" w:rsidRPr="0078225F" w:rsidRDefault="0078225F" w:rsidP="004D6422">
            <w:pPr>
              <w:spacing w:line="360" w:lineRule="auto"/>
              <w:rPr>
                <w:rFonts w:ascii="Arial" w:hAnsi="Arial" w:cs="Arial"/>
              </w:rPr>
            </w:pPr>
            <w:r w:rsidRPr="004D6422">
              <w:rPr>
                <w:rFonts w:ascii="Arial" w:hAnsi="Arial" w:cs="Arial"/>
                <w:b/>
                <w:bCs/>
              </w:rPr>
              <w:t xml:space="preserve">    </w:t>
            </w:r>
            <w:r w:rsidRPr="0078225F">
              <w:rPr>
                <w:rFonts w:ascii="Arial" w:hAnsi="Arial" w:cs="Arial"/>
                <w:b/>
                <w:bCs/>
              </w:rPr>
              <w:t>0.99</w:t>
            </w:r>
          </w:p>
        </w:tc>
      </w:tr>
      <w:tr w:rsidR="0078225F" w:rsidRPr="0078225F" w14:paraId="1921EC22" w14:textId="77777777">
        <w:trPr>
          <w:tblCellSpacing w:w="15" w:type="dxa"/>
        </w:trPr>
        <w:tc>
          <w:tcPr>
            <w:tcW w:w="0" w:type="auto"/>
            <w:vAlign w:val="center"/>
            <w:hideMark/>
          </w:tcPr>
          <w:p w14:paraId="179D985D" w14:textId="77777777" w:rsidR="0078225F" w:rsidRPr="0078225F" w:rsidRDefault="0078225F" w:rsidP="004D6422">
            <w:pPr>
              <w:spacing w:line="360" w:lineRule="auto"/>
              <w:rPr>
                <w:rFonts w:ascii="Arial" w:hAnsi="Arial" w:cs="Arial"/>
              </w:rPr>
            </w:pPr>
            <w:r w:rsidRPr="0078225F">
              <w:rPr>
                <w:rFonts w:ascii="Arial" w:hAnsi="Arial" w:cs="Arial"/>
              </w:rPr>
              <w:t>2024</w:t>
            </w:r>
          </w:p>
        </w:tc>
        <w:tc>
          <w:tcPr>
            <w:tcW w:w="0" w:type="auto"/>
            <w:vAlign w:val="center"/>
            <w:hideMark/>
          </w:tcPr>
          <w:p w14:paraId="13EAE142" w14:textId="02B760AA"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170,249</w:t>
            </w:r>
          </w:p>
        </w:tc>
        <w:tc>
          <w:tcPr>
            <w:tcW w:w="0" w:type="auto"/>
            <w:vAlign w:val="center"/>
            <w:hideMark/>
          </w:tcPr>
          <w:p w14:paraId="34D060AB" w14:textId="6FFA04EB"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153,105</w:t>
            </w:r>
          </w:p>
        </w:tc>
        <w:tc>
          <w:tcPr>
            <w:tcW w:w="0" w:type="auto"/>
            <w:vAlign w:val="center"/>
            <w:hideMark/>
          </w:tcPr>
          <w:p w14:paraId="391942BC" w14:textId="50863378" w:rsidR="0078225F" w:rsidRPr="0078225F" w:rsidRDefault="0078225F" w:rsidP="004D6422">
            <w:pPr>
              <w:spacing w:line="360" w:lineRule="auto"/>
              <w:rPr>
                <w:rFonts w:ascii="Arial" w:hAnsi="Arial" w:cs="Arial"/>
              </w:rPr>
            </w:pPr>
            <w:r w:rsidRPr="004D6422">
              <w:rPr>
                <w:rFonts w:ascii="Arial" w:hAnsi="Arial" w:cs="Arial"/>
                <w:b/>
                <w:bCs/>
              </w:rPr>
              <w:t xml:space="preserve">    </w:t>
            </w:r>
            <w:r w:rsidRPr="0078225F">
              <w:rPr>
                <w:rFonts w:ascii="Arial" w:hAnsi="Arial" w:cs="Arial"/>
                <w:b/>
                <w:bCs/>
              </w:rPr>
              <w:t>1.11</w:t>
            </w:r>
          </w:p>
        </w:tc>
      </w:tr>
    </w:tbl>
    <w:p w14:paraId="5DCA1037" w14:textId="77777777" w:rsidR="0078225F" w:rsidRPr="0078225F" w:rsidRDefault="0078225F" w:rsidP="004D6422">
      <w:pPr>
        <w:spacing w:line="360" w:lineRule="auto"/>
        <w:rPr>
          <w:rFonts w:ascii="Arial" w:hAnsi="Arial" w:cs="Arial"/>
          <w:b/>
          <w:bCs/>
        </w:rPr>
      </w:pPr>
      <w:r w:rsidRPr="0078225F">
        <w:rPr>
          <w:rFonts w:ascii="Arial" w:hAnsi="Arial" w:cs="Arial"/>
          <w:b/>
          <w:bCs/>
        </w:rPr>
        <w:t>A5. Investment Ratio (EPS)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1049"/>
      </w:tblGrid>
      <w:tr w:rsidR="0078225F" w:rsidRPr="0078225F" w14:paraId="6AF57C7A" w14:textId="77777777">
        <w:trPr>
          <w:tblHeader/>
          <w:tblCellSpacing w:w="15" w:type="dxa"/>
        </w:trPr>
        <w:tc>
          <w:tcPr>
            <w:tcW w:w="0" w:type="auto"/>
            <w:vAlign w:val="center"/>
            <w:hideMark/>
          </w:tcPr>
          <w:p w14:paraId="2BDCEEDD" w14:textId="77777777" w:rsidR="0078225F" w:rsidRPr="0078225F" w:rsidRDefault="0078225F" w:rsidP="004D6422">
            <w:pPr>
              <w:spacing w:line="360" w:lineRule="auto"/>
              <w:rPr>
                <w:rFonts w:ascii="Arial" w:hAnsi="Arial" w:cs="Arial"/>
                <w:b/>
                <w:bCs/>
              </w:rPr>
            </w:pPr>
            <w:r w:rsidRPr="0078225F">
              <w:rPr>
                <w:rFonts w:ascii="Arial" w:hAnsi="Arial" w:cs="Arial"/>
                <w:b/>
                <w:bCs/>
              </w:rPr>
              <w:t>Year</w:t>
            </w:r>
          </w:p>
        </w:tc>
        <w:tc>
          <w:tcPr>
            <w:tcW w:w="0" w:type="auto"/>
            <w:vAlign w:val="center"/>
            <w:hideMark/>
          </w:tcPr>
          <w:p w14:paraId="55C468CE" w14:textId="018FEC90" w:rsidR="0078225F" w:rsidRPr="0078225F" w:rsidRDefault="0078225F" w:rsidP="004D6422">
            <w:pPr>
              <w:spacing w:line="360" w:lineRule="auto"/>
              <w:rPr>
                <w:rFonts w:ascii="Arial" w:hAnsi="Arial" w:cs="Arial"/>
                <w:b/>
                <w:bCs/>
              </w:rPr>
            </w:pPr>
            <w:r w:rsidRPr="004D6422">
              <w:rPr>
                <w:rFonts w:ascii="Arial" w:hAnsi="Arial" w:cs="Arial"/>
                <w:b/>
                <w:bCs/>
              </w:rPr>
              <w:t xml:space="preserve">  </w:t>
            </w:r>
            <w:r w:rsidRPr="0078225F">
              <w:rPr>
                <w:rFonts w:ascii="Arial" w:hAnsi="Arial" w:cs="Arial"/>
                <w:b/>
                <w:bCs/>
              </w:rPr>
              <w:t>EPS (£)</w:t>
            </w:r>
          </w:p>
        </w:tc>
      </w:tr>
      <w:tr w:rsidR="0078225F" w:rsidRPr="0078225F" w14:paraId="2B6B1B5E" w14:textId="77777777">
        <w:trPr>
          <w:tblCellSpacing w:w="15" w:type="dxa"/>
        </w:trPr>
        <w:tc>
          <w:tcPr>
            <w:tcW w:w="0" w:type="auto"/>
            <w:vAlign w:val="center"/>
            <w:hideMark/>
          </w:tcPr>
          <w:p w14:paraId="66B545C2" w14:textId="77777777" w:rsidR="0078225F" w:rsidRPr="0078225F" w:rsidRDefault="0078225F" w:rsidP="004D6422">
            <w:pPr>
              <w:spacing w:line="360" w:lineRule="auto"/>
              <w:rPr>
                <w:rFonts w:ascii="Arial" w:hAnsi="Arial" w:cs="Arial"/>
              </w:rPr>
            </w:pPr>
            <w:r w:rsidRPr="0078225F">
              <w:rPr>
                <w:rFonts w:ascii="Arial" w:hAnsi="Arial" w:cs="Arial"/>
              </w:rPr>
              <w:t>2020</w:t>
            </w:r>
          </w:p>
        </w:tc>
        <w:tc>
          <w:tcPr>
            <w:tcW w:w="0" w:type="auto"/>
            <w:vAlign w:val="center"/>
            <w:hideMark/>
          </w:tcPr>
          <w:p w14:paraId="534223FA" w14:textId="1DE93C99"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2.78</w:t>
            </w:r>
          </w:p>
        </w:tc>
      </w:tr>
      <w:tr w:rsidR="0078225F" w:rsidRPr="0078225F" w14:paraId="6CF1CF3A" w14:textId="77777777">
        <w:trPr>
          <w:tblCellSpacing w:w="15" w:type="dxa"/>
        </w:trPr>
        <w:tc>
          <w:tcPr>
            <w:tcW w:w="0" w:type="auto"/>
            <w:vAlign w:val="center"/>
            <w:hideMark/>
          </w:tcPr>
          <w:p w14:paraId="4705AE0E" w14:textId="77777777" w:rsidR="0078225F" w:rsidRPr="0078225F" w:rsidRDefault="0078225F" w:rsidP="004D6422">
            <w:pPr>
              <w:spacing w:line="360" w:lineRule="auto"/>
              <w:rPr>
                <w:rFonts w:ascii="Arial" w:hAnsi="Arial" w:cs="Arial"/>
              </w:rPr>
            </w:pPr>
            <w:r w:rsidRPr="0078225F">
              <w:rPr>
                <w:rFonts w:ascii="Arial" w:hAnsi="Arial" w:cs="Arial"/>
              </w:rPr>
              <w:t>2021</w:t>
            </w:r>
          </w:p>
        </w:tc>
        <w:tc>
          <w:tcPr>
            <w:tcW w:w="0" w:type="auto"/>
            <w:vAlign w:val="center"/>
            <w:hideMark/>
          </w:tcPr>
          <w:p w14:paraId="3FF31ECF" w14:textId="36D7A611"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0.39</w:t>
            </w:r>
          </w:p>
        </w:tc>
      </w:tr>
      <w:tr w:rsidR="0078225F" w:rsidRPr="0078225F" w14:paraId="78A4401C" w14:textId="77777777">
        <w:trPr>
          <w:tblCellSpacing w:w="15" w:type="dxa"/>
        </w:trPr>
        <w:tc>
          <w:tcPr>
            <w:tcW w:w="0" w:type="auto"/>
            <w:vAlign w:val="center"/>
            <w:hideMark/>
          </w:tcPr>
          <w:p w14:paraId="13A7D0B8" w14:textId="77777777" w:rsidR="0078225F" w:rsidRPr="0078225F" w:rsidRDefault="0078225F" w:rsidP="004D6422">
            <w:pPr>
              <w:spacing w:line="360" w:lineRule="auto"/>
              <w:rPr>
                <w:rFonts w:ascii="Arial" w:hAnsi="Arial" w:cs="Arial"/>
              </w:rPr>
            </w:pPr>
            <w:r w:rsidRPr="0078225F">
              <w:rPr>
                <w:rFonts w:ascii="Arial" w:hAnsi="Arial" w:cs="Arial"/>
              </w:rPr>
              <w:t>2022</w:t>
            </w:r>
          </w:p>
        </w:tc>
        <w:tc>
          <w:tcPr>
            <w:tcW w:w="0" w:type="auto"/>
            <w:vAlign w:val="center"/>
            <w:hideMark/>
          </w:tcPr>
          <w:p w14:paraId="27FEE502" w14:textId="591A2E78"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0.03</w:t>
            </w:r>
          </w:p>
        </w:tc>
      </w:tr>
      <w:tr w:rsidR="0078225F" w:rsidRPr="0078225F" w14:paraId="060409D7" w14:textId="77777777">
        <w:trPr>
          <w:tblCellSpacing w:w="15" w:type="dxa"/>
        </w:trPr>
        <w:tc>
          <w:tcPr>
            <w:tcW w:w="0" w:type="auto"/>
            <w:vAlign w:val="center"/>
            <w:hideMark/>
          </w:tcPr>
          <w:p w14:paraId="503C6FD3" w14:textId="77777777" w:rsidR="0078225F" w:rsidRPr="0078225F" w:rsidRDefault="0078225F" w:rsidP="004D6422">
            <w:pPr>
              <w:spacing w:line="360" w:lineRule="auto"/>
              <w:rPr>
                <w:rFonts w:ascii="Arial" w:hAnsi="Arial" w:cs="Arial"/>
              </w:rPr>
            </w:pPr>
            <w:r w:rsidRPr="0078225F">
              <w:rPr>
                <w:rFonts w:ascii="Arial" w:hAnsi="Arial" w:cs="Arial"/>
              </w:rPr>
              <w:t>2023</w:t>
            </w:r>
          </w:p>
        </w:tc>
        <w:tc>
          <w:tcPr>
            <w:tcW w:w="0" w:type="auto"/>
            <w:vAlign w:val="center"/>
            <w:hideMark/>
          </w:tcPr>
          <w:p w14:paraId="399AE305" w14:textId="038C66A9" w:rsidR="0078225F" w:rsidRPr="0078225F" w:rsidRDefault="0078225F" w:rsidP="004D6422">
            <w:pPr>
              <w:spacing w:line="360" w:lineRule="auto"/>
              <w:rPr>
                <w:rFonts w:ascii="Arial" w:hAnsi="Arial" w:cs="Arial"/>
              </w:rPr>
            </w:pPr>
            <w:r w:rsidRPr="004D6422">
              <w:rPr>
                <w:rFonts w:ascii="Arial" w:hAnsi="Arial" w:cs="Arial"/>
              </w:rPr>
              <w:t xml:space="preserve">  </w:t>
            </w:r>
            <w:r w:rsidR="00C24F7E">
              <w:rPr>
                <w:rFonts w:ascii="Arial" w:hAnsi="Arial" w:cs="Arial"/>
              </w:rPr>
              <w:t>-</w:t>
            </w:r>
            <w:r w:rsidRPr="0078225F">
              <w:rPr>
                <w:rFonts w:ascii="Arial" w:hAnsi="Arial" w:cs="Arial"/>
              </w:rPr>
              <w:t>7.64</w:t>
            </w:r>
          </w:p>
        </w:tc>
      </w:tr>
      <w:tr w:rsidR="0078225F" w:rsidRPr="0078225F" w14:paraId="0F9C4C6F" w14:textId="77777777">
        <w:trPr>
          <w:tblCellSpacing w:w="15" w:type="dxa"/>
        </w:trPr>
        <w:tc>
          <w:tcPr>
            <w:tcW w:w="0" w:type="auto"/>
            <w:vAlign w:val="center"/>
            <w:hideMark/>
          </w:tcPr>
          <w:p w14:paraId="63FA3A78" w14:textId="77777777" w:rsidR="0078225F" w:rsidRPr="0078225F" w:rsidRDefault="0078225F" w:rsidP="004D6422">
            <w:pPr>
              <w:spacing w:line="360" w:lineRule="auto"/>
              <w:rPr>
                <w:rFonts w:ascii="Arial" w:hAnsi="Arial" w:cs="Arial"/>
              </w:rPr>
            </w:pPr>
            <w:r w:rsidRPr="0078225F">
              <w:rPr>
                <w:rFonts w:ascii="Arial" w:hAnsi="Arial" w:cs="Arial"/>
              </w:rPr>
              <w:t>2024</w:t>
            </w:r>
          </w:p>
        </w:tc>
        <w:tc>
          <w:tcPr>
            <w:tcW w:w="0" w:type="auto"/>
            <w:vAlign w:val="center"/>
            <w:hideMark/>
          </w:tcPr>
          <w:p w14:paraId="11A204BC" w14:textId="2752A1D9" w:rsidR="0078225F" w:rsidRPr="0078225F" w:rsidRDefault="0078225F" w:rsidP="004D6422">
            <w:pPr>
              <w:spacing w:line="360" w:lineRule="auto"/>
              <w:rPr>
                <w:rFonts w:ascii="Arial" w:hAnsi="Arial" w:cs="Arial"/>
              </w:rPr>
            </w:pPr>
            <w:r w:rsidRPr="004D6422">
              <w:rPr>
                <w:rFonts w:ascii="Arial" w:hAnsi="Arial" w:cs="Arial"/>
              </w:rPr>
              <w:t xml:space="preserve">  </w:t>
            </w:r>
            <w:r w:rsidR="00C24F7E">
              <w:rPr>
                <w:rFonts w:ascii="Arial" w:hAnsi="Arial" w:cs="Arial"/>
              </w:rPr>
              <w:t>-</w:t>
            </w:r>
            <w:r w:rsidRPr="0078225F">
              <w:rPr>
                <w:rFonts w:ascii="Arial" w:hAnsi="Arial" w:cs="Arial"/>
              </w:rPr>
              <w:t>1.85</w:t>
            </w:r>
          </w:p>
        </w:tc>
      </w:tr>
    </w:tbl>
    <w:p w14:paraId="43D6F246" w14:textId="77777777" w:rsidR="0078225F" w:rsidRPr="004D6422" w:rsidRDefault="0078225F" w:rsidP="004D6422">
      <w:pPr>
        <w:pStyle w:val="Heading2"/>
        <w:rPr>
          <w:rFonts w:ascii="Arial" w:hAnsi="Arial" w:cs="Arial"/>
          <w:sz w:val="28"/>
          <w:szCs w:val="28"/>
        </w:rPr>
      </w:pPr>
      <w:bookmarkStart w:id="42" w:name="_Toc214875695"/>
      <w:r w:rsidRPr="004D6422">
        <w:rPr>
          <w:rFonts w:ascii="Arial" w:hAnsi="Arial" w:cs="Arial"/>
          <w:sz w:val="28"/>
          <w:szCs w:val="28"/>
        </w:rPr>
        <w:lastRenderedPageBreak/>
        <w:t>Appendix B: Cash Flow Trend</w:t>
      </w:r>
      <w:bookmarkEnd w:id="42"/>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609"/>
        <w:gridCol w:w="3182"/>
      </w:tblGrid>
      <w:tr w:rsidR="0078225F" w:rsidRPr="0078225F" w14:paraId="3EFCF287" w14:textId="77777777">
        <w:trPr>
          <w:tblHeader/>
          <w:tblCellSpacing w:w="15" w:type="dxa"/>
        </w:trPr>
        <w:tc>
          <w:tcPr>
            <w:tcW w:w="0" w:type="auto"/>
            <w:vAlign w:val="center"/>
            <w:hideMark/>
          </w:tcPr>
          <w:p w14:paraId="281950B5" w14:textId="77777777" w:rsidR="0078225F" w:rsidRPr="0078225F" w:rsidRDefault="0078225F" w:rsidP="004D6422">
            <w:pPr>
              <w:spacing w:line="360" w:lineRule="auto"/>
              <w:rPr>
                <w:rFonts w:ascii="Arial" w:hAnsi="Arial" w:cs="Arial"/>
                <w:b/>
                <w:bCs/>
              </w:rPr>
            </w:pPr>
            <w:r w:rsidRPr="0078225F">
              <w:rPr>
                <w:rFonts w:ascii="Arial" w:hAnsi="Arial" w:cs="Arial"/>
                <w:b/>
                <w:bCs/>
              </w:rPr>
              <w:t>Year</w:t>
            </w:r>
          </w:p>
        </w:tc>
        <w:tc>
          <w:tcPr>
            <w:tcW w:w="0" w:type="auto"/>
            <w:vAlign w:val="center"/>
            <w:hideMark/>
          </w:tcPr>
          <w:p w14:paraId="6E39EB18" w14:textId="50321A46" w:rsidR="0078225F" w:rsidRPr="0078225F" w:rsidRDefault="0078225F" w:rsidP="004D6422">
            <w:pPr>
              <w:spacing w:line="360" w:lineRule="auto"/>
              <w:rPr>
                <w:rFonts w:ascii="Arial" w:hAnsi="Arial" w:cs="Arial"/>
                <w:b/>
                <w:bCs/>
              </w:rPr>
            </w:pPr>
            <w:r w:rsidRPr="004D6422">
              <w:rPr>
                <w:rFonts w:ascii="Arial" w:hAnsi="Arial" w:cs="Arial"/>
                <w:b/>
                <w:bCs/>
              </w:rPr>
              <w:t xml:space="preserve">  </w:t>
            </w:r>
            <w:r w:rsidRPr="0078225F">
              <w:rPr>
                <w:rFonts w:ascii="Arial" w:hAnsi="Arial" w:cs="Arial"/>
                <w:b/>
                <w:bCs/>
              </w:rPr>
              <w:t>Operating Cash Flow (£m)</w:t>
            </w:r>
          </w:p>
        </w:tc>
      </w:tr>
      <w:tr w:rsidR="0078225F" w:rsidRPr="0078225F" w14:paraId="1B224E81" w14:textId="77777777">
        <w:trPr>
          <w:tblCellSpacing w:w="15" w:type="dxa"/>
        </w:trPr>
        <w:tc>
          <w:tcPr>
            <w:tcW w:w="0" w:type="auto"/>
            <w:vAlign w:val="center"/>
            <w:hideMark/>
          </w:tcPr>
          <w:p w14:paraId="08F0F3CC" w14:textId="77777777" w:rsidR="0078225F" w:rsidRPr="0078225F" w:rsidRDefault="0078225F" w:rsidP="004D6422">
            <w:pPr>
              <w:spacing w:line="360" w:lineRule="auto"/>
              <w:rPr>
                <w:rFonts w:ascii="Arial" w:hAnsi="Arial" w:cs="Arial"/>
              </w:rPr>
            </w:pPr>
            <w:r w:rsidRPr="0078225F">
              <w:rPr>
                <w:rFonts w:ascii="Arial" w:hAnsi="Arial" w:cs="Arial"/>
              </w:rPr>
              <w:t>2020</w:t>
            </w:r>
          </w:p>
        </w:tc>
        <w:tc>
          <w:tcPr>
            <w:tcW w:w="0" w:type="auto"/>
            <w:vAlign w:val="center"/>
            <w:hideMark/>
          </w:tcPr>
          <w:p w14:paraId="1EC588EA" w14:textId="470C4AD2"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73,392</w:t>
            </w:r>
          </w:p>
        </w:tc>
      </w:tr>
      <w:tr w:rsidR="0078225F" w:rsidRPr="0078225F" w14:paraId="64233613" w14:textId="77777777">
        <w:trPr>
          <w:tblCellSpacing w:w="15" w:type="dxa"/>
        </w:trPr>
        <w:tc>
          <w:tcPr>
            <w:tcW w:w="0" w:type="auto"/>
            <w:vAlign w:val="center"/>
            <w:hideMark/>
          </w:tcPr>
          <w:p w14:paraId="0E2A6802" w14:textId="77777777" w:rsidR="0078225F" w:rsidRPr="0078225F" w:rsidRDefault="0078225F" w:rsidP="004D6422">
            <w:pPr>
              <w:spacing w:line="360" w:lineRule="auto"/>
              <w:rPr>
                <w:rFonts w:ascii="Arial" w:hAnsi="Arial" w:cs="Arial"/>
              </w:rPr>
            </w:pPr>
            <w:r w:rsidRPr="0078225F">
              <w:rPr>
                <w:rFonts w:ascii="Arial" w:hAnsi="Arial" w:cs="Arial"/>
              </w:rPr>
              <w:t>2021</w:t>
            </w:r>
          </w:p>
        </w:tc>
        <w:tc>
          <w:tcPr>
            <w:tcW w:w="0" w:type="auto"/>
            <w:vAlign w:val="center"/>
            <w:hideMark/>
          </w:tcPr>
          <w:p w14:paraId="0BE4D099" w14:textId="1F88A8B2"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40,283</w:t>
            </w:r>
          </w:p>
        </w:tc>
      </w:tr>
      <w:tr w:rsidR="0078225F" w:rsidRPr="0078225F" w14:paraId="4986E67A" w14:textId="77777777">
        <w:trPr>
          <w:tblCellSpacing w:w="15" w:type="dxa"/>
        </w:trPr>
        <w:tc>
          <w:tcPr>
            <w:tcW w:w="0" w:type="auto"/>
            <w:vAlign w:val="center"/>
            <w:hideMark/>
          </w:tcPr>
          <w:p w14:paraId="35DE7575" w14:textId="77777777" w:rsidR="0078225F" w:rsidRPr="0078225F" w:rsidRDefault="0078225F" w:rsidP="004D6422">
            <w:pPr>
              <w:spacing w:line="360" w:lineRule="auto"/>
              <w:rPr>
                <w:rFonts w:ascii="Arial" w:hAnsi="Arial" w:cs="Arial"/>
              </w:rPr>
            </w:pPr>
            <w:r w:rsidRPr="0078225F">
              <w:rPr>
                <w:rFonts w:ascii="Arial" w:hAnsi="Arial" w:cs="Arial"/>
              </w:rPr>
              <w:t>2022</w:t>
            </w:r>
          </w:p>
        </w:tc>
        <w:tc>
          <w:tcPr>
            <w:tcW w:w="0" w:type="auto"/>
            <w:vAlign w:val="center"/>
            <w:hideMark/>
          </w:tcPr>
          <w:p w14:paraId="324CDB54" w14:textId="53D3869F"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10,926</w:t>
            </w:r>
          </w:p>
        </w:tc>
      </w:tr>
      <w:tr w:rsidR="0078225F" w:rsidRPr="0078225F" w14:paraId="32584D0F" w14:textId="77777777">
        <w:trPr>
          <w:tblCellSpacing w:w="15" w:type="dxa"/>
        </w:trPr>
        <w:tc>
          <w:tcPr>
            <w:tcW w:w="0" w:type="auto"/>
            <w:vAlign w:val="center"/>
            <w:hideMark/>
          </w:tcPr>
          <w:p w14:paraId="5744C2AA" w14:textId="77777777" w:rsidR="0078225F" w:rsidRPr="0078225F" w:rsidRDefault="0078225F" w:rsidP="004D6422">
            <w:pPr>
              <w:spacing w:line="360" w:lineRule="auto"/>
              <w:rPr>
                <w:rFonts w:ascii="Arial" w:hAnsi="Arial" w:cs="Arial"/>
              </w:rPr>
            </w:pPr>
            <w:r w:rsidRPr="0078225F">
              <w:rPr>
                <w:rFonts w:ascii="Arial" w:hAnsi="Arial" w:cs="Arial"/>
              </w:rPr>
              <w:t>2023</w:t>
            </w:r>
          </w:p>
        </w:tc>
        <w:tc>
          <w:tcPr>
            <w:tcW w:w="0" w:type="auto"/>
            <w:vAlign w:val="center"/>
            <w:hideMark/>
          </w:tcPr>
          <w:p w14:paraId="03ECE6A0" w14:textId="60435C4D"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25,190</w:t>
            </w:r>
          </w:p>
        </w:tc>
      </w:tr>
      <w:tr w:rsidR="0078225F" w:rsidRPr="0078225F" w14:paraId="18D9B4DB" w14:textId="77777777">
        <w:trPr>
          <w:tblCellSpacing w:w="15" w:type="dxa"/>
        </w:trPr>
        <w:tc>
          <w:tcPr>
            <w:tcW w:w="0" w:type="auto"/>
            <w:vAlign w:val="center"/>
            <w:hideMark/>
          </w:tcPr>
          <w:p w14:paraId="0091167D" w14:textId="77777777" w:rsidR="0078225F" w:rsidRPr="0078225F" w:rsidRDefault="0078225F" w:rsidP="004D6422">
            <w:pPr>
              <w:spacing w:line="360" w:lineRule="auto"/>
              <w:rPr>
                <w:rFonts w:ascii="Arial" w:hAnsi="Arial" w:cs="Arial"/>
              </w:rPr>
            </w:pPr>
            <w:r w:rsidRPr="0078225F">
              <w:rPr>
                <w:rFonts w:ascii="Arial" w:hAnsi="Arial" w:cs="Arial"/>
              </w:rPr>
              <w:t>2024</w:t>
            </w:r>
          </w:p>
        </w:tc>
        <w:tc>
          <w:tcPr>
            <w:tcW w:w="0" w:type="auto"/>
            <w:vAlign w:val="center"/>
            <w:hideMark/>
          </w:tcPr>
          <w:p w14:paraId="59186B50" w14:textId="0A1DFB79"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14,822</w:t>
            </w:r>
          </w:p>
        </w:tc>
      </w:tr>
    </w:tbl>
    <w:p w14:paraId="66BC396F" w14:textId="1ACABFAC" w:rsidR="0078225F" w:rsidRPr="004D6422" w:rsidRDefault="0078225F" w:rsidP="004D6422">
      <w:pPr>
        <w:pStyle w:val="Heading2"/>
        <w:rPr>
          <w:rFonts w:ascii="Arial" w:hAnsi="Arial" w:cs="Arial"/>
          <w:sz w:val="28"/>
          <w:szCs w:val="28"/>
        </w:rPr>
      </w:pPr>
      <w:bookmarkStart w:id="43" w:name="_Toc214875696"/>
      <w:r w:rsidRPr="004D6422">
        <w:rPr>
          <w:rFonts w:ascii="Arial" w:hAnsi="Arial" w:cs="Arial"/>
          <w:sz w:val="28"/>
          <w:szCs w:val="28"/>
        </w:rPr>
        <w:t>Appendix C: Altman Z-Score (2024)</w:t>
      </w:r>
      <w:bookmarkEnd w:id="43"/>
    </w:p>
    <w:p w14:paraId="5DF456C7" w14:textId="77777777" w:rsidR="0078225F" w:rsidRPr="0078225F" w:rsidRDefault="0078225F" w:rsidP="004D6422">
      <w:pPr>
        <w:spacing w:line="360" w:lineRule="auto"/>
        <w:rPr>
          <w:rFonts w:ascii="Arial" w:hAnsi="Arial" w:cs="Arial"/>
          <w:b/>
          <w:bCs/>
        </w:rPr>
      </w:pPr>
      <w:r w:rsidRPr="0078225F">
        <w:rPr>
          <w:rFonts w:ascii="Arial" w:hAnsi="Arial" w:cs="Arial"/>
          <w:b/>
          <w:bCs/>
        </w:rPr>
        <w:t>Formula</w:t>
      </w:r>
    </w:p>
    <w:p w14:paraId="01B1E903" w14:textId="77777777" w:rsidR="0078225F" w:rsidRPr="0078225F" w:rsidRDefault="0078225F" w:rsidP="004D6422">
      <w:pPr>
        <w:spacing w:line="360" w:lineRule="auto"/>
        <w:rPr>
          <w:rFonts w:ascii="Arial" w:hAnsi="Arial" w:cs="Arial"/>
        </w:rPr>
      </w:pPr>
      <w:r w:rsidRPr="0078225F">
        <w:rPr>
          <w:rFonts w:ascii="Arial" w:hAnsi="Arial" w:cs="Arial"/>
        </w:rPr>
        <w:t>Z = 1.2(WC/TA) + 1.4(RE/TA) + 3.3(EBIT/TA) + 0.6(Equity/Liabilities) + 1.0(Sales/TA)</w:t>
      </w:r>
    </w:p>
    <w:p w14:paraId="2144CDF7" w14:textId="77777777" w:rsidR="0078225F" w:rsidRPr="0078225F" w:rsidRDefault="0078225F" w:rsidP="004D6422">
      <w:pPr>
        <w:spacing w:line="360" w:lineRule="auto"/>
        <w:rPr>
          <w:rFonts w:ascii="Arial" w:hAnsi="Arial" w:cs="Arial"/>
          <w:b/>
          <w:bCs/>
        </w:rPr>
      </w:pPr>
      <w:r w:rsidRPr="0078225F">
        <w:rPr>
          <w:rFonts w:ascii="Arial" w:hAnsi="Arial" w:cs="Arial"/>
          <w:b/>
          <w:bCs/>
        </w:rPr>
        <w:t>Inputs</w:t>
      </w:r>
    </w:p>
    <w:p w14:paraId="679E4736" w14:textId="77777777" w:rsidR="0078225F" w:rsidRPr="0078225F" w:rsidRDefault="0078225F" w:rsidP="004D6422">
      <w:pPr>
        <w:numPr>
          <w:ilvl w:val="0"/>
          <w:numId w:val="2"/>
        </w:numPr>
        <w:spacing w:line="360" w:lineRule="auto"/>
        <w:rPr>
          <w:rFonts w:ascii="Arial" w:hAnsi="Arial" w:cs="Arial"/>
        </w:rPr>
      </w:pPr>
      <w:r w:rsidRPr="0078225F">
        <w:rPr>
          <w:rFonts w:ascii="Arial" w:hAnsi="Arial" w:cs="Arial"/>
        </w:rPr>
        <w:t>Working Capital = £84,203m</w:t>
      </w:r>
    </w:p>
    <w:p w14:paraId="3E1EC23A" w14:textId="77777777" w:rsidR="0078225F" w:rsidRPr="0078225F" w:rsidRDefault="0078225F" w:rsidP="004D6422">
      <w:pPr>
        <w:numPr>
          <w:ilvl w:val="0"/>
          <w:numId w:val="2"/>
        </w:numPr>
        <w:spacing w:line="360" w:lineRule="auto"/>
        <w:rPr>
          <w:rFonts w:ascii="Arial" w:hAnsi="Arial" w:cs="Arial"/>
        </w:rPr>
      </w:pPr>
      <w:r w:rsidRPr="0078225F">
        <w:rPr>
          <w:rFonts w:ascii="Arial" w:hAnsi="Arial" w:cs="Arial"/>
        </w:rPr>
        <w:t>Total Assets = £323,354m</w:t>
      </w:r>
    </w:p>
    <w:p w14:paraId="3D0DFC38" w14:textId="622A938C" w:rsidR="0078225F" w:rsidRPr="0078225F" w:rsidRDefault="0078225F" w:rsidP="004D6422">
      <w:pPr>
        <w:numPr>
          <w:ilvl w:val="0"/>
          <w:numId w:val="2"/>
        </w:numPr>
        <w:spacing w:line="360" w:lineRule="auto"/>
        <w:rPr>
          <w:rFonts w:ascii="Arial" w:hAnsi="Arial" w:cs="Arial"/>
        </w:rPr>
      </w:pPr>
      <w:r w:rsidRPr="0078225F">
        <w:rPr>
          <w:rFonts w:ascii="Arial" w:hAnsi="Arial" w:cs="Arial"/>
        </w:rPr>
        <w:t>Retained Earnings = £</w:t>
      </w:r>
      <w:r w:rsidR="009A4905" w:rsidRPr="004D6422">
        <w:rPr>
          <w:rFonts w:ascii="Arial" w:hAnsi="Arial" w:cs="Arial"/>
        </w:rPr>
        <w:t>18</w:t>
      </w:r>
      <w:r w:rsidRPr="0078225F">
        <w:rPr>
          <w:rFonts w:ascii="Arial" w:hAnsi="Arial" w:cs="Arial"/>
        </w:rPr>
        <w:t>,</w:t>
      </w:r>
      <w:r w:rsidR="009A4905" w:rsidRPr="004D6422">
        <w:rPr>
          <w:rFonts w:ascii="Arial" w:hAnsi="Arial" w:cs="Arial"/>
        </w:rPr>
        <w:t>892</w:t>
      </w:r>
      <w:r w:rsidRPr="0078225F">
        <w:rPr>
          <w:rFonts w:ascii="Arial" w:hAnsi="Arial" w:cs="Arial"/>
        </w:rPr>
        <w:t>m</w:t>
      </w:r>
    </w:p>
    <w:p w14:paraId="5C91BF51" w14:textId="36110A22" w:rsidR="0078225F" w:rsidRPr="0078225F" w:rsidRDefault="0078225F" w:rsidP="004D6422">
      <w:pPr>
        <w:numPr>
          <w:ilvl w:val="0"/>
          <w:numId w:val="2"/>
        </w:numPr>
        <w:spacing w:line="360" w:lineRule="auto"/>
        <w:rPr>
          <w:rFonts w:ascii="Arial" w:hAnsi="Arial" w:cs="Arial"/>
        </w:rPr>
      </w:pPr>
      <w:r w:rsidRPr="0078225F">
        <w:rPr>
          <w:rFonts w:ascii="Arial" w:hAnsi="Arial" w:cs="Arial"/>
        </w:rPr>
        <w:t xml:space="preserve">EBIT = </w:t>
      </w:r>
      <w:r w:rsidR="00C24F7E">
        <w:rPr>
          <w:rFonts w:ascii="Arial" w:hAnsi="Arial" w:cs="Arial"/>
        </w:rPr>
        <w:t>-</w:t>
      </w:r>
      <w:r w:rsidRPr="0078225F">
        <w:rPr>
          <w:rFonts w:ascii="Arial" w:hAnsi="Arial" w:cs="Arial"/>
        </w:rPr>
        <w:t>£15,297m</w:t>
      </w:r>
    </w:p>
    <w:p w14:paraId="5E65717F" w14:textId="77777777" w:rsidR="0078225F" w:rsidRPr="0078225F" w:rsidRDefault="0078225F" w:rsidP="004D6422">
      <w:pPr>
        <w:numPr>
          <w:ilvl w:val="0"/>
          <w:numId w:val="2"/>
        </w:numPr>
        <w:spacing w:line="360" w:lineRule="auto"/>
        <w:rPr>
          <w:rFonts w:ascii="Arial" w:hAnsi="Arial" w:cs="Arial"/>
        </w:rPr>
      </w:pPr>
      <w:r w:rsidRPr="0078225F">
        <w:rPr>
          <w:rFonts w:ascii="Arial" w:hAnsi="Arial" w:cs="Arial"/>
        </w:rPr>
        <w:t>Equity = £153,105m</w:t>
      </w:r>
    </w:p>
    <w:p w14:paraId="74C004A1" w14:textId="77777777" w:rsidR="0078225F" w:rsidRPr="0078225F" w:rsidRDefault="0078225F" w:rsidP="004D6422">
      <w:pPr>
        <w:numPr>
          <w:ilvl w:val="0"/>
          <w:numId w:val="2"/>
        </w:numPr>
        <w:spacing w:line="360" w:lineRule="auto"/>
        <w:rPr>
          <w:rFonts w:ascii="Arial" w:hAnsi="Arial" w:cs="Arial"/>
        </w:rPr>
      </w:pPr>
      <w:r w:rsidRPr="0078225F">
        <w:rPr>
          <w:rFonts w:ascii="Arial" w:hAnsi="Arial" w:cs="Arial"/>
        </w:rPr>
        <w:t>Liabilities = £170,249m</w:t>
      </w:r>
    </w:p>
    <w:p w14:paraId="057E791F" w14:textId="77777777" w:rsidR="0078225F" w:rsidRPr="0078225F" w:rsidRDefault="0078225F" w:rsidP="004D6422">
      <w:pPr>
        <w:numPr>
          <w:ilvl w:val="0"/>
          <w:numId w:val="2"/>
        </w:numPr>
        <w:spacing w:line="360" w:lineRule="auto"/>
        <w:rPr>
          <w:rFonts w:ascii="Arial" w:hAnsi="Arial" w:cs="Arial"/>
        </w:rPr>
      </w:pPr>
      <w:r w:rsidRPr="0078225F">
        <w:rPr>
          <w:rFonts w:ascii="Arial" w:hAnsi="Arial" w:cs="Arial"/>
        </w:rPr>
        <w:t>Sales = £394,879m</w:t>
      </w:r>
    </w:p>
    <w:p w14:paraId="5FF94BA3" w14:textId="77777777" w:rsidR="0078225F" w:rsidRPr="004D6422" w:rsidRDefault="0078225F" w:rsidP="004D6422">
      <w:pPr>
        <w:spacing w:line="360" w:lineRule="auto"/>
        <w:rPr>
          <w:rFonts w:ascii="Arial" w:hAnsi="Arial" w:cs="Arial"/>
          <w:b/>
          <w:bCs/>
        </w:rPr>
      </w:pPr>
      <w:r w:rsidRPr="0078225F">
        <w:rPr>
          <w:rFonts w:ascii="Arial" w:hAnsi="Arial" w:cs="Arial"/>
          <w:b/>
          <w:bCs/>
        </w:rPr>
        <w:t>Result:</w:t>
      </w:r>
      <w:r w:rsidRPr="0078225F">
        <w:rPr>
          <w:rFonts w:ascii="Arial" w:hAnsi="Arial" w:cs="Arial"/>
        </w:rPr>
        <w:br/>
        <w:t xml:space="preserve">Z-Score falls in the </w:t>
      </w:r>
      <w:r w:rsidRPr="0078225F">
        <w:rPr>
          <w:rFonts w:ascii="Arial" w:hAnsi="Arial" w:cs="Arial"/>
          <w:b/>
          <w:bCs/>
        </w:rPr>
        <w:t>Distress Zone</w:t>
      </w:r>
    </w:p>
    <w:p w14:paraId="7BC9BAAC" w14:textId="77777777" w:rsidR="0078225F" w:rsidRPr="004D6422" w:rsidRDefault="0078225F" w:rsidP="004D6422">
      <w:pPr>
        <w:pStyle w:val="Heading2"/>
        <w:rPr>
          <w:rFonts w:ascii="Arial" w:hAnsi="Arial" w:cs="Arial"/>
          <w:sz w:val="28"/>
          <w:szCs w:val="28"/>
        </w:rPr>
      </w:pPr>
      <w:bookmarkStart w:id="44" w:name="_Toc214875697"/>
      <w:r w:rsidRPr="004D6422">
        <w:rPr>
          <w:rFonts w:ascii="Arial" w:hAnsi="Arial" w:cs="Arial"/>
          <w:sz w:val="28"/>
          <w:szCs w:val="28"/>
        </w:rPr>
        <w:t>Appendix D: Investment Appraisal Calculations</w:t>
      </w:r>
      <w:bookmarkEnd w:id="44"/>
    </w:p>
    <w:p w14:paraId="050B4715" w14:textId="77777777" w:rsidR="0078225F" w:rsidRPr="0078225F" w:rsidRDefault="0078225F" w:rsidP="004D6422">
      <w:pPr>
        <w:spacing w:line="360" w:lineRule="auto"/>
        <w:rPr>
          <w:rFonts w:ascii="Arial" w:hAnsi="Arial" w:cs="Arial"/>
          <w:b/>
          <w:bCs/>
        </w:rPr>
      </w:pPr>
      <w:r w:rsidRPr="0078225F">
        <w:rPr>
          <w:rFonts w:ascii="Arial" w:hAnsi="Arial" w:cs="Arial"/>
          <w:b/>
          <w:bCs/>
        </w:rPr>
        <w:t>D1. Payback Period</w:t>
      </w:r>
    </w:p>
    <w:p w14:paraId="1CB2A801" w14:textId="77777777" w:rsidR="0078225F" w:rsidRPr="0078225F" w:rsidRDefault="0078225F" w:rsidP="004D6422">
      <w:pPr>
        <w:spacing w:line="360" w:lineRule="auto"/>
        <w:rPr>
          <w:rFonts w:ascii="Arial" w:hAnsi="Arial" w:cs="Arial"/>
        </w:rPr>
      </w:pPr>
      <w:r w:rsidRPr="0078225F">
        <w:rPr>
          <w:rFonts w:ascii="Arial" w:hAnsi="Arial" w:cs="Arial"/>
          <w:b/>
          <w:bCs/>
        </w:rPr>
        <w:t>Formula:</w:t>
      </w:r>
      <w:r w:rsidRPr="0078225F">
        <w:rPr>
          <w:rFonts w:ascii="Arial" w:hAnsi="Arial" w:cs="Arial"/>
        </w:rPr>
        <w:br/>
        <w:t>Payback = Time for cumulative cash inflows to recover initial investment</w:t>
      </w:r>
    </w:p>
    <w:p w14:paraId="0CE3EAC2" w14:textId="77777777" w:rsidR="0078225F" w:rsidRPr="0078225F" w:rsidRDefault="0078225F" w:rsidP="004D6422">
      <w:pPr>
        <w:spacing w:line="360" w:lineRule="auto"/>
        <w:rPr>
          <w:rFonts w:ascii="Arial" w:hAnsi="Arial" w:cs="Arial"/>
        </w:rPr>
      </w:pPr>
      <w:r w:rsidRPr="0078225F">
        <w:rPr>
          <w:rFonts w:ascii="Arial" w:hAnsi="Arial" w:cs="Arial"/>
          <w:b/>
          <w:bCs/>
        </w:rPr>
        <w:t>Worked Example (Project A):</w:t>
      </w:r>
    </w:p>
    <w:p w14:paraId="1EB1D764" w14:textId="77777777" w:rsidR="0078225F" w:rsidRPr="0078225F" w:rsidRDefault="0078225F" w:rsidP="004D6422">
      <w:pPr>
        <w:numPr>
          <w:ilvl w:val="0"/>
          <w:numId w:val="3"/>
        </w:numPr>
        <w:spacing w:line="360" w:lineRule="auto"/>
        <w:rPr>
          <w:rFonts w:ascii="Arial" w:hAnsi="Arial" w:cs="Arial"/>
        </w:rPr>
      </w:pPr>
      <w:r w:rsidRPr="0078225F">
        <w:rPr>
          <w:rFonts w:ascii="Arial" w:hAnsi="Arial" w:cs="Arial"/>
        </w:rPr>
        <w:lastRenderedPageBreak/>
        <w:t>End of Year 3: £36m recovered</w:t>
      </w:r>
    </w:p>
    <w:p w14:paraId="27A0D2AC" w14:textId="77777777" w:rsidR="0078225F" w:rsidRPr="0078225F" w:rsidRDefault="0078225F" w:rsidP="004D6422">
      <w:pPr>
        <w:numPr>
          <w:ilvl w:val="0"/>
          <w:numId w:val="3"/>
        </w:numPr>
        <w:spacing w:line="360" w:lineRule="auto"/>
        <w:rPr>
          <w:rFonts w:ascii="Arial" w:hAnsi="Arial" w:cs="Arial"/>
        </w:rPr>
      </w:pPr>
      <w:r w:rsidRPr="0078225F">
        <w:rPr>
          <w:rFonts w:ascii="Arial" w:hAnsi="Arial" w:cs="Arial"/>
        </w:rPr>
        <w:t>Remaining £4m from Year 4 inflow of £10m</w:t>
      </w:r>
    </w:p>
    <w:p w14:paraId="5FBEE4ED" w14:textId="77777777" w:rsidR="0078225F" w:rsidRPr="0078225F" w:rsidRDefault="0078225F" w:rsidP="004D6422">
      <w:pPr>
        <w:numPr>
          <w:ilvl w:val="0"/>
          <w:numId w:val="3"/>
        </w:numPr>
        <w:spacing w:line="360" w:lineRule="auto"/>
        <w:rPr>
          <w:rFonts w:ascii="Arial" w:hAnsi="Arial" w:cs="Arial"/>
        </w:rPr>
      </w:pPr>
      <w:r w:rsidRPr="0078225F">
        <w:rPr>
          <w:rFonts w:ascii="Arial" w:hAnsi="Arial" w:cs="Arial"/>
        </w:rPr>
        <w:t>4 ÷ 10 = 0.4 years</w:t>
      </w:r>
    </w:p>
    <w:p w14:paraId="39614D23" w14:textId="77777777" w:rsidR="0078225F" w:rsidRPr="0078225F" w:rsidRDefault="0078225F" w:rsidP="004D6422">
      <w:pPr>
        <w:spacing w:line="360" w:lineRule="auto"/>
        <w:rPr>
          <w:rFonts w:ascii="Arial" w:hAnsi="Arial" w:cs="Arial"/>
        </w:rPr>
      </w:pPr>
      <w:r w:rsidRPr="0078225F">
        <w:rPr>
          <w:rFonts w:ascii="Arial" w:hAnsi="Arial" w:cs="Arial"/>
          <w:b/>
          <w:bCs/>
        </w:rPr>
        <w:t>Payback = 3.4 years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9"/>
        <w:gridCol w:w="1196"/>
      </w:tblGrid>
      <w:tr w:rsidR="0078225F" w:rsidRPr="0078225F" w14:paraId="7A1C6EE3" w14:textId="77777777">
        <w:trPr>
          <w:tblHeader/>
          <w:tblCellSpacing w:w="15" w:type="dxa"/>
        </w:trPr>
        <w:tc>
          <w:tcPr>
            <w:tcW w:w="0" w:type="auto"/>
            <w:vAlign w:val="center"/>
            <w:hideMark/>
          </w:tcPr>
          <w:p w14:paraId="64D906EA" w14:textId="77777777" w:rsidR="0078225F" w:rsidRPr="0078225F" w:rsidRDefault="0078225F" w:rsidP="004D6422">
            <w:pPr>
              <w:spacing w:line="360" w:lineRule="auto"/>
              <w:rPr>
                <w:rFonts w:ascii="Arial" w:hAnsi="Arial" w:cs="Arial"/>
                <w:b/>
                <w:bCs/>
              </w:rPr>
            </w:pPr>
            <w:r w:rsidRPr="0078225F">
              <w:rPr>
                <w:rFonts w:ascii="Arial" w:hAnsi="Arial" w:cs="Arial"/>
                <w:b/>
                <w:bCs/>
              </w:rPr>
              <w:t>Project</w:t>
            </w:r>
          </w:p>
        </w:tc>
        <w:tc>
          <w:tcPr>
            <w:tcW w:w="0" w:type="auto"/>
            <w:vAlign w:val="center"/>
            <w:hideMark/>
          </w:tcPr>
          <w:p w14:paraId="74EB189F" w14:textId="1D604C10" w:rsidR="0078225F" w:rsidRPr="0078225F" w:rsidRDefault="0078225F" w:rsidP="004D6422">
            <w:pPr>
              <w:spacing w:line="360" w:lineRule="auto"/>
              <w:rPr>
                <w:rFonts w:ascii="Arial" w:hAnsi="Arial" w:cs="Arial"/>
                <w:b/>
                <w:bCs/>
              </w:rPr>
            </w:pPr>
            <w:r w:rsidRPr="004D6422">
              <w:rPr>
                <w:rFonts w:ascii="Arial" w:hAnsi="Arial" w:cs="Arial"/>
                <w:b/>
                <w:bCs/>
              </w:rPr>
              <w:t xml:space="preserve">  </w:t>
            </w:r>
            <w:r w:rsidRPr="0078225F">
              <w:rPr>
                <w:rFonts w:ascii="Arial" w:hAnsi="Arial" w:cs="Arial"/>
                <w:b/>
                <w:bCs/>
              </w:rPr>
              <w:t>Payback</w:t>
            </w:r>
          </w:p>
        </w:tc>
      </w:tr>
      <w:tr w:rsidR="0078225F" w:rsidRPr="0078225F" w14:paraId="6549AA83" w14:textId="77777777">
        <w:trPr>
          <w:tblCellSpacing w:w="15" w:type="dxa"/>
        </w:trPr>
        <w:tc>
          <w:tcPr>
            <w:tcW w:w="0" w:type="auto"/>
            <w:vAlign w:val="center"/>
            <w:hideMark/>
          </w:tcPr>
          <w:p w14:paraId="2FD706A8" w14:textId="77777777" w:rsidR="0078225F" w:rsidRPr="0078225F" w:rsidRDefault="0078225F" w:rsidP="004D6422">
            <w:pPr>
              <w:spacing w:line="360" w:lineRule="auto"/>
              <w:rPr>
                <w:rFonts w:ascii="Arial" w:hAnsi="Arial" w:cs="Arial"/>
              </w:rPr>
            </w:pPr>
            <w:r w:rsidRPr="0078225F">
              <w:rPr>
                <w:rFonts w:ascii="Arial" w:hAnsi="Arial" w:cs="Arial"/>
              </w:rPr>
              <w:t>A</w:t>
            </w:r>
          </w:p>
        </w:tc>
        <w:tc>
          <w:tcPr>
            <w:tcW w:w="0" w:type="auto"/>
            <w:vAlign w:val="center"/>
            <w:hideMark/>
          </w:tcPr>
          <w:p w14:paraId="67272F2C" w14:textId="563DC534"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3.4 years</w:t>
            </w:r>
          </w:p>
        </w:tc>
      </w:tr>
      <w:tr w:rsidR="0078225F" w:rsidRPr="0078225F" w14:paraId="193C41B7" w14:textId="77777777">
        <w:trPr>
          <w:tblCellSpacing w:w="15" w:type="dxa"/>
        </w:trPr>
        <w:tc>
          <w:tcPr>
            <w:tcW w:w="0" w:type="auto"/>
            <w:vAlign w:val="center"/>
            <w:hideMark/>
          </w:tcPr>
          <w:p w14:paraId="561F4346" w14:textId="77777777" w:rsidR="0078225F" w:rsidRPr="0078225F" w:rsidRDefault="0078225F" w:rsidP="004D6422">
            <w:pPr>
              <w:spacing w:line="360" w:lineRule="auto"/>
              <w:rPr>
                <w:rFonts w:ascii="Arial" w:hAnsi="Arial" w:cs="Arial"/>
              </w:rPr>
            </w:pPr>
            <w:r w:rsidRPr="0078225F">
              <w:rPr>
                <w:rFonts w:ascii="Arial" w:hAnsi="Arial" w:cs="Arial"/>
              </w:rPr>
              <w:t>B</w:t>
            </w:r>
          </w:p>
        </w:tc>
        <w:tc>
          <w:tcPr>
            <w:tcW w:w="0" w:type="auto"/>
            <w:vAlign w:val="center"/>
            <w:hideMark/>
          </w:tcPr>
          <w:p w14:paraId="0864AC8D" w14:textId="4F91E5DA"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5.0 years</w:t>
            </w:r>
          </w:p>
        </w:tc>
      </w:tr>
      <w:tr w:rsidR="0078225F" w:rsidRPr="0078225F" w14:paraId="4750FE8B" w14:textId="77777777">
        <w:trPr>
          <w:tblCellSpacing w:w="15" w:type="dxa"/>
        </w:trPr>
        <w:tc>
          <w:tcPr>
            <w:tcW w:w="0" w:type="auto"/>
            <w:vAlign w:val="center"/>
            <w:hideMark/>
          </w:tcPr>
          <w:p w14:paraId="37B1CE91" w14:textId="77777777" w:rsidR="0078225F" w:rsidRPr="0078225F" w:rsidRDefault="0078225F" w:rsidP="004D6422">
            <w:pPr>
              <w:spacing w:line="360" w:lineRule="auto"/>
              <w:rPr>
                <w:rFonts w:ascii="Arial" w:hAnsi="Arial" w:cs="Arial"/>
              </w:rPr>
            </w:pPr>
            <w:r w:rsidRPr="0078225F">
              <w:rPr>
                <w:rFonts w:ascii="Arial" w:hAnsi="Arial" w:cs="Arial"/>
              </w:rPr>
              <w:t>C</w:t>
            </w:r>
          </w:p>
        </w:tc>
        <w:tc>
          <w:tcPr>
            <w:tcW w:w="0" w:type="auto"/>
            <w:vAlign w:val="center"/>
            <w:hideMark/>
          </w:tcPr>
          <w:p w14:paraId="3B4E5649" w14:textId="4951CDA7"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3.6 years</w:t>
            </w:r>
          </w:p>
        </w:tc>
      </w:tr>
    </w:tbl>
    <w:p w14:paraId="5A7A5ADB" w14:textId="77777777" w:rsidR="0078225F" w:rsidRPr="004D6422" w:rsidRDefault="0078225F" w:rsidP="004D6422">
      <w:pPr>
        <w:spacing w:line="360" w:lineRule="auto"/>
        <w:rPr>
          <w:rFonts w:ascii="Arial" w:hAnsi="Arial" w:cs="Arial"/>
          <w:b/>
          <w:bCs/>
        </w:rPr>
      </w:pPr>
    </w:p>
    <w:p w14:paraId="45CBCCE9" w14:textId="77777777" w:rsidR="0078225F" w:rsidRPr="004D6422" w:rsidRDefault="0078225F" w:rsidP="004D6422">
      <w:pPr>
        <w:spacing w:line="360" w:lineRule="auto"/>
        <w:rPr>
          <w:rFonts w:ascii="Arial" w:hAnsi="Arial" w:cs="Arial"/>
          <w:b/>
          <w:bCs/>
        </w:rPr>
      </w:pPr>
    </w:p>
    <w:p w14:paraId="15335B1D" w14:textId="22FC5814" w:rsidR="0078225F" w:rsidRPr="0078225F" w:rsidRDefault="0078225F" w:rsidP="004D6422">
      <w:pPr>
        <w:spacing w:line="360" w:lineRule="auto"/>
        <w:rPr>
          <w:rFonts w:ascii="Arial" w:hAnsi="Arial" w:cs="Arial"/>
          <w:b/>
          <w:bCs/>
        </w:rPr>
      </w:pPr>
      <w:r w:rsidRPr="0078225F">
        <w:rPr>
          <w:rFonts w:ascii="Arial" w:hAnsi="Arial" w:cs="Arial"/>
          <w:b/>
          <w:bCs/>
        </w:rPr>
        <w:t>D2. Accounting Rate of Return (ARR)</w:t>
      </w:r>
    </w:p>
    <w:p w14:paraId="6E3B158A" w14:textId="77777777" w:rsidR="0078225F" w:rsidRPr="0078225F" w:rsidRDefault="0078225F" w:rsidP="004D6422">
      <w:pPr>
        <w:spacing w:line="360" w:lineRule="auto"/>
        <w:rPr>
          <w:rFonts w:ascii="Arial" w:hAnsi="Arial" w:cs="Arial"/>
        </w:rPr>
      </w:pPr>
      <w:r w:rsidRPr="0078225F">
        <w:rPr>
          <w:rFonts w:ascii="Arial" w:hAnsi="Arial" w:cs="Arial"/>
          <w:b/>
          <w:bCs/>
        </w:rPr>
        <w:t>Formula:</w:t>
      </w:r>
      <w:r w:rsidRPr="0078225F">
        <w:rPr>
          <w:rFonts w:ascii="Arial" w:hAnsi="Arial" w:cs="Arial"/>
        </w:rPr>
        <w:br/>
        <w:t>ARR = Average Annual Profit ÷ Initial Investment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9"/>
        <w:gridCol w:w="720"/>
      </w:tblGrid>
      <w:tr w:rsidR="0078225F" w:rsidRPr="0078225F" w14:paraId="21281BCE" w14:textId="77777777">
        <w:trPr>
          <w:tblHeader/>
          <w:tblCellSpacing w:w="15" w:type="dxa"/>
        </w:trPr>
        <w:tc>
          <w:tcPr>
            <w:tcW w:w="0" w:type="auto"/>
            <w:vAlign w:val="center"/>
            <w:hideMark/>
          </w:tcPr>
          <w:p w14:paraId="6BB63D33" w14:textId="77777777" w:rsidR="0078225F" w:rsidRPr="0078225F" w:rsidRDefault="0078225F" w:rsidP="004D6422">
            <w:pPr>
              <w:spacing w:line="360" w:lineRule="auto"/>
              <w:rPr>
                <w:rFonts w:ascii="Arial" w:hAnsi="Arial" w:cs="Arial"/>
                <w:b/>
                <w:bCs/>
              </w:rPr>
            </w:pPr>
            <w:r w:rsidRPr="0078225F">
              <w:rPr>
                <w:rFonts w:ascii="Arial" w:hAnsi="Arial" w:cs="Arial"/>
                <w:b/>
                <w:bCs/>
              </w:rPr>
              <w:t>Project</w:t>
            </w:r>
          </w:p>
        </w:tc>
        <w:tc>
          <w:tcPr>
            <w:tcW w:w="0" w:type="auto"/>
            <w:vAlign w:val="center"/>
            <w:hideMark/>
          </w:tcPr>
          <w:p w14:paraId="4956C749" w14:textId="13D4F190" w:rsidR="0078225F" w:rsidRPr="0078225F" w:rsidRDefault="0078225F" w:rsidP="004D6422">
            <w:pPr>
              <w:spacing w:line="360" w:lineRule="auto"/>
              <w:rPr>
                <w:rFonts w:ascii="Arial" w:hAnsi="Arial" w:cs="Arial"/>
                <w:b/>
                <w:bCs/>
              </w:rPr>
            </w:pPr>
            <w:r w:rsidRPr="004D6422">
              <w:rPr>
                <w:rFonts w:ascii="Arial" w:hAnsi="Arial" w:cs="Arial"/>
                <w:b/>
                <w:bCs/>
              </w:rPr>
              <w:t xml:space="preserve">  </w:t>
            </w:r>
            <w:r w:rsidRPr="0078225F">
              <w:rPr>
                <w:rFonts w:ascii="Arial" w:hAnsi="Arial" w:cs="Arial"/>
                <w:b/>
                <w:bCs/>
              </w:rPr>
              <w:t>ARR</w:t>
            </w:r>
          </w:p>
        </w:tc>
      </w:tr>
      <w:tr w:rsidR="0078225F" w:rsidRPr="0078225F" w14:paraId="531C77D6" w14:textId="77777777">
        <w:trPr>
          <w:tblCellSpacing w:w="15" w:type="dxa"/>
        </w:trPr>
        <w:tc>
          <w:tcPr>
            <w:tcW w:w="0" w:type="auto"/>
            <w:vAlign w:val="center"/>
            <w:hideMark/>
          </w:tcPr>
          <w:p w14:paraId="1ABF70F9" w14:textId="77777777" w:rsidR="0078225F" w:rsidRPr="0078225F" w:rsidRDefault="0078225F" w:rsidP="004D6422">
            <w:pPr>
              <w:spacing w:line="360" w:lineRule="auto"/>
              <w:rPr>
                <w:rFonts w:ascii="Arial" w:hAnsi="Arial" w:cs="Arial"/>
              </w:rPr>
            </w:pPr>
            <w:r w:rsidRPr="0078225F">
              <w:rPr>
                <w:rFonts w:ascii="Arial" w:hAnsi="Arial" w:cs="Arial"/>
              </w:rPr>
              <w:t>A</w:t>
            </w:r>
          </w:p>
        </w:tc>
        <w:tc>
          <w:tcPr>
            <w:tcW w:w="0" w:type="auto"/>
            <w:vAlign w:val="center"/>
            <w:hideMark/>
          </w:tcPr>
          <w:p w14:paraId="3D5DD0B5" w14:textId="23A6224D"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7%</w:t>
            </w:r>
          </w:p>
        </w:tc>
      </w:tr>
      <w:tr w:rsidR="0078225F" w:rsidRPr="0078225F" w14:paraId="3BDC6B84" w14:textId="77777777">
        <w:trPr>
          <w:tblCellSpacing w:w="15" w:type="dxa"/>
        </w:trPr>
        <w:tc>
          <w:tcPr>
            <w:tcW w:w="0" w:type="auto"/>
            <w:vAlign w:val="center"/>
            <w:hideMark/>
          </w:tcPr>
          <w:p w14:paraId="062E1C8B" w14:textId="77777777" w:rsidR="0078225F" w:rsidRPr="0078225F" w:rsidRDefault="0078225F" w:rsidP="004D6422">
            <w:pPr>
              <w:spacing w:line="360" w:lineRule="auto"/>
              <w:rPr>
                <w:rFonts w:ascii="Arial" w:hAnsi="Arial" w:cs="Arial"/>
              </w:rPr>
            </w:pPr>
            <w:r w:rsidRPr="0078225F">
              <w:rPr>
                <w:rFonts w:ascii="Arial" w:hAnsi="Arial" w:cs="Arial"/>
              </w:rPr>
              <w:t>B</w:t>
            </w:r>
          </w:p>
        </w:tc>
        <w:tc>
          <w:tcPr>
            <w:tcW w:w="0" w:type="auto"/>
            <w:vAlign w:val="center"/>
            <w:hideMark/>
          </w:tcPr>
          <w:p w14:paraId="3209C522" w14:textId="0AB3463C"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0%</w:t>
            </w:r>
          </w:p>
        </w:tc>
      </w:tr>
      <w:tr w:rsidR="0078225F" w:rsidRPr="0078225F" w14:paraId="232A137C" w14:textId="77777777">
        <w:trPr>
          <w:tblCellSpacing w:w="15" w:type="dxa"/>
        </w:trPr>
        <w:tc>
          <w:tcPr>
            <w:tcW w:w="0" w:type="auto"/>
            <w:vAlign w:val="center"/>
            <w:hideMark/>
          </w:tcPr>
          <w:p w14:paraId="12156958" w14:textId="77777777" w:rsidR="0078225F" w:rsidRPr="0078225F" w:rsidRDefault="0078225F" w:rsidP="004D6422">
            <w:pPr>
              <w:spacing w:line="360" w:lineRule="auto"/>
              <w:rPr>
                <w:rFonts w:ascii="Arial" w:hAnsi="Arial" w:cs="Arial"/>
              </w:rPr>
            </w:pPr>
            <w:r w:rsidRPr="0078225F">
              <w:rPr>
                <w:rFonts w:ascii="Arial" w:hAnsi="Arial" w:cs="Arial"/>
              </w:rPr>
              <w:t>C</w:t>
            </w:r>
          </w:p>
        </w:tc>
        <w:tc>
          <w:tcPr>
            <w:tcW w:w="0" w:type="auto"/>
            <w:vAlign w:val="center"/>
            <w:hideMark/>
          </w:tcPr>
          <w:p w14:paraId="5A7705E5" w14:textId="27AE3B15"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10%</w:t>
            </w:r>
          </w:p>
        </w:tc>
      </w:tr>
    </w:tbl>
    <w:p w14:paraId="2FAE7662" w14:textId="77777777" w:rsidR="0078225F" w:rsidRPr="0078225F" w:rsidRDefault="0078225F" w:rsidP="004D6422">
      <w:pPr>
        <w:spacing w:line="360" w:lineRule="auto"/>
        <w:rPr>
          <w:rFonts w:ascii="Arial" w:hAnsi="Arial" w:cs="Arial"/>
          <w:b/>
          <w:bCs/>
        </w:rPr>
      </w:pPr>
      <w:r w:rsidRPr="0078225F">
        <w:rPr>
          <w:rFonts w:ascii="Arial" w:hAnsi="Arial" w:cs="Arial"/>
          <w:b/>
          <w:bCs/>
        </w:rPr>
        <w:t>D3. Net Present Value (NPV @ 10%)</w:t>
      </w:r>
    </w:p>
    <w:p w14:paraId="530062A5" w14:textId="152BB14C" w:rsidR="0078225F" w:rsidRPr="0078225F" w:rsidRDefault="0078225F" w:rsidP="004D6422">
      <w:pPr>
        <w:spacing w:line="360" w:lineRule="auto"/>
        <w:rPr>
          <w:rFonts w:ascii="Arial" w:hAnsi="Arial" w:cs="Arial"/>
        </w:rPr>
      </w:pPr>
      <w:r w:rsidRPr="0078225F">
        <w:rPr>
          <w:rFonts w:ascii="Arial" w:hAnsi="Arial" w:cs="Arial"/>
          <w:b/>
          <w:bCs/>
        </w:rPr>
        <w:t>Formula:</w:t>
      </w:r>
      <w:r w:rsidRPr="0078225F">
        <w:rPr>
          <w:rFonts w:ascii="Arial" w:hAnsi="Arial" w:cs="Arial"/>
        </w:rPr>
        <w:br/>
        <w:t xml:space="preserve">NPV = Σ (Cash Flow ÷ (1+r)^t) </w:t>
      </w:r>
      <w:r w:rsidR="00C24F7E">
        <w:rPr>
          <w:rFonts w:ascii="Arial" w:hAnsi="Arial" w:cs="Arial"/>
        </w:rPr>
        <w:t>-</w:t>
      </w:r>
      <w:r w:rsidRPr="0078225F">
        <w:rPr>
          <w:rFonts w:ascii="Arial" w:hAnsi="Arial" w:cs="Arial"/>
        </w:rPr>
        <w:t xml:space="preserve"> Initial Investment</w:t>
      </w:r>
    </w:p>
    <w:p w14:paraId="50D53400" w14:textId="77777777" w:rsidR="0078225F" w:rsidRPr="0078225F" w:rsidRDefault="0078225F" w:rsidP="004D6422">
      <w:pPr>
        <w:spacing w:line="360" w:lineRule="auto"/>
        <w:rPr>
          <w:rFonts w:ascii="Arial" w:hAnsi="Arial" w:cs="Arial"/>
        </w:rPr>
      </w:pPr>
      <w:r w:rsidRPr="0078225F">
        <w:rPr>
          <w:rFonts w:ascii="Arial" w:hAnsi="Arial" w:cs="Arial"/>
          <w:b/>
          <w:bCs/>
        </w:rPr>
        <w:t>Worked Example (Project A):</w:t>
      </w:r>
    </w:p>
    <w:p w14:paraId="1E38B899" w14:textId="77777777" w:rsidR="0078225F" w:rsidRPr="0078225F" w:rsidRDefault="0078225F" w:rsidP="004D6422">
      <w:pPr>
        <w:numPr>
          <w:ilvl w:val="0"/>
          <w:numId w:val="4"/>
        </w:numPr>
        <w:spacing w:line="360" w:lineRule="auto"/>
        <w:rPr>
          <w:rFonts w:ascii="Arial" w:hAnsi="Arial" w:cs="Arial"/>
        </w:rPr>
      </w:pPr>
      <w:r w:rsidRPr="0078225F">
        <w:rPr>
          <w:rFonts w:ascii="Arial" w:hAnsi="Arial" w:cs="Arial"/>
        </w:rPr>
        <w:t>PV of inflows = £41.33m</w:t>
      </w:r>
    </w:p>
    <w:p w14:paraId="010E7BD6" w14:textId="6D1961B3" w:rsidR="0078225F" w:rsidRPr="0078225F" w:rsidRDefault="0078225F" w:rsidP="004D6422">
      <w:pPr>
        <w:numPr>
          <w:ilvl w:val="0"/>
          <w:numId w:val="4"/>
        </w:numPr>
        <w:spacing w:line="360" w:lineRule="auto"/>
        <w:rPr>
          <w:rFonts w:ascii="Arial" w:hAnsi="Arial" w:cs="Arial"/>
        </w:rPr>
      </w:pPr>
      <w:r w:rsidRPr="0078225F">
        <w:rPr>
          <w:rFonts w:ascii="Arial" w:hAnsi="Arial" w:cs="Arial"/>
        </w:rPr>
        <w:t xml:space="preserve">NPV = 41.33 </w:t>
      </w:r>
      <w:r w:rsidR="00C24F7E">
        <w:rPr>
          <w:rFonts w:ascii="Arial" w:hAnsi="Arial" w:cs="Arial"/>
        </w:rPr>
        <w:t>-</w:t>
      </w:r>
      <w:r w:rsidRPr="0078225F">
        <w:rPr>
          <w:rFonts w:ascii="Arial" w:hAnsi="Arial" w:cs="Arial"/>
        </w:rPr>
        <w:t xml:space="preserve"> 40 = </w:t>
      </w:r>
      <w:r w:rsidRPr="0078225F">
        <w:rPr>
          <w:rFonts w:ascii="Arial" w:hAnsi="Arial" w:cs="Arial"/>
          <w:b/>
          <w:bCs/>
        </w:rPr>
        <w:t>£1.33m</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9"/>
        <w:gridCol w:w="1276"/>
      </w:tblGrid>
      <w:tr w:rsidR="0078225F" w:rsidRPr="0078225F" w14:paraId="1F6DF3E6" w14:textId="77777777">
        <w:trPr>
          <w:tblHeader/>
          <w:tblCellSpacing w:w="15" w:type="dxa"/>
        </w:trPr>
        <w:tc>
          <w:tcPr>
            <w:tcW w:w="0" w:type="auto"/>
            <w:vAlign w:val="center"/>
            <w:hideMark/>
          </w:tcPr>
          <w:p w14:paraId="23B16157" w14:textId="77777777" w:rsidR="0078225F" w:rsidRPr="0078225F" w:rsidRDefault="0078225F" w:rsidP="004D6422">
            <w:pPr>
              <w:spacing w:line="360" w:lineRule="auto"/>
              <w:rPr>
                <w:rFonts w:ascii="Arial" w:hAnsi="Arial" w:cs="Arial"/>
                <w:b/>
                <w:bCs/>
              </w:rPr>
            </w:pPr>
            <w:r w:rsidRPr="0078225F">
              <w:rPr>
                <w:rFonts w:ascii="Arial" w:hAnsi="Arial" w:cs="Arial"/>
                <w:b/>
                <w:bCs/>
              </w:rPr>
              <w:lastRenderedPageBreak/>
              <w:t>Project</w:t>
            </w:r>
          </w:p>
        </w:tc>
        <w:tc>
          <w:tcPr>
            <w:tcW w:w="0" w:type="auto"/>
            <w:vAlign w:val="center"/>
            <w:hideMark/>
          </w:tcPr>
          <w:p w14:paraId="66EFFA9B" w14:textId="23A3A413" w:rsidR="0078225F" w:rsidRPr="0078225F" w:rsidRDefault="0078225F" w:rsidP="004D6422">
            <w:pPr>
              <w:spacing w:line="360" w:lineRule="auto"/>
              <w:rPr>
                <w:rFonts w:ascii="Arial" w:hAnsi="Arial" w:cs="Arial"/>
                <w:b/>
                <w:bCs/>
              </w:rPr>
            </w:pPr>
            <w:r w:rsidRPr="004D6422">
              <w:rPr>
                <w:rFonts w:ascii="Arial" w:hAnsi="Arial" w:cs="Arial"/>
                <w:b/>
                <w:bCs/>
              </w:rPr>
              <w:t xml:space="preserve">  </w:t>
            </w:r>
            <w:r w:rsidRPr="0078225F">
              <w:rPr>
                <w:rFonts w:ascii="Arial" w:hAnsi="Arial" w:cs="Arial"/>
                <w:b/>
                <w:bCs/>
              </w:rPr>
              <w:t>NPV (£m)</w:t>
            </w:r>
          </w:p>
        </w:tc>
      </w:tr>
      <w:tr w:rsidR="0078225F" w:rsidRPr="0078225F" w14:paraId="1CC91C7F" w14:textId="77777777">
        <w:trPr>
          <w:tblCellSpacing w:w="15" w:type="dxa"/>
        </w:trPr>
        <w:tc>
          <w:tcPr>
            <w:tcW w:w="0" w:type="auto"/>
            <w:vAlign w:val="center"/>
            <w:hideMark/>
          </w:tcPr>
          <w:p w14:paraId="583289C8" w14:textId="77777777" w:rsidR="0078225F" w:rsidRPr="0078225F" w:rsidRDefault="0078225F" w:rsidP="004D6422">
            <w:pPr>
              <w:spacing w:line="360" w:lineRule="auto"/>
              <w:rPr>
                <w:rFonts w:ascii="Arial" w:hAnsi="Arial" w:cs="Arial"/>
              </w:rPr>
            </w:pPr>
            <w:r w:rsidRPr="0078225F">
              <w:rPr>
                <w:rFonts w:ascii="Arial" w:hAnsi="Arial" w:cs="Arial"/>
              </w:rPr>
              <w:t>A</w:t>
            </w:r>
          </w:p>
        </w:tc>
        <w:tc>
          <w:tcPr>
            <w:tcW w:w="0" w:type="auto"/>
            <w:vAlign w:val="center"/>
            <w:hideMark/>
          </w:tcPr>
          <w:p w14:paraId="25DCA595" w14:textId="6B15417D"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£1.33m</w:t>
            </w:r>
          </w:p>
        </w:tc>
      </w:tr>
      <w:tr w:rsidR="0078225F" w:rsidRPr="0078225F" w14:paraId="3FDE3FC1" w14:textId="77777777">
        <w:trPr>
          <w:tblCellSpacing w:w="15" w:type="dxa"/>
        </w:trPr>
        <w:tc>
          <w:tcPr>
            <w:tcW w:w="0" w:type="auto"/>
            <w:vAlign w:val="center"/>
            <w:hideMark/>
          </w:tcPr>
          <w:p w14:paraId="6A570608" w14:textId="77777777" w:rsidR="0078225F" w:rsidRPr="0078225F" w:rsidRDefault="0078225F" w:rsidP="004D6422">
            <w:pPr>
              <w:spacing w:line="360" w:lineRule="auto"/>
              <w:rPr>
                <w:rFonts w:ascii="Arial" w:hAnsi="Arial" w:cs="Arial"/>
              </w:rPr>
            </w:pPr>
            <w:r w:rsidRPr="0078225F">
              <w:rPr>
                <w:rFonts w:ascii="Arial" w:hAnsi="Arial" w:cs="Arial"/>
              </w:rPr>
              <w:t>B</w:t>
            </w:r>
          </w:p>
        </w:tc>
        <w:tc>
          <w:tcPr>
            <w:tcW w:w="0" w:type="auto"/>
            <w:vAlign w:val="center"/>
            <w:hideMark/>
          </w:tcPr>
          <w:p w14:paraId="278F4F34" w14:textId="6A507DF3" w:rsidR="0078225F" w:rsidRPr="0078225F" w:rsidRDefault="0078225F" w:rsidP="004D6422">
            <w:pPr>
              <w:spacing w:line="360" w:lineRule="auto"/>
              <w:rPr>
                <w:rFonts w:ascii="Arial" w:hAnsi="Arial" w:cs="Arial"/>
              </w:rPr>
            </w:pPr>
            <w:r w:rsidRPr="004D6422">
              <w:rPr>
                <w:rFonts w:ascii="Arial" w:hAnsi="Arial" w:cs="Arial"/>
              </w:rPr>
              <w:t xml:space="preserve">  </w:t>
            </w:r>
            <w:r w:rsidR="00C24F7E">
              <w:rPr>
                <w:rFonts w:ascii="Arial" w:hAnsi="Arial" w:cs="Arial"/>
              </w:rPr>
              <w:t>-</w:t>
            </w:r>
            <w:r w:rsidRPr="0078225F">
              <w:rPr>
                <w:rFonts w:ascii="Arial" w:hAnsi="Arial" w:cs="Arial"/>
              </w:rPr>
              <w:t>£7.30m</w:t>
            </w:r>
          </w:p>
        </w:tc>
      </w:tr>
      <w:tr w:rsidR="0078225F" w:rsidRPr="0078225F" w14:paraId="3DCBC95E" w14:textId="77777777">
        <w:trPr>
          <w:tblCellSpacing w:w="15" w:type="dxa"/>
        </w:trPr>
        <w:tc>
          <w:tcPr>
            <w:tcW w:w="0" w:type="auto"/>
            <w:vAlign w:val="center"/>
            <w:hideMark/>
          </w:tcPr>
          <w:p w14:paraId="4C409BFD" w14:textId="77777777" w:rsidR="0078225F" w:rsidRPr="0078225F" w:rsidRDefault="0078225F" w:rsidP="004D6422">
            <w:pPr>
              <w:spacing w:line="360" w:lineRule="auto"/>
              <w:rPr>
                <w:rFonts w:ascii="Arial" w:hAnsi="Arial" w:cs="Arial"/>
              </w:rPr>
            </w:pPr>
            <w:r w:rsidRPr="0078225F">
              <w:rPr>
                <w:rFonts w:ascii="Arial" w:hAnsi="Arial" w:cs="Arial"/>
              </w:rPr>
              <w:t>C</w:t>
            </w:r>
          </w:p>
        </w:tc>
        <w:tc>
          <w:tcPr>
            <w:tcW w:w="0" w:type="auto"/>
            <w:vAlign w:val="center"/>
            <w:hideMark/>
          </w:tcPr>
          <w:p w14:paraId="65AD20AF" w14:textId="7D8F301B"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£4.22m</w:t>
            </w:r>
          </w:p>
        </w:tc>
      </w:tr>
    </w:tbl>
    <w:p w14:paraId="30FF2F60" w14:textId="77777777" w:rsidR="0078225F" w:rsidRPr="0078225F" w:rsidRDefault="0078225F" w:rsidP="004D6422">
      <w:pPr>
        <w:spacing w:line="360" w:lineRule="auto"/>
        <w:rPr>
          <w:rFonts w:ascii="Arial" w:hAnsi="Arial" w:cs="Arial"/>
          <w:b/>
          <w:bCs/>
        </w:rPr>
      </w:pPr>
      <w:r w:rsidRPr="0078225F">
        <w:rPr>
          <w:rFonts w:ascii="Arial" w:hAnsi="Arial" w:cs="Arial"/>
          <w:b/>
          <w:bCs/>
        </w:rPr>
        <w:t>D4. Profitability Index (PI)</w:t>
      </w:r>
    </w:p>
    <w:p w14:paraId="48C937F6" w14:textId="77777777" w:rsidR="0078225F" w:rsidRPr="0078225F" w:rsidRDefault="0078225F" w:rsidP="004D6422">
      <w:pPr>
        <w:spacing w:line="360" w:lineRule="auto"/>
        <w:rPr>
          <w:rFonts w:ascii="Arial" w:hAnsi="Arial" w:cs="Arial"/>
        </w:rPr>
      </w:pPr>
      <w:r w:rsidRPr="0078225F">
        <w:rPr>
          <w:rFonts w:ascii="Arial" w:hAnsi="Arial" w:cs="Arial"/>
          <w:b/>
          <w:bCs/>
        </w:rPr>
        <w:t>Formula:</w:t>
      </w:r>
      <w:r w:rsidRPr="0078225F">
        <w:rPr>
          <w:rFonts w:ascii="Arial" w:hAnsi="Arial" w:cs="Arial"/>
        </w:rPr>
        <w:br/>
        <w:t>PI = PV of Inflows ÷ Initial Investment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9"/>
        <w:gridCol w:w="676"/>
      </w:tblGrid>
      <w:tr w:rsidR="0078225F" w:rsidRPr="0078225F" w14:paraId="3AB871E6" w14:textId="77777777">
        <w:trPr>
          <w:tblHeader/>
          <w:tblCellSpacing w:w="15" w:type="dxa"/>
        </w:trPr>
        <w:tc>
          <w:tcPr>
            <w:tcW w:w="0" w:type="auto"/>
            <w:vAlign w:val="center"/>
            <w:hideMark/>
          </w:tcPr>
          <w:p w14:paraId="6A74BA25" w14:textId="77777777" w:rsidR="0078225F" w:rsidRPr="0078225F" w:rsidRDefault="0078225F" w:rsidP="004D6422">
            <w:pPr>
              <w:spacing w:line="360" w:lineRule="auto"/>
              <w:rPr>
                <w:rFonts w:ascii="Arial" w:hAnsi="Arial" w:cs="Arial"/>
                <w:b/>
                <w:bCs/>
              </w:rPr>
            </w:pPr>
            <w:r w:rsidRPr="0078225F">
              <w:rPr>
                <w:rFonts w:ascii="Arial" w:hAnsi="Arial" w:cs="Arial"/>
                <w:b/>
                <w:bCs/>
              </w:rPr>
              <w:t>Project</w:t>
            </w:r>
          </w:p>
        </w:tc>
        <w:tc>
          <w:tcPr>
            <w:tcW w:w="0" w:type="auto"/>
            <w:vAlign w:val="center"/>
            <w:hideMark/>
          </w:tcPr>
          <w:p w14:paraId="1B161F38" w14:textId="65A45BC4" w:rsidR="0078225F" w:rsidRPr="0078225F" w:rsidRDefault="0078225F" w:rsidP="004D6422">
            <w:pPr>
              <w:spacing w:line="360" w:lineRule="auto"/>
              <w:rPr>
                <w:rFonts w:ascii="Arial" w:hAnsi="Arial" w:cs="Arial"/>
                <w:b/>
                <w:bCs/>
              </w:rPr>
            </w:pPr>
            <w:r w:rsidRPr="004D6422">
              <w:rPr>
                <w:rFonts w:ascii="Arial" w:hAnsi="Arial" w:cs="Arial"/>
                <w:b/>
                <w:bCs/>
              </w:rPr>
              <w:t xml:space="preserve">  </w:t>
            </w:r>
            <w:r w:rsidRPr="0078225F">
              <w:rPr>
                <w:rFonts w:ascii="Arial" w:hAnsi="Arial" w:cs="Arial"/>
                <w:b/>
                <w:bCs/>
              </w:rPr>
              <w:t>PI</w:t>
            </w:r>
          </w:p>
        </w:tc>
      </w:tr>
      <w:tr w:rsidR="0078225F" w:rsidRPr="0078225F" w14:paraId="2DA19028" w14:textId="77777777">
        <w:trPr>
          <w:tblCellSpacing w:w="15" w:type="dxa"/>
        </w:trPr>
        <w:tc>
          <w:tcPr>
            <w:tcW w:w="0" w:type="auto"/>
            <w:vAlign w:val="center"/>
            <w:hideMark/>
          </w:tcPr>
          <w:p w14:paraId="50F65421" w14:textId="77777777" w:rsidR="0078225F" w:rsidRPr="0078225F" w:rsidRDefault="0078225F" w:rsidP="004D6422">
            <w:pPr>
              <w:spacing w:line="360" w:lineRule="auto"/>
              <w:rPr>
                <w:rFonts w:ascii="Arial" w:hAnsi="Arial" w:cs="Arial"/>
              </w:rPr>
            </w:pPr>
            <w:r w:rsidRPr="0078225F">
              <w:rPr>
                <w:rFonts w:ascii="Arial" w:hAnsi="Arial" w:cs="Arial"/>
              </w:rPr>
              <w:t>A</w:t>
            </w:r>
          </w:p>
        </w:tc>
        <w:tc>
          <w:tcPr>
            <w:tcW w:w="0" w:type="auto"/>
            <w:vAlign w:val="center"/>
            <w:hideMark/>
          </w:tcPr>
          <w:p w14:paraId="15064C15" w14:textId="4CBE89FF"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1.03</w:t>
            </w:r>
          </w:p>
        </w:tc>
      </w:tr>
      <w:tr w:rsidR="0078225F" w:rsidRPr="0078225F" w14:paraId="4DAFB653" w14:textId="77777777">
        <w:trPr>
          <w:tblCellSpacing w:w="15" w:type="dxa"/>
        </w:trPr>
        <w:tc>
          <w:tcPr>
            <w:tcW w:w="0" w:type="auto"/>
            <w:vAlign w:val="center"/>
            <w:hideMark/>
          </w:tcPr>
          <w:p w14:paraId="2A240FCC" w14:textId="77777777" w:rsidR="0078225F" w:rsidRPr="0078225F" w:rsidRDefault="0078225F" w:rsidP="004D6422">
            <w:pPr>
              <w:spacing w:line="360" w:lineRule="auto"/>
              <w:rPr>
                <w:rFonts w:ascii="Arial" w:hAnsi="Arial" w:cs="Arial"/>
              </w:rPr>
            </w:pPr>
            <w:r w:rsidRPr="0078225F">
              <w:rPr>
                <w:rFonts w:ascii="Arial" w:hAnsi="Arial" w:cs="Arial"/>
              </w:rPr>
              <w:t>B</w:t>
            </w:r>
          </w:p>
        </w:tc>
        <w:tc>
          <w:tcPr>
            <w:tcW w:w="0" w:type="auto"/>
            <w:vAlign w:val="center"/>
            <w:hideMark/>
          </w:tcPr>
          <w:p w14:paraId="447EC09A" w14:textId="37261FD6"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0.76</w:t>
            </w:r>
          </w:p>
        </w:tc>
      </w:tr>
      <w:tr w:rsidR="0078225F" w:rsidRPr="0078225F" w14:paraId="3B075FA4" w14:textId="77777777">
        <w:trPr>
          <w:tblCellSpacing w:w="15" w:type="dxa"/>
        </w:trPr>
        <w:tc>
          <w:tcPr>
            <w:tcW w:w="0" w:type="auto"/>
            <w:vAlign w:val="center"/>
            <w:hideMark/>
          </w:tcPr>
          <w:p w14:paraId="68F27AF2" w14:textId="77777777" w:rsidR="0078225F" w:rsidRPr="0078225F" w:rsidRDefault="0078225F" w:rsidP="004D6422">
            <w:pPr>
              <w:spacing w:line="360" w:lineRule="auto"/>
              <w:rPr>
                <w:rFonts w:ascii="Arial" w:hAnsi="Arial" w:cs="Arial"/>
              </w:rPr>
            </w:pPr>
            <w:r w:rsidRPr="0078225F">
              <w:rPr>
                <w:rFonts w:ascii="Arial" w:hAnsi="Arial" w:cs="Arial"/>
              </w:rPr>
              <w:t>C</w:t>
            </w:r>
          </w:p>
        </w:tc>
        <w:tc>
          <w:tcPr>
            <w:tcW w:w="0" w:type="auto"/>
            <w:vAlign w:val="center"/>
            <w:hideMark/>
          </w:tcPr>
          <w:p w14:paraId="39638C3A" w14:textId="4980F35D"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1.08</w:t>
            </w:r>
          </w:p>
        </w:tc>
      </w:tr>
    </w:tbl>
    <w:p w14:paraId="0E95D508" w14:textId="77777777" w:rsidR="0078225F" w:rsidRPr="0078225F" w:rsidRDefault="0078225F" w:rsidP="004D6422">
      <w:pPr>
        <w:spacing w:line="360" w:lineRule="auto"/>
        <w:rPr>
          <w:rFonts w:ascii="Arial" w:hAnsi="Arial" w:cs="Arial"/>
          <w:b/>
          <w:bCs/>
        </w:rPr>
      </w:pPr>
      <w:r w:rsidRPr="0078225F">
        <w:rPr>
          <w:rFonts w:ascii="Arial" w:hAnsi="Arial" w:cs="Arial"/>
          <w:b/>
          <w:bCs/>
        </w:rPr>
        <w:t>D5. Internal Rate of Return (IRR)</w:t>
      </w:r>
    </w:p>
    <w:p w14:paraId="251A42BD" w14:textId="77777777" w:rsidR="0078225F" w:rsidRPr="0078225F" w:rsidRDefault="0078225F" w:rsidP="004D6422">
      <w:pPr>
        <w:spacing w:line="360" w:lineRule="auto"/>
        <w:rPr>
          <w:rFonts w:ascii="Arial" w:hAnsi="Arial" w:cs="Arial"/>
        </w:rPr>
      </w:pPr>
      <w:r w:rsidRPr="0078225F">
        <w:rPr>
          <w:rFonts w:ascii="Arial" w:hAnsi="Arial" w:cs="Arial"/>
        </w:rPr>
        <w:t>Calculated using trial-and-error around discount rates.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9"/>
        <w:gridCol w:w="889"/>
      </w:tblGrid>
      <w:tr w:rsidR="0078225F" w:rsidRPr="0078225F" w14:paraId="38BFC405" w14:textId="77777777">
        <w:trPr>
          <w:tblHeader/>
          <w:tblCellSpacing w:w="15" w:type="dxa"/>
        </w:trPr>
        <w:tc>
          <w:tcPr>
            <w:tcW w:w="0" w:type="auto"/>
            <w:vAlign w:val="center"/>
            <w:hideMark/>
          </w:tcPr>
          <w:p w14:paraId="7B7F144A" w14:textId="77777777" w:rsidR="0078225F" w:rsidRPr="0078225F" w:rsidRDefault="0078225F" w:rsidP="004D6422">
            <w:pPr>
              <w:spacing w:line="360" w:lineRule="auto"/>
              <w:rPr>
                <w:rFonts w:ascii="Arial" w:hAnsi="Arial" w:cs="Arial"/>
                <w:b/>
                <w:bCs/>
              </w:rPr>
            </w:pPr>
            <w:r w:rsidRPr="0078225F">
              <w:rPr>
                <w:rFonts w:ascii="Arial" w:hAnsi="Arial" w:cs="Arial"/>
                <w:b/>
                <w:bCs/>
              </w:rPr>
              <w:t>Project</w:t>
            </w:r>
          </w:p>
        </w:tc>
        <w:tc>
          <w:tcPr>
            <w:tcW w:w="0" w:type="auto"/>
            <w:vAlign w:val="center"/>
            <w:hideMark/>
          </w:tcPr>
          <w:p w14:paraId="553A4D99" w14:textId="6E09EBA3" w:rsidR="0078225F" w:rsidRPr="0078225F" w:rsidRDefault="0078225F" w:rsidP="004D6422">
            <w:pPr>
              <w:spacing w:line="360" w:lineRule="auto"/>
              <w:rPr>
                <w:rFonts w:ascii="Arial" w:hAnsi="Arial" w:cs="Arial"/>
                <w:b/>
                <w:bCs/>
              </w:rPr>
            </w:pPr>
            <w:r w:rsidRPr="004D6422">
              <w:rPr>
                <w:rFonts w:ascii="Arial" w:hAnsi="Arial" w:cs="Arial"/>
                <w:b/>
                <w:bCs/>
              </w:rPr>
              <w:t xml:space="preserve">  </w:t>
            </w:r>
            <w:r w:rsidRPr="0078225F">
              <w:rPr>
                <w:rFonts w:ascii="Arial" w:hAnsi="Arial" w:cs="Arial"/>
                <w:b/>
                <w:bCs/>
              </w:rPr>
              <w:t>IRR</w:t>
            </w:r>
          </w:p>
        </w:tc>
      </w:tr>
      <w:tr w:rsidR="0078225F" w:rsidRPr="0078225F" w14:paraId="07936772" w14:textId="77777777">
        <w:trPr>
          <w:tblCellSpacing w:w="15" w:type="dxa"/>
        </w:trPr>
        <w:tc>
          <w:tcPr>
            <w:tcW w:w="0" w:type="auto"/>
            <w:vAlign w:val="center"/>
            <w:hideMark/>
          </w:tcPr>
          <w:p w14:paraId="2FCFBAB3" w14:textId="77777777" w:rsidR="0078225F" w:rsidRPr="0078225F" w:rsidRDefault="0078225F" w:rsidP="004D6422">
            <w:pPr>
              <w:spacing w:line="360" w:lineRule="auto"/>
              <w:rPr>
                <w:rFonts w:ascii="Arial" w:hAnsi="Arial" w:cs="Arial"/>
              </w:rPr>
            </w:pPr>
            <w:r w:rsidRPr="0078225F">
              <w:rPr>
                <w:rFonts w:ascii="Arial" w:hAnsi="Arial" w:cs="Arial"/>
              </w:rPr>
              <w:t>A</w:t>
            </w:r>
          </w:p>
        </w:tc>
        <w:tc>
          <w:tcPr>
            <w:tcW w:w="0" w:type="auto"/>
            <w:vAlign w:val="center"/>
            <w:hideMark/>
          </w:tcPr>
          <w:p w14:paraId="4F3A386C" w14:textId="1345D562"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11.3%</w:t>
            </w:r>
          </w:p>
        </w:tc>
      </w:tr>
      <w:tr w:rsidR="0078225F" w:rsidRPr="0078225F" w14:paraId="1EE49A35" w14:textId="77777777">
        <w:trPr>
          <w:tblCellSpacing w:w="15" w:type="dxa"/>
        </w:trPr>
        <w:tc>
          <w:tcPr>
            <w:tcW w:w="0" w:type="auto"/>
            <w:vAlign w:val="center"/>
            <w:hideMark/>
          </w:tcPr>
          <w:p w14:paraId="3CF43C95" w14:textId="77777777" w:rsidR="0078225F" w:rsidRPr="0078225F" w:rsidRDefault="0078225F" w:rsidP="004D6422">
            <w:pPr>
              <w:spacing w:line="360" w:lineRule="auto"/>
              <w:rPr>
                <w:rFonts w:ascii="Arial" w:hAnsi="Arial" w:cs="Arial"/>
              </w:rPr>
            </w:pPr>
            <w:r w:rsidRPr="0078225F">
              <w:rPr>
                <w:rFonts w:ascii="Arial" w:hAnsi="Arial" w:cs="Arial"/>
              </w:rPr>
              <w:t>B</w:t>
            </w:r>
          </w:p>
        </w:tc>
        <w:tc>
          <w:tcPr>
            <w:tcW w:w="0" w:type="auto"/>
            <w:vAlign w:val="center"/>
            <w:hideMark/>
          </w:tcPr>
          <w:p w14:paraId="00C4F481" w14:textId="25610515"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0</w:t>
            </w:r>
            <w:r w:rsidR="00C24F7E">
              <w:rPr>
                <w:rFonts w:ascii="Arial" w:hAnsi="Arial" w:cs="Arial"/>
              </w:rPr>
              <w:t>-</w:t>
            </w:r>
            <w:r w:rsidRPr="0078225F">
              <w:rPr>
                <w:rFonts w:ascii="Arial" w:hAnsi="Arial" w:cs="Arial"/>
              </w:rPr>
              <w:t>2%</w:t>
            </w:r>
          </w:p>
        </w:tc>
      </w:tr>
      <w:tr w:rsidR="0078225F" w:rsidRPr="0078225F" w14:paraId="1A92FC6B" w14:textId="77777777">
        <w:trPr>
          <w:tblCellSpacing w:w="15" w:type="dxa"/>
        </w:trPr>
        <w:tc>
          <w:tcPr>
            <w:tcW w:w="0" w:type="auto"/>
            <w:vAlign w:val="center"/>
            <w:hideMark/>
          </w:tcPr>
          <w:p w14:paraId="42FCB693" w14:textId="77777777" w:rsidR="0078225F" w:rsidRPr="0078225F" w:rsidRDefault="0078225F" w:rsidP="004D6422">
            <w:pPr>
              <w:spacing w:line="360" w:lineRule="auto"/>
              <w:rPr>
                <w:rFonts w:ascii="Arial" w:hAnsi="Arial" w:cs="Arial"/>
              </w:rPr>
            </w:pPr>
            <w:r w:rsidRPr="0078225F">
              <w:rPr>
                <w:rFonts w:ascii="Arial" w:hAnsi="Arial" w:cs="Arial"/>
              </w:rPr>
              <w:t>C</w:t>
            </w:r>
          </w:p>
        </w:tc>
        <w:tc>
          <w:tcPr>
            <w:tcW w:w="0" w:type="auto"/>
            <w:vAlign w:val="center"/>
            <w:hideMark/>
          </w:tcPr>
          <w:p w14:paraId="73F50A24" w14:textId="759A0217" w:rsidR="0078225F" w:rsidRPr="0078225F" w:rsidRDefault="0078225F" w:rsidP="004D6422">
            <w:pPr>
              <w:spacing w:line="360" w:lineRule="auto"/>
              <w:rPr>
                <w:rFonts w:ascii="Arial" w:hAnsi="Arial" w:cs="Arial"/>
              </w:rPr>
            </w:pPr>
            <w:r w:rsidRPr="004D6422">
              <w:rPr>
                <w:rFonts w:ascii="Arial" w:hAnsi="Arial" w:cs="Arial"/>
              </w:rPr>
              <w:t xml:space="preserve">  </w:t>
            </w:r>
            <w:r w:rsidRPr="0078225F">
              <w:rPr>
                <w:rFonts w:ascii="Arial" w:hAnsi="Arial" w:cs="Arial"/>
              </w:rPr>
              <w:t>12.7%</w:t>
            </w:r>
          </w:p>
        </w:tc>
      </w:tr>
    </w:tbl>
    <w:p w14:paraId="6E9E3BED" w14:textId="77777777" w:rsidR="0078225F" w:rsidRPr="0078225F" w:rsidRDefault="0078225F" w:rsidP="004D6422">
      <w:pPr>
        <w:spacing w:line="360" w:lineRule="auto"/>
        <w:rPr>
          <w:rFonts w:ascii="Arial" w:hAnsi="Arial" w:cs="Arial"/>
          <w:b/>
          <w:bCs/>
        </w:rPr>
      </w:pPr>
      <w:r w:rsidRPr="0078225F">
        <w:rPr>
          <w:rFonts w:ascii="Arial" w:hAnsi="Arial" w:cs="Arial"/>
          <w:b/>
          <w:bCs/>
        </w:rPr>
        <w:t>D6. Final Summary Table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049"/>
        <w:gridCol w:w="1105"/>
        <w:gridCol w:w="1114"/>
        <w:gridCol w:w="1129"/>
      </w:tblGrid>
      <w:tr w:rsidR="0078225F" w:rsidRPr="0078225F" w14:paraId="437FEA02" w14:textId="77777777">
        <w:trPr>
          <w:tblHeader/>
          <w:tblCellSpacing w:w="15" w:type="dxa"/>
        </w:trPr>
        <w:tc>
          <w:tcPr>
            <w:tcW w:w="0" w:type="auto"/>
            <w:vAlign w:val="center"/>
            <w:hideMark/>
          </w:tcPr>
          <w:p w14:paraId="476DEA02" w14:textId="77777777" w:rsidR="0078225F" w:rsidRPr="0078225F" w:rsidRDefault="0078225F" w:rsidP="004D6422">
            <w:pPr>
              <w:spacing w:line="360" w:lineRule="auto"/>
              <w:rPr>
                <w:rFonts w:ascii="Arial" w:hAnsi="Arial" w:cs="Arial"/>
                <w:b/>
                <w:bCs/>
              </w:rPr>
            </w:pPr>
            <w:r w:rsidRPr="0078225F">
              <w:rPr>
                <w:rFonts w:ascii="Arial" w:hAnsi="Arial" w:cs="Arial"/>
                <w:b/>
                <w:bCs/>
              </w:rPr>
              <w:t>Measure</w:t>
            </w:r>
          </w:p>
        </w:tc>
        <w:tc>
          <w:tcPr>
            <w:tcW w:w="0" w:type="auto"/>
            <w:vAlign w:val="center"/>
            <w:hideMark/>
          </w:tcPr>
          <w:p w14:paraId="5EB732C1" w14:textId="77777777" w:rsidR="0078225F" w:rsidRPr="0078225F" w:rsidRDefault="0078225F" w:rsidP="004D6422">
            <w:pPr>
              <w:spacing w:line="360" w:lineRule="auto"/>
              <w:rPr>
                <w:rFonts w:ascii="Arial" w:hAnsi="Arial" w:cs="Arial"/>
                <w:b/>
                <w:bCs/>
              </w:rPr>
            </w:pPr>
            <w:r w:rsidRPr="0078225F">
              <w:rPr>
                <w:rFonts w:ascii="Arial" w:hAnsi="Arial" w:cs="Arial"/>
                <w:b/>
                <w:bCs/>
              </w:rPr>
              <w:t>Project A</w:t>
            </w:r>
          </w:p>
        </w:tc>
        <w:tc>
          <w:tcPr>
            <w:tcW w:w="0" w:type="auto"/>
            <w:vAlign w:val="center"/>
            <w:hideMark/>
          </w:tcPr>
          <w:p w14:paraId="352302C3" w14:textId="77777777" w:rsidR="0078225F" w:rsidRPr="0078225F" w:rsidRDefault="0078225F" w:rsidP="004D6422">
            <w:pPr>
              <w:spacing w:line="360" w:lineRule="auto"/>
              <w:rPr>
                <w:rFonts w:ascii="Arial" w:hAnsi="Arial" w:cs="Arial"/>
                <w:b/>
                <w:bCs/>
              </w:rPr>
            </w:pPr>
            <w:r w:rsidRPr="0078225F">
              <w:rPr>
                <w:rFonts w:ascii="Arial" w:hAnsi="Arial" w:cs="Arial"/>
                <w:b/>
                <w:bCs/>
              </w:rPr>
              <w:t>Project B</w:t>
            </w:r>
          </w:p>
        </w:tc>
        <w:tc>
          <w:tcPr>
            <w:tcW w:w="0" w:type="auto"/>
            <w:vAlign w:val="center"/>
            <w:hideMark/>
          </w:tcPr>
          <w:p w14:paraId="1B2DB4DB" w14:textId="77777777" w:rsidR="0078225F" w:rsidRPr="0078225F" w:rsidRDefault="0078225F" w:rsidP="004D6422">
            <w:pPr>
              <w:spacing w:line="360" w:lineRule="auto"/>
              <w:rPr>
                <w:rFonts w:ascii="Arial" w:hAnsi="Arial" w:cs="Arial"/>
                <w:b/>
                <w:bCs/>
              </w:rPr>
            </w:pPr>
            <w:r w:rsidRPr="0078225F">
              <w:rPr>
                <w:rFonts w:ascii="Arial" w:hAnsi="Arial" w:cs="Arial"/>
                <w:b/>
                <w:bCs/>
              </w:rPr>
              <w:t>Project C</w:t>
            </w:r>
          </w:p>
        </w:tc>
      </w:tr>
      <w:tr w:rsidR="0078225F" w:rsidRPr="0078225F" w14:paraId="2438B41F" w14:textId="77777777">
        <w:trPr>
          <w:tblCellSpacing w:w="15" w:type="dxa"/>
        </w:trPr>
        <w:tc>
          <w:tcPr>
            <w:tcW w:w="0" w:type="auto"/>
            <w:vAlign w:val="center"/>
            <w:hideMark/>
          </w:tcPr>
          <w:p w14:paraId="1D412E43" w14:textId="77777777" w:rsidR="0078225F" w:rsidRPr="0078225F" w:rsidRDefault="0078225F" w:rsidP="004D6422">
            <w:pPr>
              <w:spacing w:line="360" w:lineRule="auto"/>
              <w:rPr>
                <w:rFonts w:ascii="Arial" w:hAnsi="Arial" w:cs="Arial"/>
              </w:rPr>
            </w:pPr>
            <w:r w:rsidRPr="0078225F">
              <w:rPr>
                <w:rFonts w:ascii="Arial" w:hAnsi="Arial" w:cs="Arial"/>
              </w:rPr>
              <w:t>NPV</w:t>
            </w:r>
          </w:p>
        </w:tc>
        <w:tc>
          <w:tcPr>
            <w:tcW w:w="0" w:type="auto"/>
            <w:vAlign w:val="center"/>
            <w:hideMark/>
          </w:tcPr>
          <w:p w14:paraId="68988A84" w14:textId="77777777" w:rsidR="0078225F" w:rsidRPr="0078225F" w:rsidRDefault="0078225F" w:rsidP="004D6422">
            <w:pPr>
              <w:spacing w:line="360" w:lineRule="auto"/>
              <w:rPr>
                <w:rFonts w:ascii="Arial" w:hAnsi="Arial" w:cs="Arial"/>
              </w:rPr>
            </w:pPr>
            <w:r w:rsidRPr="0078225F">
              <w:rPr>
                <w:rFonts w:ascii="Arial" w:hAnsi="Arial" w:cs="Arial"/>
              </w:rPr>
              <w:t>£1.33m</w:t>
            </w:r>
          </w:p>
        </w:tc>
        <w:tc>
          <w:tcPr>
            <w:tcW w:w="0" w:type="auto"/>
            <w:vAlign w:val="center"/>
            <w:hideMark/>
          </w:tcPr>
          <w:p w14:paraId="3F06E36A" w14:textId="7F3452FD" w:rsidR="0078225F" w:rsidRPr="0078225F" w:rsidRDefault="00C24F7E" w:rsidP="004D6422">
            <w:pPr>
              <w:spacing w:line="360" w:lineRule="auto"/>
              <w:rPr>
                <w:rFonts w:ascii="Arial" w:hAnsi="Arial" w:cs="Arial"/>
              </w:rPr>
            </w:pPr>
            <w:r>
              <w:rPr>
                <w:rFonts w:ascii="Arial" w:hAnsi="Arial" w:cs="Arial"/>
              </w:rPr>
              <w:t>-</w:t>
            </w:r>
            <w:r w:rsidR="0078225F" w:rsidRPr="0078225F">
              <w:rPr>
                <w:rFonts w:ascii="Arial" w:hAnsi="Arial" w:cs="Arial"/>
              </w:rPr>
              <w:t>£7.30m</w:t>
            </w:r>
          </w:p>
        </w:tc>
        <w:tc>
          <w:tcPr>
            <w:tcW w:w="0" w:type="auto"/>
            <w:vAlign w:val="center"/>
            <w:hideMark/>
          </w:tcPr>
          <w:p w14:paraId="064F1DD9" w14:textId="77777777" w:rsidR="0078225F" w:rsidRPr="0078225F" w:rsidRDefault="0078225F" w:rsidP="004D6422">
            <w:pPr>
              <w:spacing w:line="360" w:lineRule="auto"/>
              <w:rPr>
                <w:rFonts w:ascii="Arial" w:hAnsi="Arial" w:cs="Arial"/>
              </w:rPr>
            </w:pPr>
            <w:r w:rsidRPr="0078225F">
              <w:rPr>
                <w:rFonts w:ascii="Arial" w:hAnsi="Arial" w:cs="Arial"/>
              </w:rPr>
              <w:t>£4.22m</w:t>
            </w:r>
          </w:p>
        </w:tc>
      </w:tr>
      <w:tr w:rsidR="0078225F" w:rsidRPr="0078225F" w14:paraId="4040EF9C" w14:textId="77777777">
        <w:trPr>
          <w:tblCellSpacing w:w="15" w:type="dxa"/>
        </w:trPr>
        <w:tc>
          <w:tcPr>
            <w:tcW w:w="0" w:type="auto"/>
            <w:vAlign w:val="center"/>
            <w:hideMark/>
          </w:tcPr>
          <w:p w14:paraId="2E62DC22" w14:textId="77777777" w:rsidR="0078225F" w:rsidRPr="0078225F" w:rsidRDefault="0078225F" w:rsidP="004D6422">
            <w:pPr>
              <w:spacing w:line="360" w:lineRule="auto"/>
              <w:rPr>
                <w:rFonts w:ascii="Arial" w:hAnsi="Arial" w:cs="Arial"/>
              </w:rPr>
            </w:pPr>
            <w:r w:rsidRPr="0078225F">
              <w:rPr>
                <w:rFonts w:ascii="Arial" w:hAnsi="Arial" w:cs="Arial"/>
              </w:rPr>
              <w:t>IRR</w:t>
            </w:r>
          </w:p>
        </w:tc>
        <w:tc>
          <w:tcPr>
            <w:tcW w:w="0" w:type="auto"/>
            <w:vAlign w:val="center"/>
            <w:hideMark/>
          </w:tcPr>
          <w:p w14:paraId="21A3DA26" w14:textId="77777777" w:rsidR="0078225F" w:rsidRPr="0078225F" w:rsidRDefault="0078225F" w:rsidP="004D6422">
            <w:pPr>
              <w:spacing w:line="360" w:lineRule="auto"/>
              <w:rPr>
                <w:rFonts w:ascii="Arial" w:hAnsi="Arial" w:cs="Arial"/>
              </w:rPr>
            </w:pPr>
            <w:r w:rsidRPr="0078225F">
              <w:rPr>
                <w:rFonts w:ascii="Arial" w:hAnsi="Arial" w:cs="Arial"/>
              </w:rPr>
              <w:t>11.3%</w:t>
            </w:r>
          </w:p>
        </w:tc>
        <w:tc>
          <w:tcPr>
            <w:tcW w:w="0" w:type="auto"/>
            <w:vAlign w:val="center"/>
            <w:hideMark/>
          </w:tcPr>
          <w:p w14:paraId="25F49675" w14:textId="3910181D" w:rsidR="0078225F" w:rsidRPr="0078225F" w:rsidRDefault="0078225F" w:rsidP="004D6422">
            <w:pPr>
              <w:spacing w:line="360" w:lineRule="auto"/>
              <w:rPr>
                <w:rFonts w:ascii="Arial" w:hAnsi="Arial" w:cs="Arial"/>
              </w:rPr>
            </w:pPr>
            <w:r w:rsidRPr="0078225F">
              <w:rPr>
                <w:rFonts w:ascii="Arial" w:hAnsi="Arial" w:cs="Arial"/>
              </w:rPr>
              <w:t>0</w:t>
            </w:r>
            <w:r w:rsidR="00C24F7E">
              <w:rPr>
                <w:rFonts w:ascii="Arial" w:hAnsi="Arial" w:cs="Arial"/>
              </w:rPr>
              <w:t>-</w:t>
            </w:r>
            <w:r w:rsidRPr="0078225F">
              <w:rPr>
                <w:rFonts w:ascii="Arial" w:hAnsi="Arial" w:cs="Arial"/>
              </w:rPr>
              <w:t>2%</w:t>
            </w:r>
          </w:p>
        </w:tc>
        <w:tc>
          <w:tcPr>
            <w:tcW w:w="0" w:type="auto"/>
            <w:vAlign w:val="center"/>
            <w:hideMark/>
          </w:tcPr>
          <w:p w14:paraId="333CD840" w14:textId="77777777" w:rsidR="0078225F" w:rsidRPr="0078225F" w:rsidRDefault="0078225F" w:rsidP="004D6422">
            <w:pPr>
              <w:spacing w:line="360" w:lineRule="auto"/>
              <w:rPr>
                <w:rFonts w:ascii="Arial" w:hAnsi="Arial" w:cs="Arial"/>
              </w:rPr>
            </w:pPr>
            <w:r w:rsidRPr="0078225F">
              <w:rPr>
                <w:rFonts w:ascii="Arial" w:hAnsi="Arial" w:cs="Arial"/>
              </w:rPr>
              <w:t>12.7%</w:t>
            </w:r>
          </w:p>
        </w:tc>
      </w:tr>
      <w:tr w:rsidR="0078225F" w:rsidRPr="0078225F" w14:paraId="64036028" w14:textId="77777777">
        <w:trPr>
          <w:tblCellSpacing w:w="15" w:type="dxa"/>
        </w:trPr>
        <w:tc>
          <w:tcPr>
            <w:tcW w:w="0" w:type="auto"/>
            <w:vAlign w:val="center"/>
            <w:hideMark/>
          </w:tcPr>
          <w:p w14:paraId="1634FDC7" w14:textId="77777777" w:rsidR="0078225F" w:rsidRPr="0078225F" w:rsidRDefault="0078225F" w:rsidP="004D6422">
            <w:pPr>
              <w:spacing w:line="360" w:lineRule="auto"/>
              <w:rPr>
                <w:rFonts w:ascii="Arial" w:hAnsi="Arial" w:cs="Arial"/>
              </w:rPr>
            </w:pPr>
            <w:r w:rsidRPr="0078225F">
              <w:rPr>
                <w:rFonts w:ascii="Arial" w:hAnsi="Arial" w:cs="Arial"/>
              </w:rPr>
              <w:t>Payback</w:t>
            </w:r>
          </w:p>
        </w:tc>
        <w:tc>
          <w:tcPr>
            <w:tcW w:w="0" w:type="auto"/>
            <w:vAlign w:val="center"/>
            <w:hideMark/>
          </w:tcPr>
          <w:p w14:paraId="09F8876C" w14:textId="77777777" w:rsidR="0078225F" w:rsidRPr="0078225F" w:rsidRDefault="0078225F" w:rsidP="004D6422">
            <w:pPr>
              <w:spacing w:line="360" w:lineRule="auto"/>
              <w:rPr>
                <w:rFonts w:ascii="Arial" w:hAnsi="Arial" w:cs="Arial"/>
              </w:rPr>
            </w:pPr>
            <w:r w:rsidRPr="0078225F">
              <w:rPr>
                <w:rFonts w:ascii="Arial" w:hAnsi="Arial" w:cs="Arial"/>
              </w:rPr>
              <w:t>3.4 years</w:t>
            </w:r>
          </w:p>
        </w:tc>
        <w:tc>
          <w:tcPr>
            <w:tcW w:w="0" w:type="auto"/>
            <w:vAlign w:val="center"/>
            <w:hideMark/>
          </w:tcPr>
          <w:p w14:paraId="1E7002B1" w14:textId="77777777" w:rsidR="0078225F" w:rsidRPr="0078225F" w:rsidRDefault="0078225F" w:rsidP="004D6422">
            <w:pPr>
              <w:spacing w:line="360" w:lineRule="auto"/>
              <w:rPr>
                <w:rFonts w:ascii="Arial" w:hAnsi="Arial" w:cs="Arial"/>
              </w:rPr>
            </w:pPr>
            <w:r w:rsidRPr="0078225F">
              <w:rPr>
                <w:rFonts w:ascii="Arial" w:hAnsi="Arial" w:cs="Arial"/>
              </w:rPr>
              <w:t>5.0 years</w:t>
            </w:r>
          </w:p>
        </w:tc>
        <w:tc>
          <w:tcPr>
            <w:tcW w:w="0" w:type="auto"/>
            <w:vAlign w:val="center"/>
            <w:hideMark/>
          </w:tcPr>
          <w:p w14:paraId="4A240C94" w14:textId="77777777" w:rsidR="0078225F" w:rsidRPr="0078225F" w:rsidRDefault="0078225F" w:rsidP="004D6422">
            <w:pPr>
              <w:spacing w:line="360" w:lineRule="auto"/>
              <w:rPr>
                <w:rFonts w:ascii="Arial" w:hAnsi="Arial" w:cs="Arial"/>
              </w:rPr>
            </w:pPr>
            <w:r w:rsidRPr="0078225F">
              <w:rPr>
                <w:rFonts w:ascii="Arial" w:hAnsi="Arial" w:cs="Arial"/>
              </w:rPr>
              <w:t>3.6 years</w:t>
            </w:r>
          </w:p>
        </w:tc>
      </w:tr>
      <w:tr w:rsidR="0078225F" w:rsidRPr="0078225F" w14:paraId="6BE563B1" w14:textId="77777777">
        <w:trPr>
          <w:tblCellSpacing w:w="15" w:type="dxa"/>
        </w:trPr>
        <w:tc>
          <w:tcPr>
            <w:tcW w:w="0" w:type="auto"/>
            <w:vAlign w:val="center"/>
            <w:hideMark/>
          </w:tcPr>
          <w:p w14:paraId="708CC8ED" w14:textId="77777777" w:rsidR="0078225F" w:rsidRPr="0078225F" w:rsidRDefault="0078225F" w:rsidP="004D6422">
            <w:pPr>
              <w:spacing w:line="360" w:lineRule="auto"/>
              <w:rPr>
                <w:rFonts w:ascii="Arial" w:hAnsi="Arial" w:cs="Arial"/>
              </w:rPr>
            </w:pPr>
            <w:r w:rsidRPr="0078225F">
              <w:rPr>
                <w:rFonts w:ascii="Arial" w:hAnsi="Arial" w:cs="Arial"/>
              </w:rPr>
              <w:lastRenderedPageBreak/>
              <w:t>ARR</w:t>
            </w:r>
          </w:p>
        </w:tc>
        <w:tc>
          <w:tcPr>
            <w:tcW w:w="0" w:type="auto"/>
            <w:vAlign w:val="center"/>
            <w:hideMark/>
          </w:tcPr>
          <w:p w14:paraId="6405299A" w14:textId="77777777" w:rsidR="0078225F" w:rsidRPr="0078225F" w:rsidRDefault="0078225F" w:rsidP="004D6422">
            <w:pPr>
              <w:spacing w:line="360" w:lineRule="auto"/>
              <w:rPr>
                <w:rFonts w:ascii="Arial" w:hAnsi="Arial" w:cs="Arial"/>
              </w:rPr>
            </w:pPr>
            <w:r w:rsidRPr="0078225F">
              <w:rPr>
                <w:rFonts w:ascii="Arial" w:hAnsi="Arial" w:cs="Arial"/>
              </w:rPr>
              <w:t>7%</w:t>
            </w:r>
          </w:p>
        </w:tc>
        <w:tc>
          <w:tcPr>
            <w:tcW w:w="0" w:type="auto"/>
            <w:vAlign w:val="center"/>
            <w:hideMark/>
          </w:tcPr>
          <w:p w14:paraId="3519DC60" w14:textId="77777777" w:rsidR="0078225F" w:rsidRPr="0078225F" w:rsidRDefault="0078225F" w:rsidP="004D6422">
            <w:pPr>
              <w:spacing w:line="360" w:lineRule="auto"/>
              <w:rPr>
                <w:rFonts w:ascii="Arial" w:hAnsi="Arial" w:cs="Arial"/>
              </w:rPr>
            </w:pPr>
            <w:r w:rsidRPr="0078225F">
              <w:rPr>
                <w:rFonts w:ascii="Arial" w:hAnsi="Arial" w:cs="Arial"/>
              </w:rPr>
              <w:t>0%</w:t>
            </w:r>
          </w:p>
        </w:tc>
        <w:tc>
          <w:tcPr>
            <w:tcW w:w="0" w:type="auto"/>
            <w:vAlign w:val="center"/>
            <w:hideMark/>
          </w:tcPr>
          <w:p w14:paraId="3C282A23" w14:textId="77777777" w:rsidR="0078225F" w:rsidRPr="0078225F" w:rsidRDefault="0078225F" w:rsidP="004D6422">
            <w:pPr>
              <w:spacing w:line="360" w:lineRule="auto"/>
              <w:rPr>
                <w:rFonts w:ascii="Arial" w:hAnsi="Arial" w:cs="Arial"/>
              </w:rPr>
            </w:pPr>
            <w:r w:rsidRPr="0078225F">
              <w:rPr>
                <w:rFonts w:ascii="Arial" w:hAnsi="Arial" w:cs="Arial"/>
              </w:rPr>
              <w:t>10%</w:t>
            </w:r>
          </w:p>
        </w:tc>
      </w:tr>
      <w:tr w:rsidR="0078225F" w:rsidRPr="0078225F" w14:paraId="4A70F520" w14:textId="77777777">
        <w:trPr>
          <w:tblCellSpacing w:w="15" w:type="dxa"/>
        </w:trPr>
        <w:tc>
          <w:tcPr>
            <w:tcW w:w="0" w:type="auto"/>
            <w:vAlign w:val="center"/>
            <w:hideMark/>
          </w:tcPr>
          <w:p w14:paraId="5A2E7B7B" w14:textId="77777777" w:rsidR="0078225F" w:rsidRPr="0078225F" w:rsidRDefault="0078225F" w:rsidP="004D6422">
            <w:pPr>
              <w:spacing w:line="360" w:lineRule="auto"/>
              <w:rPr>
                <w:rFonts w:ascii="Arial" w:hAnsi="Arial" w:cs="Arial"/>
              </w:rPr>
            </w:pPr>
            <w:r w:rsidRPr="0078225F">
              <w:rPr>
                <w:rFonts w:ascii="Arial" w:hAnsi="Arial" w:cs="Arial"/>
              </w:rPr>
              <w:t>PI</w:t>
            </w:r>
          </w:p>
        </w:tc>
        <w:tc>
          <w:tcPr>
            <w:tcW w:w="0" w:type="auto"/>
            <w:vAlign w:val="center"/>
            <w:hideMark/>
          </w:tcPr>
          <w:p w14:paraId="4443F307" w14:textId="77777777" w:rsidR="0078225F" w:rsidRPr="0078225F" w:rsidRDefault="0078225F" w:rsidP="004D6422">
            <w:pPr>
              <w:spacing w:line="360" w:lineRule="auto"/>
              <w:rPr>
                <w:rFonts w:ascii="Arial" w:hAnsi="Arial" w:cs="Arial"/>
              </w:rPr>
            </w:pPr>
            <w:r w:rsidRPr="0078225F">
              <w:rPr>
                <w:rFonts w:ascii="Arial" w:hAnsi="Arial" w:cs="Arial"/>
              </w:rPr>
              <w:t>1.03</w:t>
            </w:r>
          </w:p>
        </w:tc>
        <w:tc>
          <w:tcPr>
            <w:tcW w:w="0" w:type="auto"/>
            <w:vAlign w:val="center"/>
            <w:hideMark/>
          </w:tcPr>
          <w:p w14:paraId="7DCF291C" w14:textId="77777777" w:rsidR="0078225F" w:rsidRPr="0078225F" w:rsidRDefault="0078225F" w:rsidP="004D6422">
            <w:pPr>
              <w:spacing w:line="360" w:lineRule="auto"/>
              <w:rPr>
                <w:rFonts w:ascii="Arial" w:hAnsi="Arial" w:cs="Arial"/>
              </w:rPr>
            </w:pPr>
            <w:r w:rsidRPr="0078225F">
              <w:rPr>
                <w:rFonts w:ascii="Arial" w:hAnsi="Arial" w:cs="Arial"/>
              </w:rPr>
              <w:t>0.76</w:t>
            </w:r>
          </w:p>
        </w:tc>
        <w:tc>
          <w:tcPr>
            <w:tcW w:w="0" w:type="auto"/>
            <w:vAlign w:val="center"/>
            <w:hideMark/>
          </w:tcPr>
          <w:p w14:paraId="0F6901A6" w14:textId="77777777" w:rsidR="0078225F" w:rsidRPr="0078225F" w:rsidRDefault="0078225F" w:rsidP="004D6422">
            <w:pPr>
              <w:spacing w:line="360" w:lineRule="auto"/>
              <w:rPr>
                <w:rFonts w:ascii="Arial" w:hAnsi="Arial" w:cs="Arial"/>
              </w:rPr>
            </w:pPr>
            <w:r w:rsidRPr="0078225F">
              <w:rPr>
                <w:rFonts w:ascii="Arial" w:hAnsi="Arial" w:cs="Arial"/>
              </w:rPr>
              <w:t>1.08</w:t>
            </w:r>
          </w:p>
        </w:tc>
      </w:tr>
    </w:tbl>
    <w:p w14:paraId="6A78B2D3" w14:textId="40451A63" w:rsidR="0078225F" w:rsidRPr="0078225F" w:rsidRDefault="0078225F" w:rsidP="004D6422">
      <w:pPr>
        <w:spacing w:line="360" w:lineRule="auto"/>
        <w:rPr>
          <w:rFonts w:ascii="Arial" w:hAnsi="Arial" w:cs="Arial"/>
        </w:rPr>
      </w:pPr>
      <w:r w:rsidRPr="0078225F">
        <w:rPr>
          <w:rFonts w:ascii="Arial" w:hAnsi="Arial" w:cs="Arial"/>
          <w:b/>
          <w:bCs/>
        </w:rPr>
        <w:t>Final Recommendation: Project C only</w:t>
      </w:r>
    </w:p>
    <w:p w14:paraId="4D7F25DB" w14:textId="77777777" w:rsidR="0078225F" w:rsidRPr="0078225F" w:rsidRDefault="0078225F" w:rsidP="004D6422">
      <w:pPr>
        <w:spacing w:line="360" w:lineRule="auto"/>
        <w:rPr>
          <w:rFonts w:ascii="Arial" w:hAnsi="Arial" w:cs="Arial"/>
        </w:rPr>
      </w:pPr>
    </w:p>
    <w:p w14:paraId="375B7E12" w14:textId="77777777" w:rsidR="0078225F" w:rsidRPr="0078225F" w:rsidRDefault="0078225F" w:rsidP="004D6422">
      <w:pPr>
        <w:spacing w:line="360" w:lineRule="auto"/>
        <w:rPr>
          <w:rFonts w:ascii="Arial" w:hAnsi="Arial" w:cs="Arial"/>
        </w:rPr>
      </w:pPr>
    </w:p>
    <w:p w14:paraId="596567A1" w14:textId="77777777" w:rsidR="00EF50DF" w:rsidRPr="004D6422" w:rsidRDefault="00EF50DF" w:rsidP="004D6422">
      <w:pPr>
        <w:spacing w:line="360" w:lineRule="auto"/>
        <w:rPr>
          <w:rFonts w:ascii="Arial" w:hAnsi="Arial" w:cs="Arial"/>
        </w:rPr>
      </w:pPr>
    </w:p>
    <w:sectPr w:rsidR="00EF50DF" w:rsidRPr="004D64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8E3300"/>
    <w:multiLevelType w:val="multilevel"/>
    <w:tmpl w:val="A7420D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ED3014"/>
    <w:multiLevelType w:val="multilevel"/>
    <w:tmpl w:val="74E4B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652DA3"/>
    <w:multiLevelType w:val="hybridMultilevel"/>
    <w:tmpl w:val="556A1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5000CF"/>
    <w:multiLevelType w:val="multilevel"/>
    <w:tmpl w:val="637E7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772250">
    <w:abstractNumId w:val="2"/>
  </w:num>
  <w:num w:numId="2" w16cid:durableId="554969339">
    <w:abstractNumId w:val="1"/>
  </w:num>
  <w:num w:numId="3" w16cid:durableId="2125028455">
    <w:abstractNumId w:val="0"/>
  </w:num>
  <w:num w:numId="4" w16cid:durableId="81973739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08FE"/>
    <w:rsid w:val="00166FED"/>
    <w:rsid w:val="002F03EB"/>
    <w:rsid w:val="004D6422"/>
    <w:rsid w:val="00555EC9"/>
    <w:rsid w:val="006F7CE6"/>
    <w:rsid w:val="00775F47"/>
    <w:rsid w:val="0078225F"/>
    <w:rsid w:val="00873B5C"/>
    <w:rsid w:val="00935FDE"/>
    <w:rsid w:val="009A4905"/>
    <w:rsid w:val="009B732A"/>
    <w:rsid w:val="009D08FE"/>
    <w:rsid w:val="00C24F7E"/>
    <w:rsid w:val="00D203C7"/>
    <w:rsid w:val="00EF50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56C6EB"/>
  <w15:chartTrackingRefBased/>
  <w15:docId w15:val="{54BF5607-AC7F-43A6-95DE-FE32AC7AB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08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D08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08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08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08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08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08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08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08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08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D08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08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08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08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08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08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08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08FE"/>
    <w:rPr>
      <w:rFonts w:eastAsiaTheme="majorEastAsia" w:cstheme="majorBidi"/>
      <w:color w:val="272727" w:themeColor="text1" w:themeTint="D8"/>
    </w:rPr>
  </w:style>
  <w:style w:type="paragraph" w:styleId="Title">
    <w:name w:val="Title"/>
    <w:basedOn w:val="Normal"/>
    <w:next w:val="Normal"/>
    <w:link w:val="TitleChar"/>
    <w:uiPriority w:val="10"/>
    <w:qFormat/>
    <w:rsid w:val="009D08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08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08FE"/>
    <w:pPr>
      <w:numPr>
        <w:ilvl w:val="1"/>
      </w:numPr>
    </w:pPr>
    <w:rPr>
      <w:rFonts w:eastAsiaTheme="majorEastAsia" w:cstheme="majorBidi"/>
      <w:color w:val="000000" w:themeColor="text1"/>
      <w:spacing w:val="15"/>
      <w:sz w:val="28"/>
      <w:szCs w:val="28"/>
    </w:rPr>
  </w:style>
  <w:style w:type="character" w:customStyle="1" w:styleId="SubtitleChar">
    <w:name w:val="Subtitle Char"/>
    <w:basedOn w:val="DefaultParagraphFont"/>
    <w:link w:val="Subtitle"/>
    <w:uiPriority w:val="11"/>
    <w:rsid w:val="009D08FE"/>
    <w:rPr>
      <w:rFonts w:eastAsiaTheme="majorEastAsia" w:cstheme="majorBidi"/>
      <w:color w:val="000000" w:themeColor="text1"/>
      <w:spacing w:val="15"/>
      <w:sz w:val="28"/>
      <w:szCs w:val="28"/>
    </w:rPr>
  </w:style>
  <w:style w:type="paragraph" w:styleId="Quote">
    <w:name w:val="Quote"/>
    <w:basedOn w:val="Normal"/>
    <w:next w:val="Normal"/>
    <w:link w:val="QuoteChar"/>
    <w:uiPriority w:val="29"/>
    <w:qFormat/>
    <w:rsid w:val="009D08FE"/>
    <w:pPr>
      <w:spacing w:before="160"/>
      <w:jc w:val="center"/>
    </w:pPr>
    <w:rPr>
      <w:i/>
      <w:iCs/>
      <w:color w:val="000000" w:themeColor="text1"/>
    </w:rPr>
  </w:style>
  <w:style w:type="character" w:customStyle="1" w:styleId="QuoteChar">
    <w:name w:val="Quote Char"/>
    <w:basedOn w:val="DefaultParagraphFont"/>
    <w:link w:val="Quote"/>
    <w:uiPriority w:val="29"/>
    <w:rsid w:val="009D08FE"/>
    <w:rPr>
      <w:i/>
      <w:iCs/>
      <w:color w:val="000000" w:themeColor="text1"/>
    </w:rPr>
  </w:style>
  <w:style w:type="paragraph" w:styleId="ListParagraph">
    <w:name w:val="List Paragraph"/>
    <w:basedOn w:val="Normal"/>
    <w:uiPriority w:val="34"/>
    <w:qFormat/>
    <w:rsid w:val="009D08FE"/>
    <w:pPr>
      <w:ind w:left="720"/>
      <w:contextualSpacing/>
    </w:pPr>
  </w:style>
  <w:style w:type="character" w:styleId="IntenseEmphasis">
    <w:name w:val="Intense Emphasis"/>
    <w:basedOn w:val="DefaultParagraphFont"/>
    <w:uiPriority w:val="21"/>
    <w:qFormat/>
    <w:rsid w:val="009D08FE"/>
    <w:rPr>
      <w:i/>
      <w:iCs/>
      <w:color w:val="0F4761" w:themeColor="accent1" w:themeShade="BF"/>
    </w:rPr>
  </w:style>
  <w:style w:type="paragraph" w:styleId="IntenseQuote">
    <w:name w:val="Intense Quote"/>
    <w:basedOn w:val="Normal"/>
    <w:next w:val="Normal"/>
    <w:link w:val="IntenseQuoteChar"/>
    <w:uiPriority w:val="30"/>
    <w:qFormat/>
    <w:rsid w:val="009D08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08FE"/>
    <w:rPr>
      <w:i/>
      <w:iCs/>
      <w:color w:val="0F4761" w:themeColor="accent1" w:themeShade="BF"/>
    </w:rPr>
  </w:style>
  <w:style w:type="character" w:styleId="IntenseReference">
    <w:name w:val="Intense Reference"/>
    <w:basedOn w:val="DefaultParagraphFont"/>
    <w:uiPriority w:val="32"/>
    <w:qFormat/>
    <w:rsid w:val="009D08FE"/>
    <w:rPr>
      <w:b/>
      <w:bCs/>
      <w:smallCaps/>
      <w:color w:val="0F4761" w:themeColor="accent1" w:themeShade="BF"/>
      <w:spacing w:val="5"/>
    </w:rPr>
  </w:style>
  <w:style w:type="paragraph" w:styleId="NoSpacing">
    <w:name w:val="No Spacing"/>
    <w:uiPriority w:val="1"/>
    <w:qFormat/>
    <w:rsid w:val="004D6422"/>
    <w:pPr>
      <w:spacing w:after="0" w:line="240" w:lineRule="auto"/>
    </w:pPr>
  </w:style>
  <w:style w:type="paragraph" w:styleId="TOCHeading">
    <w:name w:val="TOC Heading"/>
    <w:basedOn w:val="Heading1"/>
    <w:next w:val="Normal"/>
    <w:uiPriority w:val="39"/>
    <w:unhideWhenUsed/>
    <w:qFormat/>
    <w:rsid w:val="004D642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D6422"/>
    <w:pPr>
      <w:spacing w:after="100"/>
    </w:pPr>
  </w:style>
  <w:style w:type="paragraph" w:styleId="TOC2">
    <w:name w:val="toc 2"/>
    <w:basedOn w:val="Normal"/>
    <w:next w:val="Normal"/>
    <w:autoRedefine/>
    <w:uiPriority w:val="39"/>
    <w:unhideWhenUsed/>
    <w:rsid w:val="004D6422"/>
    <w:pPr>
      <w:spacing w:after="100"/>
      <w:ind w:left="240"/>
    </w:pPr>
  </w:style>
  <w:style w:type="character" w:styleId="Hyperlink">
    <w:name w:val="Hyperlink"/>
    <w:basedOn w:val="DefaultParagraphFont"/>
    <w:uiPriority w:val="99"/>
    <w:unhideWhenUsed/>
    <w:rsid w:val="004D642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517A38-C009-4798-9A91-9EDF0F2031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TotalTime>
  <Pages>31</Pages>
  <Words>5849</Words>
  <Characters>42059</Characters>
  <Application>Microsoft Office Word</Application>
  <DocSecurity>0</DocSecurity>
  <Lines>764</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Dragos Rosu</dc:creator>
  <cp:keywords/>
  <dc:description/>
  <cp:lastModifiedBy>Dragos Rosu</cp:lastModifiedBy>
  <cp:revision>12</cp:revision>
  <dcterms:created xsi:type="dcterms:W3CDTF">2025-11-24T10:28:00Z</dcterms:created>
  <dcterms:modified xsi:type="dcterms:W3CDTF">2025-11-24T11:40:00Z</dcterms:modified>
</cp:coreProperties>
</file>