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46428" w14:textId="52F2F383" w:rsidR="002D1D75" w:rsidRDefault="002D1D75">
      <w:pPr>
        <w:rPr>
          <w:b/>
          <w:bCs/>
          <w:u w:val="single"/>
        </w:rPr>
      </w:pPr>
      <w:r w:rsidRPr="002D1D75">
        <w:rPr>
          <w:b/>
          <w:bCs/>
          <w:u w:val="single"/>
        </w:rPr>
        <w:t xml:space="preserve">Ancestors, Death and Burial Presentation Notes </w:t>
      </w:r>
    </w:p>
    <w:p w14:paraId="16E5DE83" w14:textId="447FC3C3" w:rsidR="002D1D75" w:rsidRDefault="00FB28AA">
      <w:pPr>
        <w:rPr>
          <w:b/>
          <w:bCs/>
          <w:u w:val="single"/>
        </w:rPr>
      </w:pPr>
      <w:r>
        <w:rPr>
          <w:b/>
          <w:bCs/>
          <w:u w:val="single"/>
        </w:rPr>
        <w:t>Slide 1</w:t>
      </w:r>
    </w:p>
    <w:p w14:paraId="3BDD0760" w14:textId="1E46B575" w:rsidR="00FB28AA" w:rsidRDefault="00FB28AA" w:rsidP="00FB28AA">
      <w:pPr>
        <w:pStyle w:val="ListParagraph"/>
        <w:numPr>
          <w:ilvl w:val="0"/>
          <w:numId w:val="1"/>
        </w:numPr>
      </w:pPr>
      <w:r>
        <w:t xml:space="preserve">Introduce lecture, state name, student number and non use of AI </w:t>
      </w:r>
    </w:p>
    <w:p w14:paraId="793CB683" w14:textId="68821D4F" w:rsidR="00FB28AA" w:rsidRPr="00FB28AA" w:rsidRDefault="00FB28AA" w:rsidP="00FB28AA">
      <w:pPr>
        <w:pStyle w:val="ListParagraph"/>
        <w:numPr>
          <w:ilvl w:val="0"/>
          <w:numId w:val="1"/>
        </w:numPr>
      </w:pPr>
      <w:r>
        <w:t>Location, focus point, article presents these as a clear precedent for the expected outcomes</w:t>
      </w:r>
    </w:p>
    <w:p w14:paraId="52C9AE35" w14:textId="1FC9A070" w:rsidR="00FB28AA" w:rsidRDefault="00FB28AA">
      <w:pPr>
        <w:rPr>
          <w:b/>
          <w:bCs/>
          <w:u w:val="single"/>
        </w:rPr>
      </w:pPr>
      <w:r>
        <w:rPr>
          <w:b/>
          <w:bCs/>
          <w:u w:val="single"/>
        </w:rPr>
        <w:t>Slide 2</w:t>
      </w:r>
    </w:p>
    <w:p w14:paraId="5EFBE718" w14:textId="391FCDD2" w:rsidR="00FB28AA" w:rsidRDefault="00FB28AA" w:rsidP="00FB28AA">
      <w:pPr>
        <w:pStyle w:val="ListParagraph"/>
        <w:numPr>
          <w:ilvl w:val="0"/>
          <w:numId w:val="1"/>
        </w:numPr>
      </w:pPr>
      <w:r>
        <w:t>Author herself</w:t>
      </w:r>
    </w:p>
    <w:p w14:paraId="541EB460" w14:textId="5249C3BC" w:rsidR="00FB28AA" w:rsidRDefault="00FB28AA" w:rsidP="00FB28AA">
      <w:pPr>
        <w:pStyle w:val="ListParagraph"/>
        <w:numPr>
          <w:ilvl w:val="0"/>
          <w:numId w:val="1"/>
        </w:numPr>
      </w:pPr>
      <w:r>
        <w:t>Accreddited as a skilled Cypriot archaeologist</w:t>
      </w:r>
    </w:p>
    <w:p w14:paraId="21352174" w14:textId="5D61D85F" w:rsidR="00FB28AA" w:rsidRPr="00FB28AA" w:rsidRDefault="00FB28AA" w:rsidP="00FB28AA">
      <w:pPr>
        <w:pStyle w:val="ListParagraph"/>
        <w:numPr>
          <w:ilvl w:val="0"/>
          <w:numId w:val="1"/>
        </w:numPr>
      </w:pPr>
      <w:r>
        <w:t>Extensive work with the Queensland Abbey Museum, cataloguing their Cypriote collections</w:t>
      </w:r>
    </w:p>
    <w:p w14:paraId="09BEB978" w14:textId="6BA5AE84" w:rsidR="00FB28AA" w:rsidRDefault="00FB28AA">
      <w:pPr>
        <w:rPr>
          <w:b/>
          <w:bCs/>
          <w:u w:val="single"/>
        </w:rPr>
      </w:pPr>
      <w:r>
        <w:rPr>
          <w:b/>
          <w:bCs/>
          <w:u w:val="single"/>
        </w:rPr>
        <w:t>Slide 3</w:t>
      </w:r>
    </w:p>
    <w:p w14:paraId="00ECB133" w14:textId="64EC3F39" w:rsidR="00D1527E" w:rsidRDefault="00D1527E" w:rsidP="00D1527E">
      <w:pPr>
        <w:pStyle w:val="ListParagraph"/>
        <w:numPr>
          <w:ilvl w:val="0"/>
          <w:numId w:val="1"/>
        </w:numPr>
      </w:pPr>
      <w:r w:rsidRPr="00D1527E">
        <w:t xml:space="preserve">Intra vs Inter, within a single group, vs between two or more groups. In this context, this would be the variation of ritual practise across Cypriot regions </w:t>
      </w:r>
    </w:p>
    <w:p w14:paraId="51993DCF" w14:textId="2497E10F" w:rsidR="00D1527E" w:rsidRDefault="00D1527E" w:rsidP="00D1527E">
      <w:pPr>
        <w:pStyle w:val="ListParagraph"/>
        <w:numPr>
          <w:ilvl w:val="0"/>
          <w:numId w:val="1"/>
        </w:numPr>
      </w:pPr>
      <w:r>
        <w:t xml:space="preserve">Article is restricted to the Cypriot Bronze Age, but does not limit to one half or specific time frame. Allows a very effective use of the chronology to assess evolution of practises </w:t>
      </w:r>
    </w:p>
    <w:p w14:paraId="10C5815E" w14:textId="549F7987" w:rsidR="00860A6A" w:rsidRDefault="00860A6A" w:rsidP="00D1527E">
      <w:pPr>
        <w:pStyle w:val="ListParagraph"/>
        <w:numPr>
          <w:ilvl w:val="0"/>
          <w:numId w:val="1"/>
        </w:numPr>
      </w:pPr>
      <w:r>
        <w:t xml:space="preserve">Clear definitions, makes itself very clear </w:t>
      </w:r>
    </w:p>
    <w:p w14:paraId="5736CC6C" w14:textId="7AC988AC" w:rsidR="00860A6A" w:rsidRDefault="00860A6A" w:rsidP="00D1527E">
      <w:pPr>
        <w:pStyle w:val="ListParagraph"/>
        <w:numPr>
          <w:ilvl w:val="0"/>
          <w:numId w:val="1"/>
        </w:numPr>
      </w:pPr>
      <w:r>
        <w:t>D</w:t>
      </w:r>
      <w:r w:rsidRPr="00860A6A">
        <w:t>istinguish between mortuary ritual and ancestor cults</w:t>
      </w:r>
      <w:r>
        <w:t>, authors words</w:t>
      </w:r>
    </w:p>
    <w:p w14:paraId="66A6FD93" w14:textId="0DA3E3A5" w:rsidR="00D1527E" w:rsidRDefault="00745CFA" w:rsidP="00D1527E">
      <w:pPr>
        <w:pStyle w:val="ListParagraph"/>
        <w:numPr>
          <w:ilvl w:val="0"/>
          <w:numId w:val="1"/>
        </w:numPr>
      </w:pPr>
      <w:r>
        <w:t xml:space="preserve">Start of article states nonexistence of excavations of North Sites, but continues on to speak of North sites – lack of clarity here </w:t>
      </w:r>
    </w:p>
    <w:p w14:paraId="39EE9269" w14:textId="1BC3F947" w:rsidR="008D457C" w:rsidRPr="00D1527E" w:rsidRDefault="008D457C" w:rsidP="00D1527E">
      <w:pPr>
        <w:pStyle w:val="ListParagraph"/>
        <w:numPr>
          <w:ilvl w:val="0"/>
          <w:numId w:val="1"/>
        </w:numPr>
      </w:pPr>
      <w:r>
        <w:t xml:space="preserve">#There is very little, if any, new information brought in by web, her work seems to be more a collaboration and collation of previous works with references top the excavations done initially. It may help to further knowledge by helpfully collating it, but this article does not introduce any new concepts to the reader if they have already studied any of the named citations </w:t>
      </w:r>
    </w:p>
    <w:p w14:paraId="0A376784" w14:textId="3216D2BF" w:rsidR="00FB28AA" w:rsidRDefault="00FB28AA">
      <w:pPr>
        <w:rPr>
          <w:b/>
          <w:bCs/>
          <w:u w:val="single"/>
        </w:rPr>
      </w:pPr>
      <w:r>
        <w:rPr>
          <w:b/>
          <w:bCs/>
          <w:u w:val="single"/>
        </w:rPr>
        <w:t>Slide 4</w:t>
      </w:r>
    </w:p>
    <w:p w14:paraId="49AE76F4" w14:textId="6CF7FFAB" w:rsidR="00D1527E" w:rsidRDefault="00D1527E" w:rsidP="00D1527E">
      <w:pPr>
        <w:pStyle w:val="ListParagraph"/>
        <w:numPr>
          <w:ilvl w:val="0"/>
          <w:numId w:val="1"/>
        </w:numPr>
      </w:pPr>
      <w:r>
        <w:t xml:space="preserve">Up top date references, with the article published in 2019, but the variety in the citations also shows cross-connection of Webb to others in the field, including Louise Steel </w:t>
      </w:r>
    </w:p>
    <w:p w14:paraId="5D4B9046" w14:textId="286346B5" w:rsidR="00276F5A" w:rsidRPr="00D1527E" w:rsidRDefault="00276F5A" w:rsidP="00D1527E">
      <w:pPr>
        <w:pStyle w:val="ListParagraph"/>
        <w:numPr>
          <w:ilvl w:val="0"/>
          <w:numId w:val="1"/>
        </w:numPr>
      </w:pPr>
      <w:r>
        <w:t>Both acknowledgement and active debate with previous authors and different approaches,  such as Baxevani’s implication of standardisation and uniformity within Cypriot cemeteries in order to mask social or economic disparities (shown to be false, especially in the case of the North Coast)</w:t>
      </w:r>
    </w:p>
    <w:p w14:paraId="7BD21C96" w14:textId="59B1098D" w:rsidR="00FB28AA" w:rsidRDefault="00FB28AA">
      <w:pPr>
        <w:rPr>
          <w:b/>
          <w:bCs/>
          <w:u w:val="single"/>
        </w:rPr>
      </w:pPr>
      <w:r>
        <w:rPr>
          <w:b/>
          <w:bCs/>
          <w:u w:val="single"/>
        </w:rPr>
        <w:t>Slide 5</w:t>
      </w:r>
    </w:p>
    <w:p w14:paraId="64057F18" w14:textId="58421685" w:rsidR="00860A6A" w:rsidRDefault="00860A6A" w:rsidP="00860A6A">
      <w:pPr>
        <w:pStyle w:val="ListParagraph"/>
        <w:numPr>
          <w:ilvl w:val="0"/>
          <w:numId w:val="1"/>
        </w:numPr>
      </w:pPr>
      <w:r>
        <w:lastRenderedPageBreak/>
        <w:t>W</w:t>
      </w:r>
      <w:r w:rsidRPr="00860A6A">
        <w:t>e should not assume a distinction in the agency of either people or objects in funerary versus non-funerary settings or that ancestralising practices were exclusively associated with mortuary space</w:t>
      </w:r>
    </w:p>
    <w:p w14:paraId="5387C14E" w14:textId="1803D09B" w:rsidR="00860A6A" w:rsidRDefault="00860A6A" w:rsidP="00860A6A">
      <w:pPr>
        <w:pStyle w:val="ListParagraph"/>
        <w:numPr>
          <w:ilvl w:val="0"/>
          <w:numId w:val="1"/>
        </w:numPr>
      </w:pPr>
      <w:r>
        <w:t xml:space="preserve">Excavations are almost non-existent in regards to burial practise </w:t>
      </w:r>
      <w:r w:rsidR="00D306F8">
        <w:t xml:space="preserve">on the North Coast, author acknowledges this limitation with included citations to Knapp, showing an awareness of the limitations of reliance on an archaeological record to gain a complete image </w:t>
      </w:r>
    </w:p>
    <w:p w14:paraId="271143E9" w14:textId="769816FC" w:rsidR="00D306F8" w:rsidRDefault="00D306F8" w:rsidP="00860A6A">
      <w:pPr>
        <w:pStyle w:val="ListParagraph"/>
        <w:numPr>
          <w:ilvl w:val="0"/>
          <w:numId w:val="1"/>
        </w:numPr>
      </w:pPr>
      <w:r>
        <w:t xml:space="preserve">Pottery found on the site is indicative of ritual use given its unique complexity, offers the reader an additional visual image of the pottery in order to see this complexity, while noting it is not the typical everyday pottery seen in Cyprus in the Early Bronze Age I and II </w:t>
      </w:r>
    </w:p>
    <w:p w14:paraId="40832C33" w14:textId="10572FA3" w:rsidR="00D306F8" w:rsidRDefault="00D306F8" w:rsidP="00860A6A">
      <w:pPr>
        <w:pStyle w:val="ListParagraph"/>
        <w:numPr>
          <w:ilvl w:val="0"/>
          <w:numId w:val="1"/>
        </w:numPr>
      </w:pPr>
      <w:r>
        <w:t>Suggests to the audience that high value goods play a role in the ritual practises surrounding funerals</w:t>
      </w:r>
    </w:p>
    <w:p w14:paraId="3C826ADF" w14:textId="437F5CE1" w:rsidR="00D306F8" w:rsidRDefault="00D306F8" w:rsidP="00860A6A">
      <w:pPr>
        <w:pStyle w:val="ListParagraph"/>
        <w:numPr>
          <w:ilvl w:val="0"/>
          <w:numId w:val="1"/>
        </w:numPr>
      </w:pPr>
      <w:r>
        <w:t xml:space="preserve">Movement of bodies and bones from the graves suggest second burial practises, which may further imply a strict ordered custom to the treatment of the dead indicative of a ritual funeral practise </w:t>
      </w:r>
    </w:p>
    <w:p w14:paraId="7F27EFD6" w14:textId="06976363" w:rsidR="00EA0790" w:rsidRDefault="00EA0790" w:rsidP="00860A6A">
      <w:pPr>
        <w:pStyle w:val="ListParagraph"/>
        <w:numPr>
          <w:ilvl w:val="0"/>
          <w:numId w:val="1"/>
        </w:numPr>
      </w:pPr>
      <w:r>
        <w:t xml:space="preserve">The comparison of sites also helps to answer the topical of discontinuity through showing differing customs between more northern and southern sites, such as the volume of tulip pots found at Vounous A in comparison to |North Coast sites, which lack both quality and quantity of pottery. Using studies such as this helps to highlight differences, as well as demonstrate a variety and prove the article’s argument of socio discrepancies </w:t>
      </w:r>
    </w:p>
    <w:p w14:paraId="1A5DC98F" w14:textId="50A9FE13" w:rsidR="00745CFA" w:rsidRDefault="00745CFA" w:rsidP="00860A6A">
      <w:pPr>
        <w:pStyle w:val="ListParagraph"/>
        <w:numPr>
          <w:ilvl w:val="0"/>
          <w:numId w:val="1"/>
        </w:numPr>
      </w:pPr>
      <w:r>
        <w:t xml:space="preserve">Exercise of leadership and indicator of social disparity, and goods such as the spearheads found at Vounous suggest both inter relations regarding warfare, hunting and acquisition of high value material </w:t>
      </w:r>
    </w:p>
    <w:p w14:paraId="637BB7CD" w14:textId="103CA0F3" w:rsidR="00134897" w:rsidRDefault="00134897" w:rsidP="00860A6A">
      <w:pPr>
        <w:pStyle w:val="ListParagraph"/>
        <w:numPr>
          <w:ilvl w:val="0"/>
          <w:numId w:val="1"/>
        </w:numPr>
      </w:pPr>
      <w:r w:rsidRPr="00134897">
        <w:t>Regional entities on Cyprus in EC I–II represent not just spatial discontinuities in material culture but substantive social, behavioural and ritual ‘boundaries’ and a seemingly different set of relationships between artefacts, agency and sacred space at least in the mortuary domain</w:t>
      </w:r>
    </w:p>
    <w:p w14:paraId="232F9CEC" w14:textId="7BBE6793" w:rsidR="00AE64E2" w:rsidRPr="00860A6A" w:rsidRDefault="00AE64E2" w:rsidP="00AE64E2">
      <w:pPr>
        <w:pStyle w:val="ListParagraph"/>
      </w:pPr>
    </w:p>
    <w:p w14:paraId="5900AF77" w14:textId="58648627" w:rsidR="00FB28AA" w:rsidRDefault="00FB28AA">
      <w:pPr>
        <w:rPr>
          <w:b/>
          <w:bCs/>
          <w:u w:val="single"/>
        </w:rPr>
      </w:pPr>
      <w:r>
        <w:rPr>
          <w:b/>
          <w:bCs/>
          <w:u w:val="single"/>
        </w:rPr>
        <w:t>Slide 6</w:t>
      </w:r>
    </w:p>
    <w:p w14:paraId="1A0B112F" w14:textId="137BBBA9" w:rsidR="00AE64E2" w:rsidRDefault="00AE64E2" w:rsidP="00AE64E2">
      <w:pPr>
        <w:pStyle w:val="ListParagraph"/>
        <w:numPr>
          <w:ilvl w:val="0"/>
          <w:numId w:val="1"/>
        </w:numPr>
      </w:pPr>
      <w:r>
        <w:t xml:space="preserve">Style of  </w:t>
      </w:r>
      <w:r>
        <w:t>pottery</w:t>
      </w:r>
      <w:r>
        <w:t xml:space="preserve"> and frequency of metals, 25.6% to 36% as Lapithos the southern site was excavated </w:t>
      </w:r>
    </w:p>
    <w:p w14:paraId="359EEA21" w14:textId="77777777" w:rsidR="00AE64E2" w:rsidRDefault="00AE64E2" w:rsidP="00AE64E2">
      <w:pPr>
        <w:pStyle w:val="ListParagraph"/>
        <w:numPr>
          <w:ilvl w:val="0"/>
          <w:numId w:val="1"/>
        </w:numPr>
      </w:pPr>
      <w:r>
        <w:t xml:space="preserve">Distribution of plank figures shown more variety and inter relations, while intra connections can be seen by variety of styles only within Lapithos site </w:t>
      </w:r>
    </w:p>
    <w:p w14:paraId="4A085BCD" w14:textId="40D304FB" w:rsidR="00AE64E2" w:rsidRDefault="00AE64E2" w:rsidP="00AE64E2">
      <w:pPr>
        <w:pStyle w:val="ListParagraph"/>
        <w:numPr>
          <w:ilvl w:val="0"/>
          <w:numId w:val="1"/>
        </w:numPr>
      </w:pPr>
      <w:r>
        <w:t xml:space="preserve">Use of graves and the redistribution of goods, such as frequency of meal items, bone fragments and metal objects arranged in neater pile within certain Lapithos graves suggest some post-mortem practises with the grave goods </w:t>
      </w:r>
    </w:p>
    <w:p w14:paraId="27A90018" w14:textId="7887B6E2" w:rsidR="00AE64E2" w:rsidRDefault="00AE64E2" w:rsidP="00AE64E2">
      <w:pPr>
        <w:pStyle w:val="ListParagraph"/>
        <w:numPr>
          <w:ilvl w:val="0"/>
          <w:numId w:val="1"/>
        </w:numPr>
      </w:pPr>
      <w:r>
        <w:t>Ongoing u</w:t>
      </w:r>
      <w:r w:rsidR="008D457C">
        <w:t>s</w:t>
      </w:r>
      <w:r>
        <w:t xml:space="preserve">e of a space as a ritual ancestral space rather than just a final body site </w:t>
      </w:r>
    </w:p>
    <w:p w14:paraId="69552B1A" w14:textId="0594FF8C" w:rsidR="00AE64E2" w:rsidRDefault="00AE64E2" w:rsidP="00AE64E2">
      <w:pPr>
        <w:pStyle w:val="ListParagraph"/>
        <w:numPr>
          <w:ilvl w:val="0"/>
          <w:numId w:val="1"/>
        </w:numPr>
      </w:pPr>
      <w:r>
        <w:lastRenderedPageBreak/>
        <w:t>Evidence of burning on plank figures suggest some ritual practises prior to burial</w:t>
      </w:r>
    </w:p>
    <w:p w14:paraId="196921EB" w14:textId="3F565578" w:rsidR="00AE64E2" w:rsidRDefault="00AE64E2" w:rsidP="00AE64E2">
      <w:pPr>
        <w:pStyle w:val="ListParagraph"/>
        <w:numPr>
          <w:ilvl w:val="0"/>
          <w:numId w:val="1"/>
        </w:numPr>
      </w:pPr>
      <w:r>
        <w:t xml:space="preserve">Items such as stylistically shaped vases found on both sites show inter relations and sharing of possible ritual practise, or at least what was deemed significant enough to be buried within a tomb in the Middle Cypriot II </w:t>
      </w:r>
    </w:p>
    <w:p w14:paraId="3446C547" w14:textId="77777777" w:rsidR="00AE64E2" w:rsidRDefault="00AE64E2">
      <w:pPr>
        <w:rPr>
          <w:b/>
          <w:bCs/>
          <w:u w:val="single"/>
        </w:rPr>
      </w:pPr>
    </w:p>
    <w:p w14:paraId="52EA92AF" w14:textId="24498D8E" w:rsidR="00FB28AA" w:rsidRDefault="00FB28AA">
      <w:pPr>
        <w:rPr>
          <w:b/>
          <w:bCs/>
          <w:u w:val="single"/>
        </w:rPr>
      </w:pPr>
      <w:r>
        <w:rPr>
          <w:b/>
          <w:bCs/>
          <w:u w:val="single"/>
        </w:rPr>
        <w:t>Slide 7</w:t>
      </w:r>
    </w:p>
    <w:p w14:paraId="09FFBC20" w14:textId="3EDEBFCC" w:rsidR="008D457C" w:rsidRPr="008D457C" w:rsidRDefault="008D457C" w:rsidP="008D457C">
      <w:pPr>
        <w:pStyle w:val="ListParagraph"/>
        <w:numPr>
          <w:ilvl w:val="0"/>
          <w:numId w:val="1"/>
        </w:numPr>
      </w:pPr>
      <w:r>
        <w:t xml:space="preserve">By comparing the grave goods found at both Early and Middle sites in the North and South of Cyprus, Webb aids in the research of burial practise by disproving the notion of uniformity within one country or period, showing the connections and practises potentially associated with ancestral rites, burial practises and what may be deemed a more characteristic practise in one area, see movement of bodies in Vounous </w:t>
      </w:r>
    </w:p>
    <w:p w14:paraId="37ADF446" w14:textId="77777777" w:rsidR="00B739B6" w:rsidRDefault="00B739B6">
      <w:pPr>
        <w:rPr>
          <w:b/>
          <w:bCs/>
          <w:u w:val="single"/>
        </w:rPr>
      </w:pPr>
    </w:p>
    <w:p w14:paraId="1A3457BE" w14:textId="77777777" w:rsidR="00B739B6" w:rsidRPr="002D1D75" w:rsidRDefault="00B739B6">
      <w:pPr>
        <w:rPr>
          <w:b/>
          <w:bCs/>
          <w:u w:val="single"/>
        </w:rPr>
      </w:pPr>
    </w:p>
    <w:sectPr w:rsidR="00B739B6" w:rsidRPr="002D1D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C134B"/>
    <w:multiLevelType w:val="hybridMultilevel"/>
    <w:tmpl w:val="C310F610"/>
    <w:lvl w:ilvl="0" w:tplc="69B821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5876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D75"/>
    <w:rsid w:val="00134897"/>
    <w:rsid w:val="002167DE"/>
    <w:rsid w:val="00276F5A"/>
    <w:rsid w:val="002D1D75"/>
    <w:rsid w:val="005D090C"/>
    <w:rsid w:val="005F145A"/>
    <w:rsid w:val="00745CFA"/>
    <w:rsid w:val="00860A6A"/>
    <w:rsid w:val="008D457C"/>
    <w:rsid w:val="008E4A3B"/>
    <w:rsid w:val="00AE64E2"/>
    <w:rsid w:val="00B739B6"/>
    <w:rsid w:val="00D1527E"/>
    <w:rsid w:val="00D306F8"/>
    <w:rsid w:val="00EA0790"/>
    <w:rsid w:val="00FB2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10163"/>
  <w15:chartTrackingRefBased/>
  <w15:docId w15:val="{7A665EA6-8FB7-4827-B15A-BA7D6136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D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D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D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D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D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D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D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D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D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D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D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D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D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D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D75"/>
    <w:rPr>
      <w:rFonts w:eastAsiaTheme="majorEastAsia" w:cstheme="majorBidi"/>
      <w:color w:val="272727" w:themeColor="text1" w:themeTint="D8"/>
    </w:rPr>
  </w:style>
  <w:style w:type="paragraph" w:styleId="Title">
    <w:name w:val="Title"/>
    <w:basedOn w:val="Normal"/>
    <w:next w:val="Normal"/>
    <w:link w:val="TitleChar"/>
    <w:uiPriority w:val="10"/>
    <w:qFormat/>
    <w:rsid w:val="002D1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D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D75"/>
    <w:pPr>
      <w:spacing w:before="160"/>
      <w:jc w:val="center"/>
    </w:pPr>
    <w:rPr>
      <w:i/>
      <w:iCs/>
      <w:color w:val="404040" w:themeColor="text1" w:themeTint="BF"/>
    </w:rPr>
  </w:style>
  <w:style w:type="character" w:customStyle="1" w:styleId="QuoteChar">
    <w:name w:val="Quote Char"/>
    <w:basedOn w:val="DefaultParagraphFont"/>
    <w:link w:val="Quote"/>
    <w:uiPriority w:val="29"/>
    <w:rsid w:val="002D1D75"/>
    <w:rPr>
      <w:i/>
      <w:iCs/>
      <w:color w:val="404040" w:themeColor="text1" w:themeTint="BF"/>
    </w:rPr>
  </w:style>
  <w:style w:type="paragraph" w:styleId="ListParagraph">
    <w:name w:val="List Paragraph"/>
    <w:basedOn w:val="Normal"/>
    <w:uiPriority w:val="34"/>
    <w:qFormat/>
    <w:rsid w:val="002D1D75"/>
    <w:pPr>
      <w:ind w:left="720"/>
      <w:contextualSpacing/>
    </w:pPr>
  </w:style>
  <w:style w:type="character" w:styleId="IntenseEmphasis">
    <w:name w:val="Intense Emphasis"/>
    <w:basedOn w:val="DefaultParagraphFont"/>
    <w:uiPriority w:val="21"/>
    <w:qFormat/>
    <w:rsid w:val="002D1D75"/>
    <w:rPr>
      <w:i/>
      <w:iCs/>
      <w:color w:val="0F4761" w:themeColor="accent1" w:themeShade="BF"/>
    </w:rPr>
  </w:style>
  <w:style w:type="paragraph" w:styleId="IntenseQuote">
    <w:name w:val="Intense Quote"/>
    <w:basedOn w:val="Normal"/>
    <w:next w:val="Normal"/>
    <w:link w:val="IntenseQuoteChar"/>
    <w:uiPriority w:val="30"/>
    <w:qFormat/>
    <w:rsid w:val="002D1D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D75"/>
    <w:rPr>
      <w:i/>
      <w:iCs/>
      <w:color w:val="0F4761" w:themeColor="accent1" w:themeShade="BF"/>
    </w:rPr>
  </w:style>
  <w:style w:type="character" w:styleId="IntenseReference">
    <w:name w:val="Intense Reference"/>
    <w:basedOn w:val="DefaultParagraphFont"/>
    <w:uiPriority w:val="32"/>
    <w:qFormat/>
    <w:rsid w:val="002D1D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7447EF9-9F97-42F5-A11A-7F3CD7ED0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833</Words>
  <Characters>4267</Characters>
  <Application>Microsoft Office Word</Application>
  <DocSecurity>0</DocSecurity>
  <Lines>87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Lexin Atlas Jessopp (2400788)</dc:creator>
  <cp:keywords/>
  <dc:description/>
  <cp:lastModifiedBy>Lexin Atlas Jessopp (2400788)</cp:lastModifiedBy>
  <cp:revision>5</cp:revision>
  <dcterms:created xsi:type="dcterms:W3CDTF">2026-10-16T08:53:00Z</dcterms:created>
  <dcterms:modified xsi:type="dcterms:W3CDTF">2026-10-18T21:46:00Z</dcterms:modified>
</cp:coreProperties>
</file>