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311707550"/>
        <w:docPartObj>
          <w:docPartGallery w:val="Cover Pages"/>
          <w:docPartUnique/>
        </w:docPartObj>
      </w:sdtPr>
      <w:sdtEndPr>
        <w:rPr>
          <w:rFonts w:asciiTheme="majorHAnsi" w:eastAsiaTheme="majorEastAsia" w:hAnsiTheme="majorHAnsi" w:cstheme="majorBidi"/>
          <w:caps/>
          <w:sz w:val="72"/>
          <w:szCs w:val="72"/>
        </w:rPr>
      </w:sdtEndPr>
      <w:sdtContent>
        <w:p w14:paraId="311ADC5B" w14:textId="5A4CD88B" w:rsidR="00AE1B0D" w:rsidRPr="00C9078C" w:rsidRDefault="00C9078C" w:rsidP="00C9078C">
          <w:pPr>
            <w:pStyle w:val="NoSpacing"/>
            <w:spacing w:before="1540" w:after="240"/>
            <w:jc w:val="center"/>
            <w:rPr>
              <w:rFonts w:eastAsiaTheme="minorHAnsi"/>
              <w:color w:val="156082" w:themeColor="accent1"/>
              <w:kern w:val="2"/>
              <w:lang w:eastAsia="en-US"/>
              <w14:ligatures w14:val="standardContextual"/>
            </w:rPr>
          </w:pPr>
          <w:r w:rsidRPr="007418E7">
            <w:rPr>
              <w:rFonts w:ascii="Times New Roman" w:eastAsia="Calibri" w:hAnsi="Times New Roman" w:cs="Arial"/>
              <w:noProof/>
              <w:sz w:val="24"/>
              <w:lang w:eastAsia="en-US"/>
            </w:rPr>
            <w:drawing>
              <wp:anchor distT="0" distB="0" distL="114300" distR="114300" simplePos="0" relativeHeight="251661312" behindDoc="0" locked="0" layoutInCell="1" allowOverlap="1" wp14:anchorId="25E031BA" wp14:editId="5D719414">
                <wp:simplePos x="0" y="0"/>
                <wp:positionH relativeFrom="column">
                  <wp:posOffset>1962150</wp:posOffset>
                </wp:positionH>
                <wp:positionV relativeFrom="paragraph">
                  <wp:posOffset>234315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sdt>
          <w:sdtPr>
            <w:rPr>
              <w:rFonts w:asciiTheme="majorHAnsi" w:eastAsiaTheme="majorEastAsia" w:hAnsiTheme="majorHAnsi" w:cstheme="majorBidi"/>
              <w:caps/>
              <w:color w:val="156082" w:themeColor="accent1"/>
              <w:kern w:val="2"/>
              <w:sz w:val="72"/>
              <w:szCs w:val="72"/>
              <w:lang w:eastAsia="en-US"/>
              <w14:ligatures w14:val="standardContextual"/>
            </w:rPr>
            <w:alias w:val="Title"/>
            <w:tag w:val=""/>
            <w:id w:val="1735040861"/>
            <w:placeholder>
              <w:docPart w:val="90741445F1BF4B07965047EC3CC70C85"/>
            </w:placeholder>
            <w:dataBinding w:prefixMappings="xmlns:ns0='http://purl.org/dc/elements/1.1/' xmlns:ns1='http://schemas.openxmlformats.org/package/2006/metadata/core-properties' " w:xpath="/ns1:coreProperties[1]/ns0:title[1]" w:storeItemID="{6C3C8BC8-F283-45AE-878A-BAB7291924A1}"/>
            <w:text/>
          </w:sdtPr>
          <w:sdtContent>
            <w:p w14:paraId="6E845916" w14:textId="19738CC2" w:rsidR="00AE1B0D" w:rsidRDefault="0099362C" w:rsidP="00AE1B0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kern w:val="2"/>
                  <w:sz w:val="72"/>
                  <w:szCs w:val="72"/>
                  <w:lang w:eastAsia="en-US"/>
                  <w14:ligatures w14:val="standardContextual"/>
                </w:rPr>
                <w:t>Component 2: Written Assignment (Essay)</w:t>
              </w:r>
            </w:p>
          </w:sdtContent>
        </w:sdt>
        <w:p w14:paraId="37099D2F" w14:textId="0733F4CA" w:rsidR="00F85BEC" w:rsidRDefault="00AE1B0D" w:rsidP="00D40940">
          <w:pPr>
            <w:pStyle w:val="NoSpacing"/>
            <w:rPr>
              <w:color w:val="156082" w:themeColor="accent1"/>
              <w:sz w:val="28"/>
              <w:szCs w:val="28"/>
            </w:rPr>
          </w:pPr>
          <w:r w:rsidRPr="00AE1B0D">
            <w:rPr>
              <w:color w:val="156082" w:themeColor="accent1"/>
              <w:sz w:val="28"/>
              <w:szCs w:val="28"/>
            </w:rPr>
            <w:t xml:space="preserve"> </w:t>
          </w:r>
        </w:p>
        <w:p w14:paraId="6914ECD7" w14:textId="77777777" w:rsidR="00F85BEC" w:rsidRDefault="00F85BEC" w:rsidP="00D40940">
          <w:pPr>
            <w:pStyle w:val="NoSpacing"/>
            <w:rPr>
              <w:color w:val="156082" w:themeColor="accent1"/>
              <w:sz w:val="28"/>
              <w:szCs w:val="28"/>
            </w:rPr>
          </w:pPr>
        </w:p>
        <w:p w14:paraId="2E507824" w14:textId="6C7133F4" w:rsidR="00E7739E" w:rsidRPr="00E7739E" w:rsidRDefault="00D40940" w:rsidP="00D40940">
          <w:pPr>
            <w:tabs>
              <w:tab w:val="left" w:pos="6540"/>
            </w:tabs>
            <w:spacing w:line="360" w:lineRule="auto"/>
            <w:rPr>
              <w:rFonts w:ascii="Arial" w:eastAsia="Calibri" w:hAnsi="Arial" w:cs="Arial"/>
              <w:color w:val="153D63" w:themeColor="text2" w:themeTint="E6"/>
              <w:kern w:val="0"/>
              <w:sz w:val="24"/>
              <w:szCs w:val="24"/>
              <w:lang w:val="nl-NL"/>
              <w14:ligatures w14:val="none"/>
            </w:rPr>
          </w:pPr>
          <w:r>
            <w:rPr>
              <w:rFonts w:ascii="Arial" w:eastAsia="Calibri" w:hAnsi="Arial" w:cs="Arial"/>
              <w:b/>
              <w:bCs/>
              <w:kern w:val="0"/>
              <w:sz w:val="28"/>
              <w:szCs w:val="28"/>
              <w:lang w:val="nl-NL"/>
              <w14:ligatures w14:val="none"/>
            </w:rPr>
            <w:t xml:space="preserve">                          </w:t>
          </w:r>
          <w:r w:rsidR="00E7739E" w:rsidRPr="00E7739E">
            <w:rPr>
              <w:rFonts w:ascii="Arial" w:eastAsia="Calibri" w:hAnsi="Arial" w:cs="Arial"/>
              <w:b/>
              <w:bCs/>
              <w:color w:val="153D63" w:themeColor="text2" w:themeTint="E6"/>
              <w:kern w:val="0"/>
              <w:sz w:val="24"/>
              <w:szCs w:val="24"/>
              <w:lang w:val="nl-NL"/>
              <w14:ligatures w14:val="none"/>
            </w:rPr>
            <w:t>Student name</w:t>
          </w:r>
          <w:r w:rsidR="00E7739E" w:rsidRPr="00E7739E">
            <w:rPr>
              <w:rFonts w:ascii="Arial" w:eastAsia="Calibri" w:hAnsi="Arial" w:cs="Arial"/>
              <w:color w:val="153D63" w:themeColor="text2" w:themeTint="E6"/>
              <w:kern w:val="0"/>
              <w:sz w:val="24"/>
              <w:szCs w:val="24"/>
              <w:lang w:val="nl-NL"/>
              <w14:ligatures w14:val="none"/>
            </w:rPr>
            <w:t>:</w:t>
          </w:r>
          <w:r w:rsidR="00E7739E" w:rsidRPr="00C9078C">
            <w:rPr>
              <w:rFonts w:ascii="Arial" w:eastAsia="Calibri" w:hAnsi="Arial" w:cs="Arial"/>
              <w:color w:val="153D63" w:themeColor="text2" w:themeTint="E6"/>
              <w:kern w:val="0"/>
              <w:sz w:val="24"/>
              <w:szCs w:val="24"/>
              <w:lang w:val="nl-NL"/>
              <w14:ligatures w14:val="none"/>
            </w:rPr>
            <w:t xml:space="preserve"> </w:t>
          </w:r>
          <w:r w:rsidR="00E7739E" w:rsidRPr="00C9078C">
            <w:rPr>
              <w:rFonts w:ascii="Arial" w:eastAsia="Calibri" w:hAnsi="Arial" w:cs="Arial"/>
              <w:b/>
              <w:bCs/>
              <w:color w:val="000000" w:themeColor="text1"/>
              <w:kern w:val="0"/>
              <w:sz w:val="24"/>
              <w:szCs w:val="24"/>
              <w:lang w:val="nl-NL"/>
              <w14:ligatures w14:val="none"/>
            </w:rPr>
            <w:t>Laura Gando</w:t>
          </w:r>
        </w:p>
        <w:p w14:paraId="73F3053B" w14:textId="19170DAC" w:rsidR="00E7739E" w:rsidRPr="00E7739E" w:rsidRDefault="00D40940" w:rsidP="00D40940">
          <w:pPr>
            <w:tabs>
              <w:tab w:val="left" w:pos="6540"/>
            </w:tabs>
            <w:spacing w:line="360" w:lineRule="auto"/>
            <w:rPr>
              <w:rFonts w:ascii="Arial" w:eastAsia="Calibri" w:hAnsi="Arial" w:cs="Arial"/>
              <w:color w:val="000000" w:themeColor="text1"/>
              <w:kern w:val="0"/>
              <w:sz w:val="24"/>
              <w:szCs w:val="24"/>
              <w:lang w:val="nl-NL"/>
              <w14:ligatures w14:val="none"/>
            </w:rPr>
          </w:pPr>
          <w:r w:rsidRPr="00C9078C">
            <w:rPr>
              <w:rFonts w:ascii="Arial" w:eastAsia="Calibri" w:hAnsi="Arial" w:cs="Arial"/>
              <w:b/>
              <w:bCs/>
              <w:color w:val="153D63" w:themeColor="text2" w:themeTint="E6"/>
              <w:kern w:val="0"/>
              <w:sz w:val="24"/>
              <w:szCs w:val="24"/>
              <w:lang w:val="nl-NL"/>
              <w14:ligatures w14:val="none"/>
            </w:rPr>
            <w:t xml:space="preserve">                              </w:t>
          </w:r>
          <w:r w:rsidR="00C9078C" w:rsidRPr="00C9078C">
            <w:rPr>
              <w:rFonts w:ascii="Arial" w:eastAsia="Calibri" w:hAnsi="Arial" w:cs="Arial"/>
              <w:b/>
              <w:bCs/>
              <w:color w:val="153D63" w:themeColor="text2" w:themeTint="E6"/>
              <w:kern w:val="0"/>
              <w:sz w:val="24"/>
              <w:szCs w:val="24"/>
              <w:lang w:val="nl-NL"/>
              <w14:ligatures w14:val="none"/>
            </w:rPr>
            <w:t xml:space="preserve"> </w:t>
          </w:r>
          <w:r w:rsidR="00E7739E" w:rsidRPr="00E7739E">
            <w:rPr>
              <w:rFonts w:ascii="Arial" w:eastAsia="Calibri" w:hAnsi="Arial" w:cs="Arial"/>
              <w:b/>
              <w:bCs/>
              <w:color w:val="153D63" w:themeColor="text2" w:themeTint="E6"/>
              <w:kern w:val="0"/>
              <w:sz w:val="24"/>
              <w:szCs w:val="24"/>
              <w:lang w:val="nl-NL"/>
              <w14:ligatures w14:val="none"/>
            </w:rPr>
            <w:t>Student ID</w:t>
          </w:r>
          <w:r w:rsidR="00E7739E" w:rsidRPr="00E7739E">
            <w:rPr>
              <w:rFonts w:ascii="Arial" w:eastAsia="Calibri" w:hAnsi="Arial" w:cs="Arial"/>
              <w:color w:val="153D63" w:themeColor="text2" w:themeTint="E6"/>
              <w:kern w:val="0"/>
              <w:sz w:val="24"/>
              <w:szCs w:val="24"/>
              <w:lang w:val="nl-NL"/>
              <w14:ligatures w14:val="none"/>
            </w:rPr>
            <w:t>:</w:t>
          </w:r>
          <w:r w:rsidR="00E7739E" w:rsidRPr="00C9078C">
            <w:rPr>
              <w:color w:val="153D63" w:themeColor="text2" w:themeTint="E6"/>
              <w:sz w:val="24"/>
              <w:szCs w:val="24"/>
            </w:rPr>
            <w:t xml:space="preserve"> </w:t>
          </w:r>
          <w:r w:rsidR="00E7739E" w:rsidRPr="00C9078C">
            <w:rPr>
              <w:b/>
              <w:bCs/>
              <w:color w:val="000000" w:themeColor="text1"/>
              <w:sz w:val="24"/>
              <w:szCs w:val="24"/>
            </w:rPr>
            <w:t>2428547</w:t>
          </w:r>
        </w:p>
        <w:p w14:paraId="4D1C94DB" w14:textId="5EAD7BD8" w:rsidR="00E7739E" w:rsidRPr="00E7739E" w:rsidRDefault="00D40940" w:rsidP="00D40940">
          <w:pPr>
            <w:tabs>
              <w:tab w:val="left" w:pos="6540"/>
            </w:tabs>
            <w:spacing w:line="360" w:lineRule="auto"/>
            <w:rPr>
              <w:rFonts w:ascii="Arial" w:eastAsia="Calibri" w:hAnsi="Arial" w:cs="Arial"/>
              <w:color w:val="153D63" w:themeColor="text2" w:themeTint="E6"/>
              <w:kern w:val="0"/>
              <w:sz w:val="24"/>
              <w:szCs w:val="24"/>
              <w:lang w:val="nl-NL"/>
              <w14:ligatures w14:val="none"/>
            </w:rPr>
          </w:pPr>
          <w:r w:rsidRPr="00C9078C">
            <w:rPr>
              <w:rFonts w:ascii="Arial" w:eastAsia="Calibri" w:hAnsi="Arial" w:cs="Arial"/>
              <w:b/>
              <w:bCs/>
              <w:color w:val="153D63" w:themeColor="text2" w:themeTint="E6"/>
              <w:kern w:val="0"/>
              <w:sz w:val="24"/>
              <w:szCs w:val="24"/>
              <w:lang w:val="nl-NL"/>
              <w14:ligatures w14:val="none"/>
            </w:rPr>
            <w:t xml:space="preserve">                               </w:t>
          </w:r>
          <w:r w:rsidR="00E7739E" w:rsidRPr="00E7739E">
            <w:rPr>
              <w:rFonts w:ascii="Arial" w:eastAsia="Calibri" w:hAnsi="Arial" w:cs="Arial"/>
              <w:b/>
              <w:bCs/>
              <w:color w:val="153D63" w:themeColor="text2" w:themeTint="E6"/>
              <w:kern w:val="0"/>
              <w:sz w:val="24"/>
              <w:szCs w:val="24"/>
              <w:lang w:val="nl-NL"/>
              <w14:ligatures w14:val="none"/>
            </w:rPr>
            <w:t>Module name</w:t>
          </w:r>
          <w:r w:rsidR="00E7739E" w:rsidRPr="00E7739E">
            <w:rPr>
              <w:rFonts w:ascii="Arial" w:eastAsia="Calibri" w:hAnsi="Arial" w:cs="Arial"/>
              <w:color w:val="153D63" w:themeColor="text2" w:themeTint="E6"/>
              <w:kern w:val="0"/>
              <w:sz w:val="24"/>
              <w:szCs w:val="24"/>
              <w:lang w:val="nl-NL"/>
              <w14:ligatures w14:val="none"/>
            </w:rPr>
            <w:t xml:space="preserve">: </w:t>
          </w:r>
          <w:r w:rsidR="0035299F" w:rsidRPr="00C9078C">
            <w:rPr>
              <w:b/>
              <w:bCs/>
              <w:color w:val="000000" w:themeColor="text1"/>
              <w:sz w:val="24"/>
              <w:szCs w:val="24"/>
            </w:rPr>
            <w:t>Principles of Health and Social Care Practice</w:t>
          </w:r>
        </w:p>
        <w:p w14:paraId="5C87691A" w14:textId="08F7165E" w:rsidR="00E7739E" w:rsidRPr="00E7739E" w:rsidRDefault="00D40940" w:rsidP="00D40940">
          <w:pPr>
            <w:tabs>
              <w:tab w:val="left" w:pos="6540"/>
            </w:tabs>
            <w:spacing w:line="360" w:lineRule="auto"/>
            <w:rPr>
              <w:rFonts w:ascii="Arial" w:eastAsia="Calibri" w:hAnsi="Arial" w:cs="Arial"/>
              <w:color w:val="153D63" w:themeColor="text2" w:themeTint="E6"/>
              <w:kern w:val="0"/>
              <w:sz w:val="24"/>
              <w:szCs w:val="24"/>
              <w14:ligatures w14:val="none"/>
            </w:rPr>
          </w:pPr>
          <w:r w:rsidRPr="00C9078C">
            <w:rPr>
              <w:rFonts w:ascii="Arial" w:eastAsia="Calibri" w:hAnsi="Arial" w:cs="Arial"/>
              <w:b/>
              <w:bCs/>
              <w:color w:val="153D63" w:themeColor="text2" w:themeTint="E6"/>
              <w:kern w:val="0"/>
              <w:sz w:val="24"/>
              <w:szCs w:val="24"/>
              <w14:ligatures w14:val="none"/>
            </w:rPr>
            <w:t xml:space="preserve">                               </w:t>
          </w:r>
          <w:r w:rsidR="00E7739E" w:rsidRPr="00E7739E">
            <w:rPr>
              <w:rFonts w:ascii="Arial" w:eastAsia="Calibri" w:hAnsi="Arial" w:cs="Arial"/>
              <w:b/>
              <w:bCs/>
              <w:color w:val="153D63" w:themeColor="text2" w:themeTint="E6"/>
              <w:kern w:val="0"/>
              <w:sz w:val="24"/>
              <w:szCs w:val="24"/>
              <w14:ligatures w14:val="none"/>
            </w:rPr>
            <w:t>Module code</w:t>
          </w:r>
          <w:r w:rsidR="00E7739E" w:rsidRPr="00E7739E">
            <w:rPr>
              <w:rFonts w:ascii="Arial" w:eastAsia="Calibri" w:hAnsi="Arial" w:cs="Arial"/>
              <w:color w:val="153D63" w:themeColor="text2" w:themeTint="E6"/>
              <w:kern w:val="0"/>
              <w:sz w:val="24"/>
              <w:szCs w:val="24"/>
              <w14:ligatures w14:val="none"/>
            </w:rPr>
            <w:t>:</w:t>
          </w:r>
          <w:r w:rsidR="0035299F" w:rsidRPr="00C9078C">
            <w:rPr>
              <w:b/>
              <w:bCs/>
              <w:color w:val="000000" w:themeColor="text1"/>
              <w:sz w:val="24"/>
              <w:szCs w:val="24"/>
            </w:rPr>
            <w:t xml:space="preserve"> BMHP5016</w:t>
          </w:r>
        </w:p>
        <w:p w14:paraId="51D7F897" w14:textId="3D381948" w:rsidR="00E7739E" w:rsidRPr="00E7739E" w:rsidRDefault="00FE7BAE" w:rsidP="00D40940">
          <w:pPr>
            <w:tabs>
              <w:tab w:val="left" w:pos="6540"/>
            </w:tabs>
            <w:spacing w:line="360" w:lineRule="auto"/>
            <w:rPr>
              <w:rFonts w:ascii="Arial" w:eastAsia="Calibri" w:hAnsi="Arial" w:cs="Arial"/>
              <w:color w:val="153D63" w:themeColor="text2" w:themeTint="E6"/>
              <w:kern w:val="0"/>
              <w:sz w:val="24"/>
              <w:szCs w:val="24"/>
              <w14:ligatures w14:val="none"/>
            </w:rPr>
          </w:pPr>
          <w:r w:rsidRPr="00C9078C">
            <w:rPr>
              <w:rFonts w:ascii="Arial" w:eastAsia="Calibri" w:hAnsi="Arial" w:cs="Arial"/>
              <w:b/>
              <w:bCs/>
              <w:color w:val="153D63" w:themeColor="text2" w:themeTint="E6"/>
              <w:kern w:val="0"/>
              <w:sz w:val="24"/>
              <w:szCs w:val="24"/>
              <w14:ligatures w14:val="none"/>
            </w:rPr>
            <w:t xml:space="preserve">                               </w:t>
          </w:r>
          <w:r w:rsidR="00E7739E" w:rsidRPr="00E7739E">
            <w:rPr>
              <w:rFonts w:ascii="Arial" w:eastAsia="Calibri" w:hAnsi="Arial" w:cs="Arial"/>
              <w:b/>
              <w:bCs/>
              <w:color w:val="153D63" w:themeColor="text2" w:themeTint="E6"/>
              <w:kern w:val="0"/>
              <w:sz w:val="24"/>
              <w:szCs w:val="24"/>
              <w14:ligatures w14:val="none"/>
            </w:rPr>
            <w:t xml:space="preserve">Lecturer </w:t>
          </w:r>
          <w:r w:rsidR="0035299F" w:rsidRPr="00C9078C">
            <w:rPr>
              <w:rFonts w:ascii="Arial" w:eastAsia="Calibri" w:hAnsi="Arial" w:cs="Arial"/>
              <w:b/>
              <w:bCs/>
              <w:color w:val="153D63" w:themeColor="text2" w:themeTint="E6"/>
              <w:kern w:val="0"/>
              <w:sz w:val="24"/>
              <w:szCs w:val="24"/>
              <w14:ligatures w14:val="none"/>
            </w:rPr>
            <w:t xml:space="preserve">name: </w:t>
          </w:r>
          <w:r w:rsidR="0035299F" w:rsidRPr="00C9078C">
            <w:rPr>
              <w:rFonts w:ascii="Arial" w:eastAsia="Calibri" w:hAnsi="Arial" w:cs="Arial"/>
              <w:b/>
              <w:bCs/>
              <w:color w:val="000000" w:themeColor="text1"/>
              <w:kern w:val="0"/>
              <w:sz w:val="24"/>
              <w:szCs w:val="24"/>
              <w14:ligatures w14:val="none"/>
            </w:rPr>
            <w:t>Itse</w:t>
          </w:r>
          <w:r w:rsidR="0035299F" w:rsidRPr="00C9078C">
            <w:rPr>
              <w:b/>
              <w:bCs/>
              <w:color w:val="000000" w:themeColor="text1"/>
              <w:sz w:val="24"/>
              <w:szCs w:val="24"/>
            </w:rPr>
            <w:t xml:space="preserve"> Olaoye</w:t>
          </w:r>
        </w:p>
        <w:p w14:paraId="65689324" w14:textId="77777777" w:rsidR="00E7739E" w:rsidRPr="00E7739E" w:rsidRDefault="00E7739E" w:rsidP="0035299F">
          <w:pPr>
            <w:tabs>
              <w:tab w:val="left" w:pos="6540"/>
            </w:tabs>
            <w:spacing w:line="360" w:lineRule="auto"/>
            <w:jc w:val="center"/>
            <w:rPr>
              <w:rFonts w:ascii="Arial" w:eastAsia="Calibri" w:hAnsi="Arial" w:cs="Arial"/>
              <w:kern w:val="0"/>
              <w:sz w:val="28"/>
              <w:szCs w:val="28"/>
              <w14:ligatures w14:val="none"/>
            </w:rPr>
          </w:pPr>
        </w:p>
        <w:p w14:paraId="77E1C78F" w14:textId="77777777" w:rsidR="00E7739E" w:rsidRPr="00E7739E" w:rsidRDefault="00E7739E" w:rsidP="00E7739E">
          <w:pPr>
            <w:spacing w:line="360" w:lineRule="auto"/>
            <w:rPr>
              <w:rFonts w:ascii="Times New Roman" w:eastAsia="Calibri" w:hAnsi="Times New Roman" w:cs="Arial"/>
              <w:kern w:val="0"/>
              <w:sz w:val="23"/>
              <w:szCs w:val="23"/>
              <w14:ligatures w14:val="none"/>
            </w:rPr>
          </w:pPr>
          <w:r w:rsidRPr="00E7739E">
            <w:rPr>
              <w:rFonts w:ascii="Times New Roman" w:eastAsia="Calibri" w:hAnsi="Times New Roman" w:cs="Arial"/>
              <w:kern w:val="0"/>
              <w:sz w:val="23"/>
              <w:szCs w:val="23"/>
              <w14:ligatures w14:val="none"/>
            </w:rPr>
            <w:br w:type="page"/>
          </w:r>
        </w:p>
        <w:p w14:paraId="6A40271A" w14:textId="77777777" w:rsidR="00AE1B0D" w:rsidRDefault="00AE1B0D">
          <w:pPr>
            <w:pStyle w:val="NoSpacing"/>
            <w:jc w:val="center"/>
            <w:rPr>
              <w:color w:val="156082" w:themeColor="accent1"/>
              <w:sz w:val="28"/>
              <w:szCs w:val="28"/>
            </w:rPr>
          </w:pPr>
        </w:p>
        <w:sdt>
          <w:sdtPr>
            <w:rPr>
              <w:rFonts w:asciiTheme="minorHAnsi" w:eastAsiaTheme="minorHAnsi" w:hAnsiTheme="minorHAnsi" w:cstheme="minorBidi"/>
              <w:color w:val="auto"/>
              <w:kern w:val="2"/>
              <w:sz w:val="22"/>
              <w:szCs w:val="22"/>
              <w:lang w:eastAsia="en-US"/>
              <w14:ligatures w14:val="standardContextual"/>
            </w:rPr>
            <w:id w:val="1893072540"/>
            <w:docPartObj>
              <w:docPartGallery w:val="Table of Contents"/>
              <w:docPartUnique/>
            </w:docPartObj>
          </w:sdtPr>
          <w:sdtEndPr>
            <w:rPr>
              <w:b/>
              <w:bCs/>
            </w:rPr>
          </w:sdtEndPr>
          <w:sdtContent>
            <w:p w14:paraId="614C0B20" w14:textId="357DDBEE" w:rsidR="00C9078C" w:rsidRDefault="00C9078C">
              <w:pPr>
                <w:pStyle w:val="TOCHeading"/>
              </w:pPr>
              <w:r>
                <w:t>Contents</w:t>
              </w:r>
            </w:p>
            <w:p w14:paraId="6DF1810B" w14:textId="02B87049" w:rsidR="00131B8D" w:rsidRDefault="00C9078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275492" w:history="1">
                <w:r w:rsidR="00131B8D" w:rsidRPr="00A928C1">
                  <w:rPr>
                    <w:rStyle w:val="Hyperlink"/>
                    <w:rFonts w:ascii="Arial" w:hAnsi="Arial" w:cs="Arial"/>
                    <w:noProof/>
                  </w:rPr>
                  <w:t>The Social Model of Disability as a Basis for Individualized Health and Social Care</w:t>
                </w:r>
                <w:r w:rsidR="00131B8D">
                  <w:rPr>
                    <w:noProof/>
                    <w:webHidden/>
                  </w:rPr>
                  <w:tab/>
                </w:r>
                <w:r w:rsidR="00131B8D">
                  <w:rPr>
                    <w:noProof/>
                    <w:webHidden/>
                  </w:rPr>
                  <w:fldChar w:fldCharType="begin"/>
                </w:r>
                <w:r w:rsidR="00131B8D">
                  <w:rPr>
                    <w:noProof/>
                    <w:webHidden/>
                  </w:rPr>
                  <w:instrText xml:space="preserve"> PAGEREF _Toc228275492 \h </w:instrText>
                </w:r>
                <w:r w:rsidR="00131B8D">
                  <w:rPr>
                    <w:noProof/>
                    <w:webHidden/>
                  </w:rPr>
                </w:r>
                <w:r w:rsidR="00131B8D">
                  <w:rPr>
                    <w:noProof/>
                    <w:webHidden/>
                  </w:rPr>
                  <w:fldChar w:fldCharType="separate"/>
                </w:r>
                <w:r w:rsidR="00131B8D">
                  <w:rPr>
                    <w:noProof/>
                    <w:webHidden/>
                  </w:rPr>
                  <w:t>2</w:t>
                </w:r>
                <w:r w:rsidR="00131B8D">
                  <w:rPr>
                    <w:noProof/>
                    <w:webHidden/>
                  </w:rPr>
                  <w:fldChar w:fldCharType="end"/>
                </w:r>
              </w:hyperlink>
            </w:p>
            <w:p w14:paraId="64F087FE" w14:textId="53ABE19A" w:rsidR="00131B8D" w:rsidRDefault="00131B8D">
              <w:pPr>
                <w:pStyle w:val="TOC1"/>
                <w:tabs>
                  <w:tab w:val="right" w:leader="dot" w:pos="9016"/>
                </w:tabs>
                <w:rPr>
                  <w:rFonts w:eastAsiaTheme="minorEastAsia"/>
                  <w:noProof/>
                  <w:sz w:val="24"/>
                  <w:szCs w:val="24"/>
                  <w:lang w:eastAsia="en-GB"/>
                </w:rPr>
              </w:pPr>
              <w:hyperlink w:anchor="_Toc228275493" w:history="1">
                <w:r w:rsidRPr="00A928C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_Toc228275493 \h </w:instrText>
                </w:r>
                <w:r>
                  <w:rPr>
                    <w:noProof/>
                    <w:webHidden/>
                  </w:rPr>
                </w:r>
                <w:r>
                  <w:rPr>
                    <w:noProof/>
                    <w:webHidden/>
                  </w:rPr>
                  <w:fldChar w:fldCharType="separate"/>
                </w:r>
                <w:r>
                  <w:rPr>
                    <w:noProof/>
                    <w:webHidden/>
                  </w:rPr>
                  <w:t>2</w:t>
                </w:r>
                <w:r>
                  <w:rPr>
                    <w:noProof/>
                    <w:webHidden/>
                  </w:rPr>
                  <w:fldChar w:fldCharType="end"/>
                </w:r>
              </w:hyperlink>
            </w:p>
            <w:p w14:paraId="7A9E04FE" w14:textId="43A1A53E" w:rsidR="00131B8D" w:rsidRDefault="00131B8D">
              <w:pPr>
                <w:pStyle w:val="TOC1"/>
                <w:tabs>
                  <w:tab w:val="right" w:leader="dot" w:pos="9016"/>
                </w:tabs>
                <w:rPr>
                  <w:rFonts w:eastAsiaTheme="minorEastAsia"/>
                  <w:noProof/>
                  <w:sz w:val="24"/>
                  <w:szCs w:val="24"/>
                  <w:lang w:eastAsia="en-GB"/>
                </w:rPr>
              </w:pPr>
              <w:hyperlink w:anchor="_Toc228275494" w:history="1">
                <w:r w:rsidRPr="00A928C1">
                  <w:rPr>
                    <w:rStyle w:val="Hyperlink"/>
                    <w:rFonts w:ascii="Arial" w:hAnsi="Arial" w:cs="Arial"/>
                    <w:noProof/>
                  </w:rPr>
                  <w:t>The Emergence and Evolution of the Social Model of Disability</w:t>
                </w:r>
                <w:r>
                  <w:rPr>
                    <w:noProof/>
                    <w:webHidden/>
                  </w:rPr>
                  <w:tab/>
                </w:r>
                <w:r>
                  <w:rPr>
                    <w:noProof/>
                    <w:webHidden/>
                  </w:rPr>
                  <w:fldChar w:fldCharType="begin"/>
                </w:r>
                <w:r>
                  <w:rPr>
                    <w:noProof/>
                    <w:webHidden/>
                  </w:rPr>
                  <w:instrText xml:space="preserve"> PAGEREF _Toc228275494 \h </w:instrText>
                </w:r>
                <w:r>
                  <w:rPr>
                    <w:noProof/>
                    <w:webHidden/>
                  </w:rPr>
                </w:r>
                <w:r>
                  <w:rPr>
                    <w:noProof/>
                    <w:webHidden/>
                  </w:rPr>
                  <w:fldChar w:fldCharType="separate"/>
                </w:r>
                <w:r>
                  <w:rPr>
                    <w:noProof/>
                    <w:webHidden/>
                  </w:rPr>
                  <w:t>2</w:t>
                </w:r>
                <w:r>
                  <w:rPr>
                    <w:noProof/>
                    <w:webHidden/>
                  </w:rPr>
                  <w:fldChar w:fldCharType="end"/>
                </w:r>
              </w:hyperlink>
            </w:p>
            <w:p w14:paraId="1B328FCB" w14:textId="462B2E9D" w:rsidR="00131B8D" w:rsidRDefault="00131B8D">
              <w:pPr>
                <w:pStyle w:val="TOC1"/>
                <w:tabs>
                  <w:tab w:val="right" w:leader="dot" w:pos="9016"/>
                </w:tabs>
                <w:rPr>
                  <w:rFonts w:eastAsiaTheme="minorEastAsia"/>
                  <w:noProof/>
                  <w:sz w:val="24"/>
                  <w:szCs w:val="24"/>
                  <w:lang w:eastAsia="en-GB"/>
                </w:rPr>
              </w:pPr>
              <w:hyperlink w:anchor="_Toc228275495" w:history="1">
                <w:r w:rsidRPr="00A928C1">
                  <w:rPr>
                    <w:rStyle w:val="Hyperlink"/>
                    <w:rFonts w:ascii="Arial" w:hAnsi="Arial" w:cs="Arial"/>
                    <w:noProof/>
                  </w:rPr>
                  <w:t>Critiques of the Social Model and Responses</w:t>
                </w:r>
                <w:r>
                  <w:rPr>
                    <w:noProof/>
                    <w:webHidden/>
                  </w:rPr>
                  <w:tab/>
                </w:r>
                <w:r>
                  <w:rPr>
                    <w:noProof/>
                    <w:webHidden/>
                  </w:rPr>
                  <w:fldChar w:fldCharType="begin"/>
                </w:r>
                <w:r>
                  <w:rPr>
                    <w:noProof/>
                    <w:webHidden/>
                  </w:rPr>
                  <w:instrText xml:space="preserve"> PAGEREF _Toc228275495 \h </w:instrText>
                </w:r>
                <w:r>
                  <w:rPr>
                    <w:noProof/>
                    <w:webHidden/>
                  </w:rPr>
                </w:r>
                <w:r>
                  <w:rPr>
                    <w:noProof/>
                    <w:webHidden/>
                  </w:rPr>
                  <w:fldChar w:fldCharType="separate"/>
                </w:r>
                <w:r>
                  <w:rPr>
                    <w:noProof/>
                    <w:webHidden/>
                  </w:rPr>
                  <w:t>3</w:t>
                </w:r>
                <w:r>
                  <w:rPr>
                    <w:noProof/>
                    <w:webHidden/>
                  </w:rPr>
                  <w:fldChar w:fldCharType="end"/>
                </w:r>
              </w:hyperlink>
            </w:p>
            <w:p w14:paraId="7DC31A9C" w14:textId="2900DB5C" w:rsidR="00131B8D" w:rsidRDefault="00131B8D">
              <w:pPr>
                <w:pStyle w:val="TOC1"/>
                <w:tabs>
                  <w:tab w:val="right" w:leader="dot" w:pos="9016"/>
                </w:tabs>
                <w:rPr>
                  <w:rFonts w:eastAsiaTheme="minorEastAsia"/>
                  <w:noProof/>
                  <w:sz w:val="24"/>
                  <w:szCs w:val="24"/>
                  <w:lang w:eastAsia="en-GB"/>
                </w:rPr>
              </w:pPr>
              <w:hyperlink w:anchor="_Toc228275496" w:history="1">
                <w:r w:rsidRPr="00A928C1">
                  <w:rPr>
                    <w:rStyle w:val="Hyperlink"/>
                    <w:rFonts w:ascii="Arial" w:hAnsi="Arial" w:cs="Arial"/>
                    <w:noProof/>
                  </w:rPr>
                  <w:t>Application to Health and Social Care Policy</w:t>
                </w:r>
                <w:r>
                  <w:rPr>
                    <w:noProof/>
                    <w:webHidden/>
                  </w:rPr>
                  <w:tab/>
                </w:r>
                <w:r>
                  <w:rPr>
                    <w:noProof/>
                    <w:webHidden/>
                  </w:rPr>
                  <w:fldChar w:fldCharType="begin"/>
                </w:r>
                <w:r>
                  <w:rPr>
                    <w:noProof/>
                    <w:webHidden/>
                  </w:rPr>
                  <w:instrText xml:space="preserve"> PAGEREF _Toc228275496 \h </w:instrText>
                </w:r>
                <w:r>
                  <w:rPr>
                    <w:noProof/>
                    <w:webHidden/>
                  </w:rPr>
                </w:r>
                <w:r>
                  <w:rPr>
                    <w:noProof/>
                    <w:webHidden/>
                  </w:rPr>
                  <w:fldChar w:fldCharType="separate"/>
                </w:r>
                <w:r>
                  <w:rPr>
                    <w:noProof/>
                    <w:webHidden/>
                  </w:rPr>
                  <w:t>4</w:t>
                </w:r>
                <w:r>
                  <w:rPr>
                    <w:noProof/>
                    <w:webHidden/>
                  </w:rPr>
                  <w:fldChar w:fldCharType="end"/>
                </w:r>
              </w:hyperlink>
            </w:p>
            <w:p w14:paraId="40E0D7E5" w14:textId="1C128267" w:rsidR="00131B8D" w:rsidRDefault="00131B8D">
              <w:pPr>
                <w:pStyle w:val="TOC1"/>
                <w:tabs>
                  <w:tab w:val="right" w:leader="dot" w:pos="9016"/>
                </w:tabs>
                <w:rPr>
                  <w:rFonts w:eastAsiaTheme="minorEastAsia"/>
                  <w:noProof/>
                  <w:sz w:val="24"/>
                  <w:szCs w:val="24"/>
                  <w:lang w:eastAsia="en-GB"/>
                </w:rPr>
              </w:pPr>
              <w:hyperlink w:anchor="_Toc228275497" w:history="1">
                <w:r w:rsidRPr="00A928C1">
                  <w:rPr>
                    <w:rStyle w:val="Hyperlink"/>
                    <w:rFonts w:ascii="Arial" w:hAnsi="Arial" w:cs="Arial"/>
                    <w:noProof/>
                  </w:rPr>
                  <w:t>Application to Health and Social Care Practice</w:t>
                </w:r>
                <w:r>
                  <w:rPr>
                    <w:noProof/>
                    <w:webHidden/>
                  </w:rPr>
                  <w:tab/>
                </w:r>
                <w:r>
                  <w:rPr>
                    <w:noProof/>
                    <w:webHidden/>
                  </w:rPr>
                  <w:fldChar w:fldCharType="begin"/>
                </w:r>
                <w:r>
                  <w:rPr>
                    <w:noProof/>
                    <w:webHidden/>
                  </w:rPr>
                  <w:instrText xml:space="preserve"> PAGEREF _Toc228275497 \h </w:instrText>
                </w:r>
                <w:r>
                  <w:rPr>
                    <w:noProof/>
                    <w:webHidden/>
                  </w:rPr>
                </w:r>
                <w:r>
                  <w:rPr>
                    <w:noProof/>
                    <w:webHidden/>
                  </w:rPr>
                  <w:fldChar w:fldCharType="separate"/>
                </w:r>
                <w:r>
                  <w:rPr>
                    <w:noProof/>
                    <w:webHidden/>
                  </w:rPr>
                  <w:t>5</w:t>
                </w:r>
                <w:r>
                  <w:rPr>
                    <w:noProof/>
                    <w:webHidden/>
                  </w:rPr>
                  <w:fldChar w:fldCharType="end"/>
                </w:r>
              </w:hyperlink>
            </w:p>
            <w:p w14:paraId="0CC74489" w14:textId="53D1A07B" w:rsidR="00131B8D" w:rsidRDefault="00131B8D">
              <w:pPr>
                <w:pStyle w:val="TOC1"/>
                <w:tabs>
                  <w:tab w:val="right" w:leader="dot" w:pos="9016"/>
                </w:tabs>
                <w:rPr>
                  <w:rFonts w:eastAsiaTheme="minorEastAsia"/>
                  <w:noProof/>
                  <w:sz w:val="24"/>
                  <w:szCs w:val="24"/>
                  <w:lang w:eastAsia="en-GB"/>
                </w:rPr>
              </w:pPr>
              <w:hyperlink w:anchor="_Toc228275498" w:history="1">
                <w:r w:rsidRPr="00A928C1">
                  <w:rPr>
                    <w:rStyle w:val="Hyperlink"/>
                    <w:rFonts w:ascii="Arial" w:hAnsi="Arial" w:cs="Arial"/>
                    <w:noProof/>
                  </w:rPr>
                  <w:t>Recommendations for Policy and Practice</w:t>
                </w:r>
                <w:r>
                  <w:rPr>
                    <w:noProof/>
                    <w:webHidden/>
                  </w:rPr>
                  <w:tab/>
                </w:r>
                <w:r>
                  <w:rPr>
                    <w:noProof/>
                    <w:webHidden/>
                  </w:rPr>
                  <w:fldChar w:fldCharType="begin"/>
                </w:r>
                <w:r>
                  <w:rPr>
                    <w:noProof/>
                    <w:webHidden/>
                  </w:rPr>
                  <w:instrText xml:space="preserve"> PAGEREF _Toc228275498 \h </w:instrText>
                </w:r>
                <w:r>
                  <w:rPr>
                    <w:noProof/>
                    <w:webHidden/>
                  </w:rPr>
                </w:r>
                <w:r>
                  <w:rPr>
                    <w:noProof/>
                    <w:webHidden/>
                  </w:rPr>
                  <w:fldChar w:fldCharType="separate"/>
                </w:r>
                <w:r>
                  <w:rPr>
                    <w:noProof/>
                    <w:webHidden/>
                  </w:rPr>
                  <w:t>6</w:t>
                </w:r>
                <w:r>
                  <w:rPr>
                    <w:noProof/>
                    <w:webHidden/>
                  </w:rPr>
                  <w:fldChar w:fldCharType="end"/>
                </w:r>
              </w:hyperlink>
            </w:p>
            <w:p w14:paraId="539CF52A" w14:textId="0BEC0994" w:rsidR="00131B8D" w:rsidRDefault="00131B8D">
              <w:pPr>
                <w:pStyle w:val="TOC1"/>
                <w:tabs>
                  <w:tab w:val="right" w:leader="dot" w:pos="9016"/>
                </w:tabs>
                <w:rPr>
                  <w:rFonts w:eastAsiaTheme="minorEastAsia"/>
                  <w:noProof/>
                  <w:sz w:val="24"/>
                  <w:szCs w:val="24"/>
                  <w:lang w:eastAsia="en-GB"/>
                </w:rPr>
              </w:pPr>
              <w:hyperlink w:anchor="_Toc228275499" w:history="1">
                <w:r w:rsidRPr="00A928C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_Toc228275499 \h </w:instrText>
                </w:r>
                <w:r>
                  <w:rPr>
                    <w:noProof/>
                    <w:webHidden/>
                  </w:rPr>
                </w:r>
                <w:r>
                  <w:rPr>
                    <w:noProof/>
                    <w:webHidden/>
                  </w:rPr>
                  <w:fldChar w:fldCharType="separate"/>
                </w:r>
                <w:r>
                  <w:rPr>
                    <w:noProof/>
                    <w:webHidden/>
                  </w:rPr>
                  <w:t>6</w:t>
                </w:r>
                <w:r>
                  <w:rPr>
                    <w:noProof/>
                    <w:webHidden/>
                  </w:rPr>
                  <w:fldChar w:fldCharType="end"/>
                </w:r>
              </w:hyperlink>
            </w:p>
            <w:p w14:paraId="47762B57" w14:textId="7C42119F" w:rsidR="00131B8D" w:rsidRDefault="00131B8D">
              <w:pPr>
                <w:pStyle w:val="TOC1"/>
                <w:tabs>
                  <w:tab w:val="right" w:leader="dot" w:pos="9016"/>
                </w:tabs>
                <w:rPr>
                  <w:rFonts w:eastAsiaTheme="minorEastAsia"/>
                  <w:noProof/>
                  <w:sz w:val="24"/>
                  <w:szCs w:val="24"/>
                  <w:lang w:eastAsia="en-GB"/>
                </w:rPr>
              </w:pPr>
              <w:hyperlink w:anchor="_Toc228275500" w:history="1">
                <w:r w:rsidRPr="00A928C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_Toc228275500 \h </w:instrText>
                </w:r>
                <w:r>
                  <w:rPr>
                    <w:noProof/>
                    <w:webHidden/>
                  </w:rPr>
                </w:r>
                <w:r>
                  <w:rPr>
                    <w:noProof/>
                    <w:webHidden/>
                  </w:rPr>
                  <w:fldChar w:fldCharType="separate"/>
                </w:r>
                <w:r>
                  <w:rPr>
                    <w:noProof/>
                    <w:webHidden/>
                  </w:rPr>
                  <w:t>8</w:t>
                </w:r>
                <w:r>
                  <w:rPr>
                    <w:noProof/>
                    <w:webHidden/>
                  </w:rPr>
                  <w:fldChar w:fldCharType="end"/>
                </w:r>
              </w:hyperlink>
            </w:p>
            <w:p w14:paraId="3D53BD0A" w14:textId="1B6995B4" w:rsidR="00C9078C" w:rsidRDefault="00C9078C">
              <w:r>
                <w:rPr>
                  <w:b/>
                  <w:bCs/>
                </w:rPr>
                <w:fldChar w:fldCharType="end"/>
              </w:r>
            </w:p>
          </w:sdtContent>
        </w:sdt>
        <w:p w14:paraId="3ACD709B" w14:textId="20EB4238" w:rsidR="00AE1B0D" w:rsidRDefault="00AE1B0D">
          <w:pPr>
            <w:pStyle w:val="NoSpacing"/>
            <w:spacing w:before="480"/>
            <w:jc w:val="center"/>
            <w:rPr>
              <w:color w:val="156082" w:themeColor="accent1"/>
            </w:rPr>
          </w:pPr>
        </w:p>
        <w:p w14:paraId="6D9A3F94" w14:textId="44380C91" w:rsidR="00325E3A" w:rsidRPr="00FC1107" w:rsidRDefault="00AE1B0D" w:rsidP="00DA31F2">
          <w:pPr>
            <w:spacing w:line="360" w:lineRule="auto"/>
            <w:rPr>
              <w:rFonts w:asciiTheme="majorHAnsi" w:eastAsiaTheme="majorEastAsia" w:hAnsiTheme="majorHAnsi" w:cstheme="majorBidi"/>
              <w:caps/>
              <w:color w:val="156082" w:themeColor="accent1"/>
              <w:kern w:val="0"/>
              <w:sz w:val="72"/>
              <w:szCs w:val="72"/>
              <w:lang w:eastAsia="en-GB"/>
              <w14:ligatures w14:val="none"/>
            </w:rPr>
          </w:pPr>
          <w:r>
            <w:rPr>
              <w:rFonts w:asciiTheme="majorHAnsi" w:eastAsiaTheme="majorEastAsia" w:hAnsiTheme="majorHAnsi" w:cstheme="majorBidi"/>
              <w:caps/>
              <w:color w:val="156082" w:themeColor="accent1"/>
              <w:kern w:val="0"/>
              <w:sz w:val="72"/>
              <w:szCs w:val="72"/>
              <w:lang w:eastAsia="en-GB"/>
              <w14:ligatures w14:val="none"/>
            </w:rPr>
            <w:br w:type="page"/>
          </w:r>
        </w:p>
      </w:sdtContent>
    </w:sdt>
    <w:p w14:paraId="562F7EAA" w14:textId="4E7A310A" w:rsidR="0050226D" w:rsidRPr="00131B8D" w:rsidRDefault="00166128" w:rsidP="00131B8D">
      <w:pPr>
        <w:pStyle w:val="Heading1"/>
        <w:spacing w:line="360" w:lineRule="auto"/>
        <w:jc w:val="center"/>
        <w:rPr>
          <w:rFonts w:ascii="Arial" w:hAnsi="Arial" w:cs="Arial"/>
          <w:sz w:val="32"/>
          <w:szCs w:val="32"/>
        </w:rPr>
      </w:pPr>
      <w:bookmarkStart w:id="0" w:name="_Toc228275492"/>
      <w:r w:rsidRPr="00131B8D">
        <w:rPr>
          <w:rFonts w:ascii="Arial" w:hAnsi="Arial" w:cs="Arial"/>
          <w:sz w:val="32"/>
          <w:szCs w:val="32"/>
        </w:rPr>
        <w:lastRenderedPageBreak/>
        <w:t>The Social Model of Disability as a Basis for Individualized Health and Social Care</w:t>
      </w:r>
      <w:bookmarkEnd w:id="0"/>
    </w:p>
    <w:p w14:paraId="122C45D3" w14:textId="21EB2D24" w:rsidR="00105532" w:rsidRPr="00131B8D" w:rsidRDefault="00105532" w:rsidP="00131B8D">
      <w:pPr>
        <w:pStyle w:val="Heading1"/>
        <w:spacing w:line="360" w:lineRule="auto"/>
        <w:rPr>
          <w:rFonts w:ascii="Arial" w:hAnsi="Arial" w:cs="Arial"/>
          <w:sz w:val="22"/>
          <w:szCs w:val="22"/>
        </w:rPr>
      </w:pPr>
      <w:bookmarkStart w:id="1" w:name="_Toc228275493"/>
      <w:r w:rsidRPr="00131B8D">
        <w:rPr>
          <w:rFonts w:ascii="Arial" w:hAnsi="Arial" w:cs="Arial"/>
          <w:sz w:val="22"/>
          <w:szCs w:val="22"/>
        </w:rPr>
        <w:t>Introduction</w:t>
      </w:r>
      <w:bookmarkEnd w:id="1"/>
    </w:p>
    <w:p w14:paraId="11C715AC" w14:textId="2908B4B4" w:rsidR="007C45F2" w:rsidRPr="00131B8D" w:rsidRDefault="0037331E" w:rsidP="00131B8D">
      <w:pPr>
        <w:spacing w:line="360" w:lineRule="auto"/>
        <w:rPr>
          <w:rFonts w:ascii="Arial" w:hAnsi="Arial" w:cs="Arial"/>
        </w:rPr>
      </w:pPr>
      <w:r w:rsidRPr="00131B8D">
        <w:rPr>
          <w:rFonts w:ascii="Arial" w:hAnsi="Arial" w:cs="Arial"/>
        </w:rPr>
        <w:t>This essay critically examines the Social Model of Disability as a framework that supports person-centred health and social care</w:t>
      </w:r>
      <w:r w:rsidR="00105532" w:rsidRPr="00131B8D">
        <w:rPr>
          <w:rFonts w:ascii="Arial" w:hAnsi="Arial" w:cs="Arial"/>
        </w:rPr>
        <w:t>. The discussion outlines the model’s development, explores key criticisms and responses, and considers its application in both policy and professional practice. Finally, recommendations are made for improving outcomes for disabled people.</w:t>
      </w:r>
      <w:r w:rsidR="000439D8" w:rsidRPr="00131B8D">
        <w:rPr>
          <w:rFonts w:ascii="Arial" w:hAnsi="Arial" w:cs="Arial"/>
        </w:rPr>
        <w:t xml:space="preserve"> </w:t>
      </w:r>
      <w:r w:rsidR="00105532" w:rsidRPr="00131B8D">
        <w:rPr>
          <w:rFonts w:ascii="Arial" w:hAnsi="Arial" w:cs="Arial"/>
        </w:rPr>
        <w:t>Health and social care practice is informed by a range of theories, concepts, and models that help professionals understand needs, shape services, and improve outcomes. These frameworks are important because they guide responses to inequality, promote ethical practice, and support person-centred care. Person-centred care has become a central principle within modern services, emphasising dignity, autonomy, partnership, and tailoring support to the needs of each individual.</w:t>
      </w:r>
      <w:r w:rsidR="007C45F2" w:rsidRPr="00131B8D">
        <w:rPr>
          <w:rFonts w:ascii="Arial" w:hAnsi="Arial" w:cs="Arial"/>
        </w:rPr>
        <w:t xml:space="preserve"> </w:t>
      </w:r>
    </w:p>
    <w:p w14:paraId="0FF429D9" w14:textId="05A304E6" w:rsidR="00105532" w:rsidRPr="00131B8D" w:rsidRDefault="00105532" w:rsidP="00131B8D">
      <w:pPr>
        <w:spacing w:line="360" w:lineRule="auto"/>
        <w:rPr>
          <w:rFonts w:ascii="Arial" w:hAnsi="Arial" w:cs="Arial"/>
        </w:rPr>
      </w:pPr>
      <w:r w:rsidRPr="00131B8D">
        <w:rPr>
          <w:rFonts w:ascii="Arial" w:hAnsi="Arial" w:cs="Arial"/>
        </w:rPr>
        <w:t xml:space="preserve">The Social Model of Disability is a particularly important framework among those that inform person-centred practice. It argues that social barriers, rather than impairment alone, are what disable people. </w:t>
      </w:r>
      <w:r w:rsidR="00F2196A" w:rsidRPr="00131B8D">
        <w:rPr>
          <w:rFonts w:ascii="Arial" w:hAnsi="Arial" w:cs="Arial"/>
        </w:rPr>
        <w:t>The Social Model is needed because traditional medical approaches often individualise disability rather than addressing discrimination and inaccessible systems</w:t>
      </w:r>
      <w:r w:rsidR="00975F56" w:rsidRPr="00131B8D">
        <w:rPr>
          <w:rFonts w:ascii="Arial" w:hAnsi="Arial" w:cs="Arial"/>
        </w:rPr>
        <w:t xml:space="preserve">. </w:t>
      </w:r>
      <w:r w:rsidR="00481354" w:rsidRPr="00131B8D">
        <w:rPr>
          <w:rFonts w:ascii="Arial" w:hAnsi="Arial" w:cs="Arial"/>
        </w:rPr>
        <w:t>This viewpoint has profoundly shaped disability rights, legislation, policy reforms, and professional practice.</w:t>
      </w:r>
    </w:p>
    <w:p w14:paraId="1EFF7027" w14:textId="0CB80A37" w:rsidR="00DD4FAC" w:rsidRPr="00131B8D" w:rsidRDefault="00DD4FAC" w:rsidP="00131B8D">
      <w:pPr>
        <w:pStyle w:val="Heading1"/>
        <w:spacing w:line="360" w:lineRule="auto"/>
        <w:rPr>
          <w:rFonts w:ascii="Arial" w:hAnsi="Arial" w:cs="Arial"/>
          <w:sz w:val="22"/>
          <w:szCs w:val="22"/>
        </w:rPr>
      </w:pPr>
      <w:bookmarkStart w:id="2" w:name="_Toc228275494"/>
      <w:r w:rsidRPr="00131B8D">
        <w:rPr>
          <w:rFonts w:ascii="Arial" w:hAnsi="Arial" w:cs="Arial"/>
          <w:sz w:val="22"/>
          <w:szCs w:val="22"/>
        </w:rPr>
        <w:t>The Emergence and Evolution of the Social Model of Disability</w:t>
      </w:r>
      <w:bookmarkEnd w:id="2"/>
    </w:p>
    <w:p w14:paraId="4B425889" w14:textId="63372A4D" w:rsidR="0075762F" w:rsidRPr="00131B8D" w:rsidRDefault="0075762F" w:rsidP="00131B8D">
      <w:pPr>
        <w:spacing w:line="360" w:lineRule="auto"/>
        <w:rPr>
          <w:rFonts w:ascii="Arial" w:hAnsi="Arial" w:cs="Arial"/>
        </w:rPr>
      </w:pPr>
      <w:r w:rsidRPr="00131B8D">
        <w:rPr>
          <w:rFonts w:ascii="Arial" w:hAnsi="Arial" w:cs="Arial"/>
        </w:rPr>
        <w:t>The Social Model of Disability emerged in the United Kingdom during the 1970s through activism led by disabled people who were dissatisfied with being viewed as passive recipients of welfare, charity, or medical care. A key organisation in its development was the Union of the Physically Impaired Against Segregation (UPIAS), which argued that disabled people were disadvantaged not because of their bodies, but because society excluded them through inaccessible environments, segregation, and prejudice (UPIAS, 1976).</w:t>
      </w:r>
    </w:p>
    <w:p w14:paraId="5F9C0F10" w14:textId="77777777" w:rsidR="00105532" w:rsidRPr="00131B8D" w:rsidRDefault="00105532" w:rsidP="00131B8D">
      <w:pPr>
        <w:spacing w:line="360" w:lineRule="auto"/>
        <w:rPr>
          <w:rFonts w:ascii="Arial" w:hAnsi="Arial" w:cs="Arial"/>
        </w:rPr>
      </w:pPr>
      <w:r w:rsidRPr="00131B8D">
        <w:rPr>
          <w:rFonts w:ascii="Arial" w:hAnsi="Arial" w:cs="Arial"/>
        </w:rPr>
        <w:t>UPIAS introduced an important distinction between impairment and disability. Impairment referred to a physical, sensory, cognitive, or mental condition, whereas disability referred to the restrictions imposed by society. This marked a major shift because it transferred responsibility from the individual to institutions, governments, and wider social attitudes.</w:t>
      </w:r>
    </w:p>
    <w:p w14:paraId="00FAD25A" w14:textId="21142823" w:rsidR="00105532" w:rsidRPr="00131B8D" w:rsidRDefault="00BF424B" w:rsidP="00131B8D">
      <w:pPr>
        <w:spacing w:line="360" w:lineRule="auto"/>
        <w:rPr>
          <w:rFonts w:ascii="Arial" w:hAnsi="Arial" w:cs="Arial"/>
        </w:rPr>
      </w:pPr>
      <w:r w:rsidRPr="00131B8D">
        <w:rPr>
          <w:rFonts w:ascii="Arial" w:hAnsi="Arial" w:cs="Arial"/>
        </w:rPr>
        <w:t xml:space="preserve">The concept was later refined academically by Mike Oliver, who formally coined the term "Social Model of Disability" (Oliver, 2013). He argued that disability constitutes a form of </w:t>
      </w:r>
      <w:r w:rsidRPr="00131B8D">
        <w:rPr>
          <w:rFonts w:ascii="Arial" w:hAnsi="Arial" w:cs="Arial"/>
        </w:rPr>
        <w:lastRenderedPageBreak/>
        <w:t>oppression, as disabled people are barred from equal participation in employment, education, transport, housing, and healthcare.</w:t>
      </w:r>
      <w:r w:rsidR="00CC420E" w:rsidRPr="00131B8D">
        <w:rPr>
          <w:rFonts w:ascii="Arial" w:hAnsi="Arial" w:cs="Arial"/>
        </w:rPr>
        <w:t xml:space="preserve"> </w:t>
      </w:r>
      <w:r w:rsidR="00105532" w:rsidRPr="00131B8D">
        <w:rPr>
          <w:rFonts w:ascii="Arial" w:hAnsi="Arial" w:cs="Arial"/>
        </w:rPr>
        <w:t>The model challenged the traditional medical model, which focused on diagnosis, treatment, rehabilitation, and cure.</w:t>
      </w:r>
    </w:p>
    <w:p w14:paraId="022DF825" w14:textId="74E6E6D1" w:rsidR="008B3781" w:rsidRPr="00131B8D" w:rsidRDefault="00105532" w:rsidP="00131B8D">
      <w:pPr>
        <w:spacing w:line="360" w:lineRule="auto"/>
        <w:rPr>
          <w:rFonts w:ascii="Arial" w:hAnsi="Arial" w:cs="Arial"/>
        </w:rPr>
      </w:pPr>
      <w:r w:rsidRPr="00131B8D">
        <w:rPr>
          <w:rFonts w:ascii="Arial" w:hAnsi="Arial" w:cs="Arial"/>
        </w:rPr>
        <w:t>Within the medical model, disabled people were often viewed as abnormal or dependent, while healthcare professionals were positioned as experts. In contrast, the Social Model promoted citizenship, rights, self-determination, and accessibility. This was significant because it empowered disabled people to advocate for themselves and demand systemic change.</w:t>
      </w:r>
      <w:r w:rsidR="005B780B" w:rsidRPr="00131B8D">
        <w:rPr>
          <w:rFonts w:ascii="Arial" w:hAnsi="Arial" w:cs="Arial"/>
        </w:rPr>
        <w:t xml:space="preserve"> </w:t>
      </w:r>
      <w:r w:rsidRPr="00131B8D">
        <w:rPr>
          <w:rFonts w:ascii="Arial" w:hAnsi="Arial" w:cs="Arial"/>
        </w:rPr>
        <w:t xml:space="preserve">Over time, the Social Model has influenced inclusive education, independent living movements, accessible design, and anti-discrimination legislation. </w:t>
      </w:r>
      <w:r w:rsidR="008B3781" w:rsidRPr="00131B8D">
        <w:rPr>
          <w:rFonts w:ascii="Arial" w:hAnsi="Arial" w:cs="Arial"/>
        </w:rPr>
        <w:t>It has also shaped global policies, such as the United Nations Convention on the Rights of Persons with Disabilities, which defines disability as arising from the interaction between impairments and environmental barriers (United Nations, 2006).</w:t>
      </w:r>
    </w:p>
    <w:p w14:paraId="3D62C222" w14:textId="5B345857" w:rsidR="00105532" w:rsidRPr="00131B8D" w:rsidRDefault="00105532" w:rsidP="00131B8D">
      <w:pPr>
        <w:spacing w:line="360" w:lineRule="auto"/>
        <w:rPr>
          <w:rFonts w:ascii="Arial" w:hAnsi="Arial" w:cs="Arial"/>
        </w:rPr>
      </w:pPr>
      <w:r w:rsidRPr="00131B8D">
        <w:rPr>
          <w:rFonts w:ascii="Arial" w:hAnsi="Arial" w:cs="Arial"/>
        </w:rPr>
        <w:t>Nonetheless, the model has continued to evolve. According to Watson, Roulstone and Thomas (2019), contemporary disability studies increasingly consider identity, intersectionality, care, and embodiment alongside structural barriers. This demonstrates that although the Social Model remains relevant, it has adapted to reflect new understandings of inequality.</w:t>
      </w:r>
    </w:p>
    <w:p w14:paraId="4BEA843B" w14:textId="5BA23D7D" w:rsidR="00F42A55" w:rsidRPr="00131B8D" w:rsidRDefault="00F42A55" w:rsidP="00131B8D">
      <w:pPr>
        <w:pStyle w:val="Heading1"/>
        <w:spacing w:line="360" w:lineRule="auto"/>
        <w:rPr>
          <w:rFonts w:ascii="Arial" w:hAnsi="Arial" w:cs="Arial"/>
          <w:sz w:val="22"/>
          <w:szCs w:val="22"/>
        </w:rPr>
      </w:pPr>
      <w:bookmarkStart w:id="3" w:name="_Toc228275495"/>
      <w:r w:rsidRPr="00131B8D">
        <w:rPr>
          <w:rFonts w:ascii="Arial" w:hAnsi="Arial" w:cs="Arial"/>
          <w:sz w:val="22"/>
          <w:szCs w:val="22"/>
        </w:rPr>
        <w:t>Critiques of the Social Model and Responses</w:t>
      </w:r>
      <w:bookmarkEnd w:id="3"/>
    </w:p>
    <w:p w14:paraId="5590B2CB" w14:textId="7CFBED92" w:rsidR="00931A50" w:rsidRPr="00131B8D" w:rsidRDefault="00105532" w:rsidP="00131B8D">
      <w:pPr>
        <w:spacing w:line="360" w:lineRule="auto"/>
        <w:rPr>
          <w:rFonts w:ascii="Arial" w:hAnsi="Arial" w:cs="Arial"/>
        </w:rPr>
      </w:pPr>
      <w:r w:rsidRPr="00131B8D">
        <w:rPr>
          <w:rFonts w:ascii="Arial" w:hAnsi="Arial" w:cs="Arial"/>
        </w:rPr>
        <w:t>Despite its influence, the Social Model has been criticised in several respects. One common criticism is that it may understate the lived reality of pain, illness, fatigue, or degenerative conditions. Certain limitations arise directly from impairment and cannot be removed solely through social change. According to Tom Shakespeare (2018), disability is better understood as an interaction between bodily realities and social restrictions.</w:t>
      </w:r>
    </w:p>
    <w:p w14:paraId="192E61DA" w14:textId="5A6A4708" w:rsidR="00105532" w:rsidRPr="00131B8D" w:rsidRDefault="00436C23" w:rsidP="00131B8D">
      <w:pPr>
        <w:spacing w:line="360" w:lineRule="auto"/>
        <w:rPr>
          <w:rFonts w:ascii="Arial" w:hAnsi="Arial" w:cs="Arial"/>
        </w:rPr>
      </w:pPr>
      <w:r w:rsidRPr="00131B8D">
        <w:rPr>
          <w:rFonts w:ascii="Arial" w:hAnsi="Arial" w:cs="Arial"/>
        </w:rPr>
        <w:t>The biopsychosocial model offers an alternative perspective, suggesting that disability emerges through the interaction of biological impairment, psychological wellbeing, and social environment (Shakespeare, 2018).</w:t>
      </w:r>
      <w:r w:rsidR="00FD1479" w:rsidRPr="00131B8D">
        <w:rPr>
          <w:rFonts w:ascii="Arial" w:hAnsi="Arial" w:cs="Arial"/>
        </w:rPr>
        <w:t xml:space="preserve"> </w:t>
      </w:r>
      <w:r w:rsidR="00105532" w:rsidRPr="00131B8D">
        <w:rPr>
          <w:rFonts w:ascii="Arial" w:hAnsi="Arial" w:cs="Arial"/>
        </w:rPr>
        <w:t>This approach is particularly relevant for individuals with complex or fluctuating conditions such as chronic pain, multiple sclerosis, or severe anxiety, where barriers may result from both symptoms and inaccessible services. It recognises that effective support may require medical treatment, emotional support, and environmental adaptation simultaneously.</w:t>
      </w:r>
    </w:p>
    <w:p w14:paraId="37C4F595" w14:textId="7C3BCCA6" w:rsidR="000439D8" w:rsidRPr="00131B8D" w:rsidRDefault="00105532" w:rsidP="00131B8D">
      <w:pPr>
        <w:spacing w:line="360" w:lineRule="auto"/>
        <w:rPr>
          <w:rFonts w:ascii="Arial" w:hAnsi="Arial" w:cs="Arial"/>
        </w:rPr>
      </w:pPr>
      <w:r w:rsidRPr="00131B8D">
        <w:rPr>
          <w:rFonts w:ascii="Arial" w:hAnsi="Arial" w:cs="Arial"/>
        </w:rPr>
        <w:t xml:space="preserve">However, some critics argue that the biopsychosocial model can become overly individualised if it focuses on coping strategies without sufficiently challenging discrimination or structural inequality (Adam, Vehmas and Teittinen, 2023). For this reason, many scholars maintain that the Social Model remains essential because it foregrounds rights, citizenship, </w:t>
      </w:r>
      <w:r w:rsidRPr="00131B8D">
        <w:rPr>
          <w:rFonts w:ascii="Arial" w:hAnsi="Arial" w:cs="Arial"/>
        </w:rPr>
        <w:lastRenderedPageBreak/>
        <w:t>and collective responsibility, while the biopsychosocial model can complement it by addressing embodied health needs.</w:t>
      </w:r>
      <w:r w:rsidR="0067244E" w:rsidRPr="00131B8D">
        <w:rPr>
          <w:rFonts w:ascii="Arial" w:hAnsi="Arial" w:cs="Arial"/>
        </w:rPr>
        <w:t xml:space="preserve"> </w:t>
      </w:r>
      <w:r w:rsidRPr="00131B8D">
        <w:rPr>
          <w:rFonts w:ascii="Arial" w:hAnsi="Arial" w:cs="Arial"/>
        </w:rPr>
        <w:t>For example, even within a fully accessible environment, a person experiencing chronic pain may still require medical treatment, medication, or practical support. As a result, some scholars argue that the original distinction between impairment and disability may be too rigid.</w:t>
      </w:r>
    </w:p>
    <w:p w14:paraId="44079B47" w14:textId="2BC1757D" w:rsidR="00105532" w:rsidRPr="00131B8D" w:rsidRDefault="003E3064" w:rsidP="00131B8D">
      <w:pPr>
        <w:spacing w:line="360" w:lineRule="auto"/>
        <w:rPr>
          <w:rFonts w:ascii="Arial" w:hAnsi="Arial" w:cs="Arial"/>
        </w:rPr>
      </w:pPr>
      <w:r w:rsidRPr="00131B8D">
        <w:rPr>
          <w:rFonts w:ascii="Arial" w:hAnsi="Arial" w:cs="Arial"/>
        </w:rPr>
        <w:t xml:space="preserve">A second criticism is that early versions of the Social Model did not always fully reflect the experiences of people with learning disabilities, autism, dementia, or mental health conditions, as it was initially shaped largely by physically disabled activists. </w:t>
      </w:r>
      <w:r w:rsidR="00105532" w:rsidRPr="00131B8D">
        <w:rPr>
          <w:rFonts w:ascii="Arial" w:hAnsi="Arial" w:cs="Arial"/>
        </w:rPr>
        <w:t>Later developments, such as the cultural model of disability, have attempted to incorporate these diverse experiences by emphasising identity and relational factors alongside structural barriers (Goodley, 2017). These groups may experience dependency, stigma, communication barriers, or changing support needs that require more nuanced understandings of disability (Thorneycroft, 2024).</w:t>
      </w:r>
    </w:p>
    <w:p w14:paraId="1AF3DC6A" w14:textId="3DB7947F" w:rsidR="00105532" w:rsidRPr="00131B8D" w:rsidRDefault="00105532" w:rsidP="00131B8D">
      <w:pPr>
        <w:spacing w:line="360" w:lineRule="auto"/>
        <w:rPr>
          <w:rFonts w:ascii="Arial" w:hAnsi="Arial" w:cs="Arial"/>
        </w:rPr>
      </w:pPr>
      <w:r w:rsidRPr="00131B8D">
        <w:rPr>
          <w:rFonts w:ascii="Arial" w:hAnsi="Arial" w:cs="Arial"/>
        </w:rPr>
        <w:t>A third criticism concerns implementation. Some organisations adopt the language of empowerment, inclusion, and accessibility while failing to make meaningful structural changes. Although policies may appear progressive, services may remain inaccessible, underfunded, or professionally dominated.</w:t>
      </w:r>
      <w:r w:rsidR="00694A01" w:rsidRPr="00131B8D">
        <w:rPr>
          <w:rFonts w:ascii="Arial" w:hAnsi="Arial" w:cs="Arial"/>
        </w:rPr>
        <w:t xml:space="preserve"> </w:t>
      </w:r>
      <w:r w:rsidRPr="00131B8D">
        <w:rPr>
          <w:rFonts w:ascii="Arial" w:hAnsi="Arial" w:cs="Arial"/>
        </w:rPr>
        <w:t>Responses to these criticisms emphasise that the Social Model was never intended to explain every aspect of illness or embodiment. According to Oliver (2013), it was primarily a political tool designed to expose oppression and redirect attention toward removing barriers. Recent research suggests that the model remains highly valuable when combined with more relational approaches that acknowledge inequality, identity, and care needs (Adam, Vehmas and Teittinen, 2023). Therefore, many scholars argue that the Social Model should be modernised rather than rejected, while retaining its core principle that society plays a major role in disabling people.</w:t>
      </w:r>
    </w:p>
    <w:p w14:paraId="185B96D1" w14:textId="77777777" w:rsidR="00105532" w:rsidRPr="00131B8D" w:rsidRDefault="00105532" w:rsidP="00131B8D">
      <w:pPr>
        <w:pStyle w:val="Heading1"/>
        <w:spacing w:line="360" w:lineRule="auto"/>
        <w:rPr>
          <w:rFonts w:ascii="Arial" w:hAnsi="Arial" w:cs="Arial"/>
          <w:sz w:val="22"/>
          <w:szCs w:val="22"/>
        </w:rPr>
      </w:pPr>
      <w:bookmarkStart w:id="4" w:name="_Toc228275496"/>
      <w:r w:rsidRPr="00131B8D">
        <w:rPr>
          <w:rFonts w:ascii="Arial" w:hAnsi="Arial" w:cs="Arial"/>
          <w:sz w:val="22"/>
          <w:szCs w:val="22"/>
        </w:rPr>
        <w:t>Application to Health and Social Care Policy</w:t>
      </w:r>
      <w:bookmarkEnd w:id="4"/>
    </w:p>
    <w:p w14:paraId="0CB58E45" w14:textId="54D96631" w:rsidR="00105532" w:rsidRPr="00131B8D" w:rsidRDefault="000F58B0" w:rsidP="00131B8D">
      <w:pPr>
        <w:spacing w:line="360" w:lineRule="auto"/>
        <w:rPr>
          <w:rFonts w:ascii="Arial" w:hAnsi="Arial" w:cs="Arial"/>
        </w:rPr>
      </w:pPr>
      <w:r w:rsidRPr="00131B8D">
        <w:rPr>
          <w:rFonts w:ascii="Arial" w:hAnsi="Arial" w:cs="Arial"/>
        </w:rPr>
        <w:t>UK health and social care policies have been profoundly shaped by the Social Model. A prime example is the Equality Act 2010, which mandates that organisations make reasonable adjustments for disabled people.</w:t>
      </w:r>
      <w:r w:rsidR="0057676C" w:rsidRPr="00131B8D">
        <w:rPr>
          <w:rFonts w:ascii="Arial" w:hAnsi="Arial" w:cs="Arial"/>
        </w:rPr>
        <w:t xml:space="preserve"> </w:t>
      </w:r>
      <w:r w:rsidR="00105532" w:rsidRPr="00131B8D">
        <w:rPr>
          <w:rFonts w:ascii="Arial" w:hAnsi="Arial" w:cs="Arial"/>
        </w:rPr>
        <w:t>In healthcare, this may include wheelchair access, hearing loops, communication support, longer appointments, and information in alternative formats.</w:t>
      </w:r>
    </w:p>
    <w:p w14:paraId="43C4FB6C" w14:textId="7F985A27" w:rsidR="00535171" w:rsidRPr="00131B8D" w:rsidRDefault="00105532" w:rsidP="00131B8D">
      <w:pPr>
        <w:spacing w:line="360" w:lineRule="auto"/>
        <w:rPr>
          <w:rFonts w:ascii="Arial" w:hAnsi="Arial" w:cs="Arial"/>
        </w:rPr>
      </w:pPr>
      <w:r w:rsidRPr="00131B8D">
        <w:rPr>
          <w:rFonts w:ascii="Arial" w:hAnsi="Arial" w:cs="Arial"/>
        </w:rPr>
        <w:t xml:space="preserve">According to the Department of Health and Social Care (2021), the National Health Service Constitution promotes patient involvement, dignity, respect, and the reduction of inequality. These principles reflect both the Social Model and person-centred care because they require services to respond to individual needs. </w:t>
      </w:r>
      <w:r w:rsidR="00913B11" w:rsidRPr="00131B8D">
        <w:rPr>
          <w:rFonts w:ascii="Arial" w:hAnsi="Arial" w:cs="Arial"/>
        </w:rPr>
        <w:t xml:space="preserve">The Care Act 2014 promotes wellbeing, prevention, </w:t>
      </w:r>
      <w:r w:rsidR="00913B11" w:rsidRPr="00131B8D">
        <w:rPr>
          <w:rFonts w:ascii="Arial" w:hAnsi="Arial" w:cs="Arial"/>
        </w:rPr>
        <w:lastRenderedPageBreak/>
        <w:t>independence, and personal choice in adult social care. Personal budgets and direct payments empower disabled people with greater control over daily living decisions and support arrangements (Disability Rights UK, 2023).</w:t>
      </w:r>
    </w:p>
    <w:p w14:paraId="0FB728FE" w14:textId="7DA2F174" w:rsidR="008A0354" w:rsidRPr="00131B8D" w:rsidRDefault="00105532" w:rsidP="00131B8D">
      <w:pPr>
        <w:spacing w:line="360" w:lineRule="auto"/>
        <w:rPr>
          <w:rFonts w:ascii="Arial" w:hAnsi="Arial" w:cs="Arial"/>
        </w:rPr>
      </w:pPr>
      <w:r w:rsidRPr="00131B8D">
        <w:rPr>
          <w:rFonts w:ascii="Arial" w:hAnsi="Arial" w:cs="Arial"/>
        </w:rPr>
        <w:t xml:space="preserve">At a global level, the World Health Organization has highlighted continuing inequalities in healthcare outcomes, treatment, and access experienced by disabled people (World Health Organization, 2022). This demonstrates that although policy progress has been substantial, it remains incomplete. </w:t>
      </w:r>
      <w:r w:rsidR="008A0354" w:rsidRPr="00131B8D">
        <w:rPr>
          <w:rFonts w:ascii="Arial" w:hAnsi="Arial" w:cs="Arial"/>
        </w:rPr>
        <w:t xml:space="preserve">It embodies the </w:t>
      </w:r>
      <w:r w:rsidR="007B7517" w:rsidRPr="00131B8D">
        <w:rPr>
          <w:rFonts w:ascii="Arial" w:hAnsi="Arial" w:cs="Arial"/>
        </w:rPr>
        <w:t>social model’s</w:t>
      </w:r>
      <w:r w:rsidR="008A0354" w:rsidRPr="00131B8D">
        <w:rPr>
          <w:rFonts w:ascii="Arial" w:hAnsi="Arial" w:cs="Arial"/>
        </w:rPr>
        <w:t xml:space="preserve"> focus on barrier removal, while underscoring enduring environmental and attitudinal </w:t>
      </w:r>
      <w:r w:rsidR="002E3052" w:rsidRPr="00131B8D">
        <w:rPr>
          <w:rFonts w:ascii="Arial" w:hAnsi="Arial" w:cs="Arial"/>
        </w:rPr>
        <w:t>challenges—especially</w:t>
      </w:r>
      <w:r w:rsidR="008A0354" w:rsidRPr="00131B8D">
        <w:rPr>
          <w:rFonts w:ascii="Arial" w:hAnsi="Arial" w:cs="Arial"/>
        </w:rPr>
        <w:t xml:space="preserve"> in resource-limited settings.</w:t>
      </w:r>
    </w:p>
    <w:p w14:paraId="647FB203" w14:textId="1DD4CC46" w:rsidR="00105532" w:rsidRPr="00131B8D" w:rsidRDefault="00105532" w:rsidP="00131B8D">
      <w:pPr>
        <w:pStyle w:val="Heading1"/>
        <w:spacing w:line="360" w:lineRule="auto"/>
        <w:rPr>
          <w:rFonts w:ascii="Arial" w:hAnsi="Arial" w:cs="Arial"/>
          <w:sz w:val="22"/>
          <w:szCs w:val="22"/>
        </w:rPr>
      </w:pPr>
      <w:bookmarkStart w:id="5" w:name="_Toc228275497"/>
      <w:r w:rsidRPr="00131B8D">
        <w:rPr>
          <w:rFonts w:ascii="Arial" w:hAnsi="Arial" w:cs="Arial"/>
          <w:sz w:val="22"/>
          <w:szCs w:val="22"/>
        </w:rPr>
        <w:t>Application to Health and Social Care Practice</w:t>
      </w:r>
      <w:bookmarkEnd w:id="5"/>
    </w:p>
    <w:p w14:paraId="11DD034C" w14:textId="77777777" w:rsidR="00105532" w:rsidRPr="00131B8D" w:rsidRDefault="00105532" w:rsidP="00131B8D">
      <w:pPr>
        <w:spacing w:line="360" w:lineRule="auto"/>
        <w:rPr>
          <w:rFonts w:ascii="Arial" w:hAnsi="Arial" w:cs="Arial"/>
        </w:rPr>
      </w:pPr>
      <w:r w:rsidRPr="00131B8D">
        <w:rPr>
          <w:rFonts w:ascii="Arial" w:hAnsi="Arial" w:cs="Arial"/>
        </w:rPr>
        <w:t>Rather than viewing disability as an individual problem, the Social Model encourages professionals to focus on barriers within everyday practice. For example, if a wheelchair user misses appointments, the issue may not be non-engagement but inaccessible buildings or transport. If a person with learning disabilities struggles to understand treatment options, the barrier may be inaccessible communication rather than incapacity.</w:t>
      </w:r>
    </w:p>
    <w:p w14:paraId="66D424CB" w14:textId="69A5CC86" w:rsidR="00105532" w:rsidRPr="00131B8D" w:rsidRDefault="00105532" w:rsidP="00131B8D">
      <w:pPr>
        <w:spacing w:line="360" w:lineRule="auto"/>
        <w:rPr>
          <w:rFonts w:ascii="Arial" w:hAnsi="Arial" w:cs="Arial"/>
        </w:rPr>
      </w:pPr>
      <w:r w:rsidRPr="00131B8D">
        <w:rPr>
          <w:rFonts w:ascii="Arial" w:hAnsi="Arial" w:cs="Arial"/>
        </w:rPr>
        <w:t xml:space="preserve">Examples of Social Model practice include </w:t>
      </w:r>
      <w:r w:rsidR="00D33E32" w:rsidRPr="00131B8D">
        <w:rPr>
          <w:rFonts w:ascii="Arial" w:hAnsi="Arial" w:cs="Arial"/>
        </w:rPr>
        <w:t>easy read</w:t>
      </w:r>
      <w:r w:rsidRPr="00131B8D">
        <w:rPr>
          <w:rFonts w:ascii="Arial" w:hAnsi="Arial" w:cs="Arial"/>
        </w:rPr>
        <w:t xml:space="preserve"> information, Braille or audio materials, sign language interpreters, assistive technology, home adaptations, advocacy, and collaborative care planning. These approaches enable individuals to take a more active role in decisions affecting their health and wellbeing.</w:t>
      </w:r>
    </w:p>
    <w:p w14:paraId="1EC1AFB5" w14:textId="41409301" w:rsidR="00105532" w:rsidRPr="00131B8D" w:rsidRDefault="00105532" w:rsidP="00131B8D">
      <w:pPr>
        <w:spacing w:line="360" w:lineRule="auto"/>
        <w:rPr>
          <w:rFonts w:ascii="Arial" w:hAnsi="Arial" w:cs="Arial"/>
        </w:rPr>
      </w:pPr>
      <w:r w:rsidRPr="00131B8D">
        <w:rPr>
          <w:rFonts w:ascii="Arial" w:hAnsi="Arial" w:cs="Arial"/>
        </w:rPr>
        <w:t xml:space="preserve">Additional barriers may be less visible but equally significant. Digital exclusion can occur when online booking systems are incompatible with screen readers or use inaccessible layouts. Autistic people may experience distress in crowded or overstimulating waiting areas, while people with mobility impairments may be unable to access examination equipment that is not </w:t>
      </w:r>
      <w:r w:rsidR="0023347D" w:rsidRPr="00131B8D">
        <w:rPr>
          <w:rFonts w:ascii="Arial" w:hAnsi="Arial" w:cs="Arial"/>
        </w:rPr>
        <w:t>height-adjustable</w:t>
      </w:r>
      <w:r w:rsidRPr="00131B8D">
        <w:rPr>
          <w:rFonts w:ascii="Arial" w:hAnsi="Arial" w:cs="Arial"/>
        </w:rPr>
        <w:t>. Communication barriers may also arise when appointments are rushed or professionals fail to use plain language. These examples demonstrate that disability is often produced through organisational design rather than impairment alone (NHS England, 2023).</w:t>
      </w:r>
      <w:r w:rsidR="006370DE" w:rsidRPr="00131B8D">
        <w:rPr>
          <w:rFonts w:ascii="Arial" w:hAnsi="Arial" w:cs="Arial"/>
        </w:rPr>
        <w:t xml:space="preserve"> </w:t>
      </w:r>
      <w:r w:rsidRPr="00131B8D">
        <w:rPr>
          <w:rFonts w:ascii="Arial" w:hAnsi="Arial" w:cs="Arial"/>
        </w:rPr>
        <w:t>Because it recognises disabled people as experts in their own lives, such practice strongly reflects person-centred principles. According to Cree and McCulloch (2023), anti-oppressive practice, collaboration, and service-user empowerment are increasingly central to contemporary social work.</w:t>
      </w:r>
    </w:p>
    <w:p w14:paraId="077E78F7" w14:textId="6727F329" w:rsidR="00105532" w:rsidRPr="00131B8D" w:rsidRDefault="00105532" w:rsidP="00131B8D">
      <w:pPr>
        <w:spacing w:line="360" w:lineRule="auto"/>
        <w:rPr>
          <w:rFonts w:ascii="Arial" w:hAnsi="Arial" w:cs="Arial"/>
        </w:rPr>
      </w:pPr>
      <w:r w:rsidRPr="00131B8D">
        <w:rPr>
          <w:rFonts w:ascii="Arial" w:hAnsi="Arial" w:cs="Arial"/>
        </w:rPr>
        <w:t xml:space="preserve">Implementation, however, remains uneven. According to Gooderham et al. (2025), some disabled people report poor communication, low expectations, or dismissal of concerns, suggesting that ableist attitudes continue to shape healthcare experiences. </w:t>
      </w:r>
      <w:r w:rsidR="0058739A" w:rsidRPr="00131B8D">
        <w:rPr>
          <w:rFonts w:ascii="Arial" w:hAnsi="Arial" w:cs="Arial"/>
        </w:rPr>
        <w:t xml:space="preserve">Another issue is diagnostic overshadowing, where symptoms are wrongly attributed to disability rather than </w:t>
      </w:r>
      <w:r w:rsidR="0058739A" w:rsidRPr="00131B8D">
        <w:rPr>
          <w:rFonts w:ascii="Arial" w:hAnsi="Arial" w:cs="Arial"/>
        </w:rPr>
        <w:lastRenderedPageBreak/>
        <w:t xml:space="preserve">being properly investigated. For example, studies show that people with learning disabilities are significantly more likely to die prematurely because unmet health needs may go unrecognised </w:t>
      </w:r>
      <w:r w:rsidRPr="00131B8D">
        <w:rPr>
          <w:rFonts w:ascii="Arial" w:hAnsi="Arial" w:cs="Arial"/>
        </w:rPr>
        <w:t xml:space="preserve">(Office for National Statistics, 2024). Financial pressures create further barriers. </w:t>
      </w:r>
      <w:r w:rsidR="00D02749" w:rsidRPr="00131B8D">
        <w:rPr>
          <w:rFonts w:ascii="Arial" w:hAnsi="Arial" w:cs="Arial"/>
        </w:rPr>
        <w:t>Staff shortages</w:t>
      </w:r>
      <w:r w:rsidRPr="00131B8D">
        <w:rPr>
          <w:rFonts w:ascii="Arial" w:hAnsi="Arial" w:cs="Arial"/>
        </w:rPr>
        <w:t xml:space="preserve"> reduced local authority funding, and time-limited appointments can make genuinely individualised care more difficult to provide (House of Commons Library, 2024). Consequently, policy ambitions do not always translate into practice.</w:t>
      </w:r>
    </w:p>
    <w:p w14:paraId="19F356C7" w14:textId="77777777" w:rsidR="00105532" w:rsidRPr="00131B8D" w:rsidRDefault="00105532" w:rsidP="00131B8D">
      <w:pPr>
        <w:pStyle w:val="Heading1"/>
        <w:spacing w:line="360" w:lineRule="auto"/>
        <w:rPr>
          <w:rFonts w:ascii="Arial" w:hAnsi="Arial" w:cs="Arial"/>
          <w:sz w:val="22"/>
          <w:szCs w:val="22"/>
        </w:rPr>
      </w:pPr>
      <w:bookmarkStart w:id="6" w:name="_Toc228275498"/>
      <w:r w:rsidRPr="00131B8D">
        <w:rPr>
          <w:rFonts w:ascii="Arial" w:hAnsi="Arial" w:cs="Arial"/>
          <w:sz w:val="22"/>
          <w:szCs w:val="22"/>
        </w:rPr>
        <w:t>Recommendations for Policy and Practice</w:t>
      </w:r>
      <w:bookmarkEnd w:id="6"/>
    </w:p>
    <w:p w14:paraId="7AAAA571" w14:textId="1D66CEB9" w:rsidR="00105532" w:rsidRPr="00131B8D" w:rsidRDefault="00105532" w:rsidP="00131B8D">
      <w:pPr>
        <w:spacing w:line="360" w:lineRule="auto"/>
        <w:rPr>
          <w:rFonts w:ascii="Arial" w:hAnsi="Arial" w:cs="Arial"/>
        </w:rPr>
      </w:pPr>
      <w:r w:rsidRPr="00131B8D">
        <w:rPr>
          <w:rFonts w:ascii="Arial" w:hAnsi="Arial" w:cs="Arial"/>
        </w:rPr>
        <w:t>Several recommendations emerge from this discussion. First, all health and social care providers should receive mandatory disability equality training. This should include communication needs, unconscious bias, legal duties, and co-produced learning led by disabled people.</w:t>
      </w:r>
      <w:r w:rsidR="00E913D2" w:rsidRPr="00131B8D">
        <w:rPr>
          <w:rFonts w:ascii="Arial" w:hAnsi="Arial" w:cs="Arial"/>
        </w:rPr>
        <w:t xml:space="preserve"> </w:t>
      </w:r>
      <w:r w:rsidRPr="00131B8D">
        <w:rPr>
          <w:rFonts w:ascii="Arial" w:hAnsi="Arial" w:cs="Arial"/>
        </w:rPr>
        <w:t>Second, stricter accessibility standards should apply to buildings, transport, websites, and appointment systems. Digital inclusion is now just as important as physical accessibility (NHS England, 2023).</w:t>
      </w:r>
    </w:p>
    <w:p w14:paraId="4B6B444F" w14:textId="00C1DC17" w:rsidR="00105532" w:rsidRPr="00131B8D" w:rsidRDefault="00105532" w:rsidP="00131B8D">
      <w:pPr>
        <w:spacing w:line="360" w:lineRule="auto"/>
        <w:rPr>
          <w:rFonts w:ascii="Arial" w:hAnsi="Arial" w:cs="Arial"/>
        </w:rPr>
      </w:pPr>
      <w:r w:rsidRPr="00131B8D">
        <w:rPr>
          <w:rFonts w:ascii="Arial" w:hAnsi="Arial" w:cs="Arial"/>
        </w:rPr>
        <w:t>Third, co-production should become standard practice.</w:t>
      </w:r>
      <w:r w:rsidR="003E298B" w:rsidRPr="00131B8D">
        <w:rPr>
          <w:rFonts w:ascii="Arial" w:hAnsi="Arial" w:cs="Arial"/>
        </w:rPr>
        <w:t xml:space="preserve"> </w:t>
      </w:r>
      <w:r w:rsidR="00E51654" w:rsidRPr="00131B8D">
        <w:rPr>
          <w:rFonts w:ascii="Arial" w:hAnsi="Arial" w:cs="Arial"/>
        </w:rPr>
        <w:t>Disabled people should be actively involved in designing, monitoring, and evaluating services to ensure policies authentically reflect lived experiences.</w:t>
      </w:r>
      <w:r w:rsidR="003E298B" w:rsidRPr="00131B8D">
        <w:rPr>
          <w:rFonts w:ascii="Arial" w:hAnsi="Arial" w:cs="Arial"/>
        </w:rPr>
        <w:t xml:space="preserve"> </w:t>
      </w:r>
      <w:r w:rsidRPr="00131B8D">
        <w:rPr>
          <w:rFonts w:ascii="Arial" w:hAnsi="Arial" w:cs="Arial"/>
        </w:rPr>
        <w:t>Co-production should also include diverse disabled voices, particularly those from minority ethnic communities, lower-income groups, and other marginalised populations who may experience multiple disadvantages. An intersectional approach can help services recognise that disability inequality is not experienced uniformly and may be intensified by poverty, racism, age, or gender (Watson, Roulstone and Thomas, 2019).</w:t>
      </w:r>
      <w:r w:rsidR="00403600" w:rsidRPr="00131B8D">
        <w:rPr>
          <w:rFonts w:ascii="Arial" w:hAnsi="Arial" w:cs="Arial"/>
        </w:rPr>
        <w:t xml:space="preserve"> </w:t>
      </w:r>
      <w:r w:rsidRPr="00131B8D">
        <w:rPr>
          <w:rFonts w:ascii="Arial" w:hAnsi="Arial" w:cs="Arial"/>
        </w:rPr>
        <w:t>Fourth, social care funding should better support independent living through community services, preventative support, personal assistance, and respite care.</w:t>
      </w:r>
    </w:p>
    <w:p w14:paraId="6D287A91" w14:textId="77777777" w:rsidR="00105532" w:rsidRPr="00131B8D" w:rsidRDefault="00105532" w:rsidP="00131B8D">
      <w:pPr>
        <w:spacing w:line="360" w:lineRule="auto"/>
        <w:rPr>
          <w:rFonts w:ascii="Arial" w:hAnsi="Arial" w:cs="Arial"/>
        </w:rPr>
      </w:pPr>
      <w:r w:rsidRPr="00131B8D">
        <w:rPr>
          <w:rFonts w:ascii="Arial" w:hAnsi="Arial" w:cs="Arial"/>
        </w:rPr>
        <w:t>Fifth, medical and social approaches should be integrated within healthcare through a biopsychosocial framework. Alongside meeting treatment needs through clinical interventions, services must also remove barriers to inclusion and participation through measures such as flexible scheduling, peer support, and accessible communication.</w:t>
      </w:r>
    </w:p>
    <w:p w14:paraId="44F2EDC8" w14:textId="77777777" w:rsidR="00105532" w:rsidRPr="00131B8D" w:rsidRDefault="00105532" w:rsidP="00131B8D">
      <w:pPr>
        <w:spacing w:line="360" w:lineRule="auto"/>
        <w:rPr>
          <w:rFonts w:ascii="Arial" w:hAnsi="Arial" w:cs="Arial"/>
        </w:rPr>
      </w:pPr>
      <w:r w:rsidRPr="00131B8D">
        <w:rPr>
          <w:rFonts w:ascii="Arial" w:hAnsi="Arial" w:cs="Arial"/>
        </w:rPr>
        <w:t>Finally, targeted action is needed to reduce the inequalities faced by disabled people, particularly those who experience multiple forms of disadvantage.</w:t>
      </w:r>
    </w:p>
    <w:p w14:paraId="3698FB15" w14:textId="77777777" w:rsidR="00105532" w:rsidRPr="00131B8D" w:rsidRDefault="00105532" w:rsidP="00131B8D">
      <w:pPr>
        <w:pStyle w:val="Heading1"/>
        <w:spacing w:line="360" w:lineRule="auto"/>
        <w:rPr>
          <w:rFonts w:ascii="Arial" w:hAnsi="Arial" w:cs="Arial"/>
          <w:sz w:val="22"/>
          <w:szCs w:val="22"/>
        </w:rPr>
      </w:pPr>
      <w:bookmarkStart w:id="7" w:name="_Toc228275499"/>
      <w:r w:rsidRPr="00131B8D">
        <w:rPr>
          <w:rFonts w:ascii="Arial" w:hAnsi="Arial" w:cs="Arial"/>
          <w:sz w:val="22"/>
          <w:szCs w:val="22"/>
        </w:rPr>
        <w:t>Conclusion</w:t>
      </w:r>
      <w:bookmarkEnd w:id="7"/>
    </w:p>
    <w:p w14:paraId="25E51DE9" w14:textId="4AA9D1E6" w:rsidR="00105532" w:rsidRPr="00131B8D" w:rsidRDefault="00213178" w:rsidP="00131B8D">
      <w:pPr>
        <w:spacing w:line="360" w:lineRule="auto"/>
        <w:rPr>
          <w:rFonts w:ascii="Arial" w:hAnsi="Arial" w:cs="Arial"/>
        </w:rPr>
      </w:pPr>
      <w:r w:rsidRPr="00131B8D">
        <w:rPr>
          <w:rFonts w:ascii="Arial" w:hAnsi="Arial" w:cs="Arial"/>
        </w:rPr>
        <w:t>The Social Model of Disability continues to serve as one of the most influential frameworks underpinning person-centred health and social care</w:t>
      </w:r>
      <w:r w:rsidR="00105532" w:rsidRPr="00131B8D">
        <w:rPr>
          <w:rFonts w:ascii="Arial" w:hAnsi="Arial" w:cs="Arial"/>
        </w:rPr>
        <w:t xml:space="preserve">. Emerging from activism in the 1970s, it challenged deficit-based understandings of disability by demonstrating that many disadvantages arise from discriminatory attitudes and inaccessible systems rather than </w:t>
      </w:r>
      <w:r w:rsidR="00105532" w:rsidRPr="00131B8D">
        <w:rPr>
          <w:rFonts w:ascii="Arial" w:hAnsi="Arial" w:cs="Arial"/>
        </w:rPr>
        <w:lastRenderedPageBreak/>
        <w:t>impairment alone. The model has influenced legislation, policy, independent living movements, and professional practice. It has promoted autonomy, dignity, accessibility, and participation in decision-making.</w:t>
      </w:r>
    </w:p>
    <w:p w14:paraId="61B93FD8" w14:textId="59FCFE8E" w:rsidR="00105532" w:rsidRPr="00131B8D" w:rsidRDefault="00105532" w:rsidP="00131B8D">
      <w:pPr>
        <w:spacing w:line="360" w:lineRule="auto"/>
        <w:rPr>
          <w:rFonts w:ascii="Arial" w:hAnsi="Arial" w:cs="Arial"/>
        </w:rPr>
      </w:pPr>
      <w:r w:rsidRPr="00131B8D">
        <w:rPr>
          <w:rFonts w:ascii="Arial" w:hAnsi="Arial" w:cs="Arial"/>
        </w:rPr>
        <w:t xml:space="preserve">Critiques concerning pain, embodiment, and diversity of experience are valid, but they have also strengthened the model by encouraging more nuanced interpretations. </w:t>
      </w:r>
      <w:r w:rsidR="00675B3D" w:rsidRPr="00131B8D">
        <w:rPr>
          <w:rFonts w:ascii="Arial" w:hAnsi="Arial" w:cs="Arial"/>
        </w:rPr>
        <w:t xml:space="preserve">Despite notable progress, disabled people still face persistent health inequalities and structural barriers. This highlights that the Social Model's principles have yet to be fully realised in practice. </w:t>
      </w:r>
      <w:r w:rsidRPr="00131B8D">
        <w:rPr>
          <w:rFonts w:ascii="Arial" w:hAnsi="Arial" w:cs="Arial"/>
        </w:rPr>
        <w:t>Overall, the Social Model remains a powerful guide for creating fairer and more inclusive services. When combined with adequate resources, co-production, and recognition of health needs, it can continue to support genuinely person-centred care.</w:t>
      </w:r>
    </w:p>
    <w:p w14:paraId="58CC4DF2" w14:textId="77777777" w:rsidR="00C13AC8" w:rsidRPr="008139D1" w:rsidRDefault="00C13AC8" w:rsidP="008139D1">
      <w:pPr>
        <w:spacing w:line="360" w:lineRule="auto"/>
        <w:rPr>
          <w:rFonts w:ascii="Arial" w:hAnsi="Arial" w:cs="Arial"/>
        </w:rPr>
      </w:pPr>
    </w:p>
    <w:p w14:paraId="45DE83CE" w14:textId="77777777" w:rsidR="00C13AC8" w:rsidRPr="008139D1" w:rsidRDefault="00C13AC8" w:rsidP="008139D1">
      <w:pPr>
        <w:spacing w:line="360" w:lineRule="auto"/>
        <w:rPr>
          <w:rFonts w:ascii="Arial" w:hAnsi="Arial" w:cs="Arial"/>
        </w:rPr>
      </w:pPr>
    </w:p>
    <w:p w14:paraId="54BF08CC" w14:textId="77777777" w:rsidR="00C13AC8" w:rsidRPr="008139D1" w:rsidRDefault="00C13AC8" w:rsidP="008139D1">
      <w:pPr>
        <w:spacing w:line="360" w:lineRule="auto"/>
        <w:rPr>
          <w:rFonts w:ascii="Arial" w:hAnsi="Arial" w:cs="Arial"/>
        </w:rPr>
      </w:pPr>
    </w:p>
    <w:p w14:paraId="5CE53190" w14:textId="77777777" w:rsidR="00AA6C4B" w:rsidRPr="008139D1" w:rsidRDefault="00AA6C4B" w:rsidP="008139D1">
      <w:pPr>
        <w:spacing w:line="360" w:lineRule="auto"/>
        <w:rPr>
          <w:rFonts w:ascii="Arial" w:hAnsi="Arial" w:cs="Arial"/>
        </w:rPr>
      </w:pPr>
    </w:p>
    <w:p w14:paraId="4A6D31C8" w14:textId="77777777" w:rsidR="00AA6C4B" w:rsidRPr="008139D1" w:rsidRDefault="00AA6C4B" w:rsidP="008139D1">
      <w:pPr>
        <w:spacing w:line="360" w:lineRule="auto"/>
        <w:rPr>
          <w:rFonts w:ascii="Arial" w:hAnsi="Arial" w:cs="Arial"/>
        </w:rPr>
      </w:pPr>
    </w:p>
    <w:p w14:paraId="327749EE" w14:textId="77777777" w:rsidR="00AA6C4B" w:rsidRPr="008139D1" w:rsidRDefault="00AA6C4B" w:rsidP="008139D1">
      <w:pPr>
        <w:spacing w:line="360" w:lineRule="auto"/>
        <w:rPr>
          <w:rFonts w:ascii="Arial" w:hAnsi="Arial" w:cs="Arial"/>
        </w:rPr>
      </w:pPr>
    </w:p>
    <w:p w14:paraId="661D7915" w14:textId="77777777" w:rsidR="008139D1" w:rsidRPr="008139D1" w:rsidRDefault="008139D1" w:rsidP="008139D1">
      <w:pPr>
        <w:spacing w:line="360" w:lineRule="auto"/>
        <w:rPr>
          <w:rFonts w:ascii="Arial" w:hAnsi="Arial" w:cs="Arial"/>
        </w:rPr>
      </w:pPr>
    </w:p>
    <w:p w14:paraId="0B5D566D" w14:textId="77777777" w:rsidR="008139D1" w:rsidRPr="008139D1" w:rsidRDefault="008139D1" w:rsidP="008139D1">
      <w:pPr>
        <w:spacing w:line="360" w:lineRule="auto"/>
        <w:rPr>
          <w:rFonts w:ascii="Arial" w:hAnsi="Arial" w:cs="Arial"/>
        </w:rPr>
      </w:pPr>
    </w:p>
    <w:p w14:paraId="435C4E34" w14:textId="77777777" w:rsidR="008139D1" w:rsidRPr="008139D1" w:rsidRDefault="008139D1" w:rsidP="008139D1">
      <w:pPr>
        <w:spacing w:line="360" w:lineRule="auto"/>
        <w:rPr>
          <w:rFonts w:ascii="Arial" w:hAnsi="Arial" w:cs="Arial"/>
        </w:rPr>
      </w:pPr>
    </w:p>
    <w:p w14:paraId="3C495288" w14:textId="77777777" w:rsidR="008139D1" w:rsidRPr="008139D1" w:rsidRDefault="008139D1" w:rsidP="008139D1">
      <w:pPr>
        <w:spacing w:line="360" w:lineRule="auto"/>
        <w:rPr>
          <w:rFonts w:ascii="Arial" w:hAnsi="Arial" w:cs="Arial"/>
        </w:rPr>
      </w:pPr>
    </w:p>
    <w:p w14:paraId="06939B44" w14:textId="77777777" w:rsidR="008139D1" w:rsidRPr="008139D1" w:rsidRDefault="008139D1" w:rsidP="008139D1">
      <w:pPr>
        <w:spacing w:line="360" w:lineRule="auto"/>
        <w:rPr>
          <w:rFonts w:ascii="Arial" w:hAnsi="Arial" w:cs="Arial"/>
        </w:rPr>
      </w:pPr>
    </w:p>
    <w:p w14:paraId="205F5F95" w14:textId="77777777" w:rsidR="008139D1" w:rsidRPr="008139D1" w:rsidRDefault="008139D1" w:rsidP="008139D1">
      <w:pPr>
        <w:spacing w:line="360" w:lineRule="auto"/>
        <w:rPr>
          <w:rFonts w:ascii="Arial" w:hAnsi="Arial" w:cs="Arial"/>
        </w:rPr>
      </w:pPr>
    </w:p>
    <w:p w14:paraId="639AD80D" w14:textId="77777777" w:rsidR="008139D1" w:rsidRPr="008139D1" w:rsidRDefault="008139D1" w:rsidP="008139D1">
      <w:pPr>
        <w:spacing w:line="360" w:lineRule="auto"/>
        <w:rPr>
          <w:rFonts w:ascii="Arial" w:hAnsi="Arial" w:cs="Arial"/>
        </w:rPr>
      </w:pPr>
    </w:p>
    <w:p w14:paraId="50F2AD2E" w14:textId="77777777" w:rsidR="008139D1" w:rsidRPr="008139D1" w:rsidRDefault="008139D1" w:rsidP="008139D1">
      <w:pPr>
        <w:spacing w:line="360" w:lineRule="auto"/>
        <w:rPr>
          <w:rFonts w:ascii="Arial" w:hAnsi="Arial" w:cs="Arial"/>
        </w:rPr>
      </w:pPr>
    </w:p>
    <w:p w14:paraId="2CCD167D" w14:textId="77777777" w:rsidR="008139D1" w:rsidRPr="008139D1" w:rsidRDefault="008139D1" w:rsidP="008139D1">
      <w:pPr>
        <w:spacing w:line="360" w:lineRule="auto"/>
        <w:rPr>
          <w:rFonts w:ascii="Arial" w:hAnsi="Arial" w:cs="Arial"/>
        </w:rPr>
      </w:pPr>
    </w:p>
    <w:p w14:paraId="23540E0F" w14:textId="77777777" w:rsidR="008139D1" w:rsidRPr="008139D1" w:rsidRDefault="008139D1" w:rsidP="008139D1">
      <w:pPr>
        <w:spacing w:line="360" w:lineRule="auto"/>
        <w:rPr>
          <w:rFonts w:ascii="Arial" w:hAnsi="Arial" w:cs="Arial"/>
        </w:rPr>
      </w:pPr>
    </w:p>
    <w:p w14:paraId="64F91C9B" w14:textId="77777777" w:rsidR="008139D1" w:rsidRPr="008139D1" w:rsidRDefault="008139D1" w:rsidP="008139D1">
      <w:pPr>
        <w:spacing w:line="360" w:lineRule="auto"/>
        <w:rPr>
          <w:rFonts w:ascii="Arial" w:hAnsi="Arial" w:cs="Arial"/>
        </w:rPr>
      </w:pPr>
    </w:p>
    <w:p w14:paraId="6788620D" w14:textId="77777777" w:rsidR="008139D1" w:rsidRPr="008139D1" w:rsidRDefault="008139D1" w:rsidP="008139D1">
      <w:pPr>
        <w:spacing w:line="360" w:lineRule="auto"/>
        <w:rPr>
          <w:rFonts w:ascii="Arial" w:hAnsi="Arial" w:cs="Arial"/>
        </w:rPr>
      </w:pPr>
    </w:p>
    <w:p w14:paraId="40306F9A" w14:textId="41E05D48" w:rsidR="00C13AC8" w:rsidRPr="00D02749" w:rsidRDefault="00C13AC8" w:rsidP="008139D1">
      <w:pPr>
        <w:pStyle w:val="Heading1"/>
        <w:spacing w:line="360" w:lineRule="auto"/>
        <w:rPr>
          <w:rFonts w:ascii="Arial" w:hAnsi="Arial" w:cs="Arial"/>
          <w:sz w:val="32"/>
          <w:szCs w:val="32"/>
        </w:rPr>
      </w:pPr>
      <w:bookmarkStart w:id="8" w:name="_Toc228275500"/>
      <w:r w:rsidRPr="00D02749">
        <w:rPr>
          <w:rFonts w:ascii="Arial" w:hAnsi="Arial" w:cs="Arial"/>
          <w:sz w:val="32"/>
          <w:szCs w:val="32"/>
        </w:rPr>
        <w:lastRenderedPageBreak/>
        <w:t>Reference List</w:t>
      </w:r>
      <w:bookmarkEnd w:id="8"/>
      <w:r w:rsidRPr="00D02749">
        <w:rPr>
          <w:rFonts w:ascii="Arial" w:hAnsi="Arial" w:cs="Arial"/>
          <w:sz w:val="32"/>
          <w:szCs w:val="32"/>
        </w:rPr>
        <w:t xml:space="preserve"> </w:t>
      </w:r>
    </w:p>
    <w:p w14:paraId="1D363FE3" w14:textId="77777777" w:rsidR="00C13AC8" w:rsidRPr="008139D1" w:rsidRDefault="00C13AC8" w:rsidP="008139D1">
      <w:pPr>
        <w:spacing w:line="360" w:lineRule="auto"/>
        <w:rPr>
          <w:rFonts w:ascii="Arial" w:hAnsi="Arial" w:cs="Arial"/>
        </w:rPr>
      </w:pPr>
      <w:r w:rsidRPr="008139D1">
        <w:rPr>
          <w:rFonts w:ascii="Arial" w:hAnsi="Arial" w:cs="Arial"/>
        </w:rPr>
        <w:t xml:space="preserve">Adam, S., Vehmas, S. and Teittinen, A. (2023) ‘Who needs the social model of disability?’, </w:t>
      </w:r>
      <w:r w:rsidRPr="008139D1">
        <w:rPr>
          <w:rFonts w:ascii="Arial" w:hAnsi="Arial" w:cs="Arial"/>
          <w:i/>
          <w:iCs/>
        </w:rPr>
        <w:t>Frontiers in Sociology</w:t>
      </w:r>
      <w:r w:rsidRPr="008139D1">
        <w:rPr>
          <w:rFonts w:ascii="Arial" w:hAnsi="Arial" w:cs="Arial"/>
        </w:rPr>
        <w:t xml:space="preserve">, 8, pp. 1–10. Available at: </w:t>
      </w:r>
      <w:hyperlink r:id="rId10" w:tgtFrame="_new" w:history="1">
        <w:r w:rsidRPr="008139D1">
          <w:rPr>
            <w:rStyle w:val="Hyperlink"/>
            <w:rFonts w:ascii="Arial" w:hAnsi="Arial" w:cs="Arial"/>
          </w:rPr>
          <w:t>https://doi.org/10.3389/fsoc.2023.1305301</w:t>
        </w:r>
      </w:hyperlink>
      <w:r w:rsidRPr="008139D1">
        <w:rPr>
          <w:rFonts w:ascii="Arial" w:hAnsi="Arial" w:cs="Arial"/>
        </w:rPr>
        <w:t xml:space="preserve"> (Accessed: 1 April 2026).</w:t>
      </w:r>
    </w:p>
    <w:p w14:paraId="453DB23E" w14:textId="77777777" w:rsidR="00C13AC8" w:rsidRPr="008139D1" w:rsidRDefault="00C13AC8" w:rsidP="008139D1">
      <w:pPr>
        <w:spacing w:line="360" w:lineRule="auto"/>
        <w:rPr>
          <w:rFonts w:ascii="Arial" w:hAnsi="Arial" w:cs="Arial"/>
        </w:rPr>
      </w:pPr>
      <w:r w:rsidRPr="008139D1">
        <w:rPr>
          <w:rFonts w:ascii="Arial" w:hAnsi="Arial" w:cs="Arial"/>
        </w:rPr>
        <w:t xml:space="preserve">Care Act 2014. (2014) London: HMSO. Available at: </w:t>
      </w:r>
      <w:hyperlink r:id="rId11" w:tgtFrame="_new" w:history="1">
        <w:r w:rsidRPr="008139D1">
          <w:rPr>
            <w:rStyle w:val="Hyperlink"/>
            <w:rFonts w:ascii="Arial" w:hAnsi="Arial" w:cs="Arial"/>
          </w:rPr>
          <w:t>https://www.legislation.gov.uk/ukpga/2014/23/contents</w:t>
        </w:r>
      </w:hyperlink>
      <w:r w:rsidRPr="008139D1">
        <w:rPr>
          <w:rFonts w:ascii="Arial" w:hAnsi="Arial" w:cs="Arial"/>
        </w:rPr>
        <w:t xml:space="preserve"> (Accessed: 4 April 2026).</w:t>
      </w:r>
    </w:p>
    <w:p w14:paraId="6AEBD900" w14:textId="77777777" w:rsidR="00C13AC8" w:rsidRPr="008139D1" w:rsidRDefault="00C13AC8" w:rsidP="008139D1">
      <w:pPr>
        <w:spacing w:line="360" w:lineRule="auto"/>
        <w:rPr>
          <w:rFonts w:ascii="Arial" w:hAnsi="Arial" w:cs="Arial"/>
        </w:rPr>
      </w:pPr>
      <w:r w:rsidRPr="008139D1">
        <w:rPr>
          <w:rFonts w:ascii="Arial" w:hAnsi="Arial" w:cs="Arial"/>
        </w:rPr>
        <w:t xml:space="preserve">Cree, V.E. and McCulloch, T. (eds.) (2023) </w:t>
      </w:r>
      <w:r w:rsidRPr="008139D1">
        <w:rPr>
          <w:rFonts w:ascii="Arial" w:hAnsi="Arial" w:cs="Arial"/>
          <w:i/>
          <w:iCs/>
        </w:rPr>
        <w:t>Social Work: A Reader</w:t>
      </w:r>
      <w:r w:rsidRPr="008139D1">
        <w:rPr>
          <w:rFonts w:ascii="Arial" w:hAnsi="Arial" w:cs="Arial"/>
        </w:rPr>
        <w:t xml:space="preserve">. 2nd edn. London: Routledge. Available at: </w:t>
      </w:r>
      <w:hyperlink r:id="rId12" w:tgtFrame="_new" w:history="1">
        <w:r w:rsidRPr="008139D1">
          <w:rPr>
            <w:rStyle w:val="Hyperlink"/>
            <w:rFonts w:ascii="Arial" w:hAnsi="Arial" w:cs="Arial"/>
          </w:rPr>
          <w:t>https://doi.org/10.4324/9781003178699</w:t>
        </w:r>
      </w:hyperlink>
      <w:r w:rsidRPr="008139D1">
        <w:rPr>
          <w:rFonts w:ascii="Arial" w:hAnsi="Arial" w:cs="Arial"/>
        </w:rPr>
        <w:t xml:space="preserve"> (Accessed: 22 April 2026).</w:t>
      </w:r>
    </w:p>
    <w:p w14:paraId="74F0C517" w14:textId="77777777" w:rsidR="00C13AC8" w:rsidRPr="008139D1" w:rsidRDefault="00C13AC8" w:rsidP="008139D1">
      <w:pPr>
        <w:spacing w:line="360" w:lineRule="auto"/>
        <w:rPr>
          <w:rFonts w:ascii="Arial" w:hAnsi="Arial" w:cs="Arial"/>
        </w:rPr>
      </w:pPr>
      <w:r w:rsidRPr="008139D1">
        <w:rPr>
          <w:rFonts w:ascii="Arial" w:hAnsi="Arial" w:cs="Arial"/>
        </w:rPr>
        <w:t xml:space="preserve">Department of Health and Social Care (2021) </w:t>
      </w:r>
      <w:r w:rsidRPr="008139D1">
        <w:rPr>
          <w:rFonts w:ascii="Arial" w:hAnsi="Arial" w:cs="Arial"/>
          <w:i/>
          <w:iCs/>
        </w:rPr>
        <w:t>The NHS Constitution for England</w:t>
      </w:r>
      <w:r w:rsidRPr="008139D1">
        <w:rPr>
          <w:rFonts w:ascii="Arial" w:hAnsi="Arial" w:cs="Arial"/>
        </w:rPr>
        <w:t xml:space="preserve">. London: DHSC. Available at: </w:t>
      </w:r>
      <w:hyperlink r:id="rId13" w:tgtFrame="_new" w:history="1">
        <w:r w:rsidRPr="008139D1">
          <w:rPr>
            <w:rStyle w:val="Hyperlink"/>
            <w:rFonts w:ascii="Arial" w:hAnsi="Arial" w:cs="Arial"/>
          </w:rPr>
          <w:t>https://www.gov.uk/government/publications/the-nhs-constitution-for-england</w:t>
        </w:r>
      </w:hyperlink>
      <w:r w:rsidRPr="008139D1">
        <w:rPr>
          <w:rFonts w:ascii="Arial" w:hAnsi="Arial" w:cs="Arial"/>
        </w:rPr>
        <w:t xml:space="preserve"> (Accessed: 22 April 2026).</w:t>
      </w:r>
    </w:p>
    <w:p w14:paraId="53C5F95E" w14:textId="77777777" w:rsidR="00C13AC8" w:rsidRPr="008139D1" w:rsidRDefault="00C13AC8" w:rsidP="008139D1">
      <w:pPr>
        <w:spacing w:line="360" w:lineRule="auto"/>
        <w:rPr>
          <w:rFonts w:ascii="Arial" w:hAnsi="Arial" w:cs="Arial"/>
        </w:rPr>
      </w:pPr>
      <w:r w:rsidRPr="008139D1">
        <w:rPr>
          <w:rFonts w:ascii="Arial" w:hAnsi="Arial" w:cs="Arial"/>
        </w:rPr>
        <w:t xml:space="preserve">Disability Rights UK (2023) </w:t>
      </w:r>
      <w:r w:rsidRPr="008139D1">
        <w:rPr>
          <w:rFonts w:ascii="Arial" w:hAnsi="Arial" w:cs="Arial"/>
          <w:i/>
          <w:iCs/>
        </w:rPr>
        <w:t>Independent Living and Social Care Policy Review</w:t>
      </w:r>
      <w:r w:rsidRPr="008139D1">
        <w:rPr>
          <w:rFonts w:ascii="Arial" w:hAnsi="Arial" w:cs="Arial"/>
        </w:rPr>
        <w:t xml:space="preserve">. London: Disability Rights UK. Available at: </w:t>
      </w:r>
      <w:hyperlink r:id="rId14" w:tgtFrame="_new" w:history="1">
        <w:r w:rsidRPr="008139D1">
          <w:rPr>
            <w:rStyle w:val="Hyperlink"/>
            <w:rFonts w:ascii="Arial" w:hAnsi="Arial" w:cs="Arial"/>
          </w:rPr>
          <w:t>https://www.disabilityrightsuk.org/</w:t>
        </w:r>
      </w:hyperlink>
      <w:r w:rsidRPr="008139D1">
        <w:rPr>
          <w:rFonts w:ascii="Arial" w:hAnsi="Arial" w:cs="Arial"/>
        </w:rPr>
        <w:t xml:space="preserve"> (Accessed: 4 April 2026).</w:t>
      </w:r>
    </w:p>
    <w:p w14:paraId="6CFC6848" w14:textId="77777777" w:rsidR="00C13AC8" w:rsidRPr="008139D1" w:rsidRDefault="00C13AC8" w:rsidP="008139D1">
      <w:pPr>
        <w:spacing w:line="360" w:lineRule="auto"/>
        <w:rPr>
          <w:rFonts w:ascii="Arial" w:hAnsi="Arial" w:cs="Arial"/>
        </w:rPr>
      </w:pPr>
      <w:r w:rsidRPr="008139D1">
        <w:rPr>
          <w:rFonts w:ascii="Arial" w:hAnsi="Arial" w:cs="Arial"/>
        </w:rPr>
        <w:t xml:space="preserve">Equality Act 2010. (2010) London: HMSO. Available at: </w:t>
      </w:r>
      <w:hyperlink r:id="rId15" w:tgtFrame="_new" w:history="1">
        <w:r w:rsidRPr="008139D1">
          <w:rPr>
            <w:rStyle w:val="Hyperlink"/>
            <w:rFonts w:ascii="Arial" w:hAnsi="Arial" w:cs="Arial"/>
          </w:rPr>
          <w:t>https://www.legislation.gov.uk/ukpga/2010/15/contents</w:t>
        </w:r>
      </w:hyperlink>
      <w:r w:rsidRPr="008139D1">
        <w:rPr>
          <w:rFonts w:ascii="Arial" w:hAnsi="Arial" w:cs="Arial"/>
        </w:rPr>
        <w:t xml:space="preserve"> (Accessed: 22 April 2026).</w:t>
      </w:r>
    </w:p>
    <w:p w14:paraId="2A3989E5" w14:textId="6CCEEB01" w:rsidR="00C13AC8" w:rsidRPr="008139D1" w:rsidRDefault="00B51AD5" w:rsidP="008139D1">
      <w:pPr>
        <w:spacing w:line="360" w:lineRule="auto"/>
        <w:rPr>
          <w:rFonts w:ascii="Arial" w:hAnsi="Arial" w:cs="Arial"/>
        </w:rPr>
      </w:pPr>
      <w:r w:rsidRPr="00B51AD5">
        <w:rPr>
          <w:rFonts w:ascii="Arial" w:hAnsi="Arial" w:cs="Arial"/>
        </w:rPr>
        <w:t xml:space="preserve">Gooderham, E., Smith, J., Lavergne, R., McCracken, R.K. and Hedden, L. (2025) ‘Addressing ableism in healthcare: integrating critical disability theory into health services research’, </w:t>
      </w:r>
      <w:r w:rsidRPr="00B51AD5">
        <w:rPr>
          <w:rFonts w:ascii="Arial" w:hAnsi="Arial" w:cs="Arial"/>
          <w:i/>
          <w:iCs/>
        </w:rPr>
        <w:t>International Journal for Equity in Health</w:t>
      </w:r>
      <w:r w:rsidRPr="00B51AD5">
        <w:rPr>
          <w:rFonts w:ascii="Arial" w:hAnsi="Arial" w:cs="Arial"/>
        </w:rPr>
        <w:t xml:space="preserve">, 25(1), p. 10. Available at: https://doi.org/10.1186/s12939-025-02721-x (Accessed: 8 April 2026). </w:t>
      </w:r>
    </w:p>
    <w:p w14:paraId="7C6BD3DB" w14:textId="77777777" w:rsidR="00C13AC8" w:rsidRPr="008139D1" w:rsidRDefault="00C13AC8" w:rsidP="008139D1">
      <w:pPr>
        <w:spacing w:line="360" w:lineRule="auto"/>
        <w:rPr>
          <w:rFonts w:ascii="Arial" w:hAnsi="Arial" w:cs="Arial"/>
        </w:rPr>
      </w:pPr>
      <w:r w:rsidRPr="008139D1">
        <w:rPr>
          <w:rFonts w:ascii="Arial" w:hAnsi="Arial" w:cs="Arial"/>
        </w:rPr>
        <w:t xml:space="preserve">Goodley, D. (2017) </w:t>
      </w:r>
      <w:r w:rsidRPr="008139D1">
        <w:rPr>
          <w:rFonts w:ascii="Arial" w:hAnsi="Arial" w:cs="Arial"/>
          <w:i/>
          <w:iCs/>
        </w:rPr>
        <w:t>Disability Studies: An Interdisciplinary Introduction</w:t>
      </w:r>
      <w:r w:rsidRPr="008139D1">
        <w:rPr>
          <w:rFonts w:ascii="Arial" w:hAnsi="Arial" w:cs="Arial"/>
        </w:rPr>
        <w:t>. 2nd edn. London: Sage.</w:t>
      </w:r>
    </w:p>
    <w:p w14:paraId="4FAB6534" w14:textId="77777777" w:rsidR="00C13AC8" w:rsidRPr="008139D1" w:rsidRDefault="00C13AC8" w:rsidP="008139D1">
      <w:pPr>
        <w:spacing w:line="360" w:lineRule="auto"/>
        <w:rPr>
          <w:rFonts w:ascii="Arial" w:hAnsi="Arial" w:cs="Arial"/>
        </w:rPr>
      </w:pPr>
      <w:r w:rsidRPr="008139D1">
        <w:rPr>
          <w:rFonts w:ascii="Arial" w:hAnsi="Arial" w:cs="Arial"/>
        </w:rPr>
        <w:t xml:space="preserve">House of Commons Library (2024) </w:t>
      </w:r>
      <w:r w:rsidRPr="008139D1">
        <w:rPr>
          <w:rFonts w:ascii="Arial" w:hAnsi="Arial" w:cs="Arial"/>
          <w:i/>
          <w:iCs/>
        </w:rPr>
        <w:t>Disability Employment and Social Care Support in the UK</w:t>
      </w:r>
      <w:r w:rsidRPr="008139D1">
        <w:rPr>
          <w:rFonts w:ascii="Arial" w:hAnsi="Arial" w:cs="Arial"/>
        </w:rPr>
        <w:t xml:space="preserve">. London: UK Parliament. Available at: </w:t>
      </w:r>
      <w:hyperlink r:id="rId16" w:tgtFrame="_new" w:history="1">
        <w:r w:rsidRPr="008139D1">
          <w:rPr>
            <w:rStyle w:val="Hyperlink"/>
            <w:rFonts w:ascii="Arial" w:hAnsi="Arial" w:cs="Arial"/>
          </w:rPr>
          <w:t>https://commonslibrary.parliament.uk/</w:t>
        </w:r>
      </w:hyperlink>
      <w:r w:rsidRPr="008139D1">
        <w:rPr>
          <w:rFonts w:ascii="Arial" w:hAnsi="Arial" w:cs="Arial"/>
        </w:rPr>
        <w:t xml:space="preserve"> (Accessed: 8 April 2026).</w:t>
      </w:r>
    </w:p>
    <w:p w14:paraId="7D56646A" w14:textId="77777777" w:rsidR="00C13AC8" w:rsidRPr="008139D1" w:rsidRDefault="00C13AC8" w:rsidP="008139D1">
      <w:pPr>
        <w:spacing w:line="360" w:lineRule="auto"/>
        <w:rPr>
          <w:rFonts w:ascii="Arial" w:hAnsi="Arial" w:cs="Arial"/>
        </w:rPr>
      </w:pPr>
      <w:r w:rsidRPr="008139D1">
        <w:rPr>
          <w:rFonts w:ascii="Arial" w:hAnsi="Arial" w:cs="Arial"/>
        </w:rPr>
        <w:t xml:space="preserve">NHS England (2023) </w:t>
      </w:r>
      <w:r w:rsidRPr="008139D1">
        <w:rPr>
          <w:rFonts w:ascii="Arial" w:hAnsi="Arial" w:cs="Arial"/>
          <w:i/>
          <w:iCs/>
        </w:rPr>
        <w:t>Accessible Information Standard: Guidance for Health and Care Services</w:t>
      </w:r>
      <w:r w:rsidRPr="008139D1">
        <w:rPr>
          <w:rFonts w:ascii="Arial" w:hAnsi="Arial" w:cs="Arial"/>
        </w:rPr>
        <w:t xml:space="preserve">. London: NHS England. Available at: </w:t>
      </w:r>
      <w:hyperlink r:id="rId17" w:tgtFrame="_new" w:history="1">
        <w:r w:rsidRPr="008139D1">
          <w:rPr>
            <w:rStyle w:val="Hyperlink"/>
            <w:rFonts w:ascii="Arial" w:hAnsi="Arial" w:cs="Arial"/>
          </w:rPr>
          <w:t>https://www.england.nhs.uk/accessibleinfo/</w:t>
        </w:r>
      </w:hyperlink>
      <w:r w:rsidRPr="008139D1">
        <w:rPr>
          <w:rFonts w:ascii="Arial" w:hAnsi="Arial" w:cs="Arial"/>
        </w:rPr>
        <w:t xml:space="preserve"> (Accessed: 12 April 2026).</w:t>
      </w:r>
    </w:p>
    <w:p w14:paraId="76571F41" w14:textId="77777777" w:rsidR="00C13AC8" w:rsidRPr="008139D1" w:rsidRDefault="00C13AC8" w:rsidP="008139D1">
      <w:pPr>
        <w:spacing w:line="360" w:lineRule="auto"/>
        <w:rPr>
          <w:rFonts w:ascii="Arial" w:hAnsi="Arial" w:cs="Arial"/>
        </w:rPr>
      </w:pPr>
      <w:r w:rsidRPr="008139D1">
        <w:rPr>
          <w:rFonts w:ascii="Arial" w:hAnsi="Arial" w:cs="Arial"/>
        </w:rPr>
        <w:t xml:space="preserve">Office for National Statistics (2024) </w:t>
      </w:r>
      <w:r w:rsidRPr="008139D1">
        <w:rPr>
          <w:rFonts w:ascii="Arial" w:hAnsi="Arial" w:cs="Arial"/>
          <w:i/>
          <w:iCs/>
        </w:rPr>
        <w:t>Outcomes for Disabled People in the UK: 2024</w:t>
      </w:r>
      <w:r w:rsidRPr="008139D1">
        <w:rPr>
          <w:rFonts w:ascii="Arial" w:hAnsi="Arial" w:cs="Arial"/>
        </w:rPr>
        <w:t xml:space="preserve">. London: ONS. Available at: </w:t>
      </w:r>
      <w:hyperlink r:id="rId18" w:tgtFrame="_new" w:history="1">
        <w:r w:rsidRPr="008139D1">
          <w:rPr>
            <w:rStyle w:val="Hyperlink"/>
            <w:rFonts w:ascii="Arial" w:hAnsi="Arial" w:cs="Arial"/>
          </w:rPr>
          <w:t>https://www.ons.gov.uk/</w:t>
        </w:r>
      </w:hyperlink>
      <w:r w:rsidRPr="008139D1">
        <w:rPr>
          <w:rFonts w:ascii="Arial" w:hAnsi="Arial" w:cs="Arial"/>
        </w:rPr>
        <w:t xml:space="preserve"> (Accessed: 12 April 2026).</w:t>
      </w:r>
    </w:p>
    <w:p w14:paraId="0756FE6C" w14:textId="77777777" w:rsidR="00C13AC8" w:rsidRPr="008139D1" w:rsidRDefault="00C13AC8" w:rsidP="008139D1">
      <w:pPr>
        <w:spacing w:line="360" w:lineRule="auto"/>
        <w:rPr>
          <w:rFonts w:ascii="Arial" w:hAnsi="Arial" w:cs="Arial"/>
        </w:rPr>
      </w:pPr>
      <w:r w:rsidRPr="008139D1">
        <w:rPr>
          <w:rFonts w:ascii="Arial" w:hAnsi="Arial" w:cs="Arial"/>
        </w:rPr>
        <w:lastRenderedPageBreak/>
        <w:t xml:space="preserve">Oliver, M. (2013) ‘The social model of disability: thirty years on’, </w:t>
      </w:r>
      <w:r w:rsidRPr="008139D1">
        <w:rPr>
          <w:rFonts w:ascii="Arial" w:hAnsi="Arial" w:cs="Arial"/>
          <w:i/>
          <w:iCs/>
        </w:rPr>
        <w:t>Disability &amp; Society</w:t>
      </w:r>
      <w:r w:rsidRPr="008139D1">
        <w:rPr>
          <w:rFonts w:ascii="Arial" w:hAnsi="Arial" w:cs="Arial"/>
        </w:rPr>
        <w:t xml:space="preserve">, 28(7), pp. 1024–1026. Available at: </w:t>
      </w:r>
      <w:hyperlink r:id="rId19" w:tgtFrame="_new" w:history="1">
        <w:r w:rsidRPr="008139D1">
          <w:rPr>
            <w:rStyle w:val="Hyperlink"/>
            <w:rFonts w:ascii="Arial" w:hAnsi="Arial" w:cs="Arial"/>
          </w:rPr>
          <w:t>https://doi.org/10.1080/09687599.2013.818773</w:t>
        </w:r>
      </w:hyperlink>
      <w:r w:rsidRPr="008139D1">
        <w:rPr>
          <w:rFonts w:ascii="Arial" w:hAnsi="Arial" w:cs="Arial"/>
        </w:rPr>
        <w:t xml:space="preserve"> (Accessed: 15 April 2026).</w:t>
      </w:r>
    </w:p>
    <w:p w14:paraId="2F6B27D0" w14:textId="77777777" w:rsidR="00C13AC8" w:rsidRPr="008139D1" w:rsidRDefault="00C13AC8" w:rsidP="008139D1">
      <w:pPr>
        <w:spacing w:line="360" w:lineRule="auto"/>
        <w:rPr>
          <w:rFonts w:ascii="Arial" w:hAnsi="Arial" w:cs="Arial"/>
        </w:rPr>
      </w:pPr>
      <w:r w:rsidRPr="008139D1">
        <w:rPr>
          <w:rFonts w:ascii="Arial" w:hAnsi="Arial" w:cs="Arial"/>
        </w:rPr>
        <w:t xml:space="preserve">Shakespeare, T. (2018) </w:t>
      </w:r>
      <w:r w:rsidRPr="008139D1">
        <w:rPr>
          <w:rFonts w:ascii="Arial" w:hAnsi="Arial" w:cs="Arial"/>
          <w:i/>
          <w:iCs/>
        </w:rPr>
        <w:t>Disability: The Basics</w:t>
      </w:r>
      <w:r w:rsidRPr="008139D1">
        <w:rPr>
          <w:rFonts w:ascii="Arial" w:hAnsi="Arial" w:cs="Arial"/>
        </w:rPr>
        <w:t>. London: Routledge.</w:t>
      </w:r>
    </w:p>
    <w:p w14:paraId="3CE32157" w14:textId="77777777" w:rsidR="00C13AC8" w:rsidRPr="008139D1" w:rsidRDefault="00C13AC8" w:rsidP="008139D1">
      <w:pPr>
        <w:spacing w:line="360" w:lineRule="auto"/>
        <w:rPr>
          <w:rFonts w:ascii="Arial" w:hAnsi="Arial" w:cs="Arial"/>
        </w:rPr>
      </w:pPr>
      <w:r w:rsidRPr="008139D1">
        <w:rPr>
          <w:rFonts w:ascii="Arial" w:hAnsi="Arial" w:cs="Arial"/>
        </w:rPr>
        <w:t xml:space="preserve">Thorneycroft, R. (2024) ‘Screwing the social model of disability’, </w:t>
      </w:r>
      <w:r w:rsidRPr="008139D1">
        <w:rPr>
          <w:rFonts w:ascii="Arial" w:hAnsi="Arial" w:cs="Arial"/>
          <w:i/>
          <w:iCs/>
        </w:rPr>
        <w:t>Scandinavian Journal of Disability Research</w:t>
      </w:r>
      <w:r w:rsidRPr="008139D1">
        <w:rPr>
          <w:rFonts w:ascii="Arial" w:hAnsi="Arial" w:cs="Arial"/>
        </w:rPr>
        <w:t xml:space="preserve">, 26(1), pp. 286–299. Available at: </w:t>
      </w:r>
      <w:hyperlink r:id="rId20" w:tgtFrame="_new" w:history="1">
        <w:r w:rsidRPr="008139D1">
          <w:rPr>
            <w:rStyle w:val="Hyperlink"/>
            <w:rFonts w:ascii="Arial" w:hAnsi="Arial" w:cs="Arial"/>
          </w:rPr>
          <w:t>https://doi.org/10.16993/sjdr.1130</w:t>
        </w:r>
      </w:hyperlink>
      <w:r w:rsidRPr="008139D1">
        <w:rPr>
          <w:rFonts w:ascii="Arial" w:hAnsi="Arial" w:cs="Arial"/>
        </w:rPr>
        <w:t xml:space="preserve"> (Accessed: 15 April 2026).</w:t>
      </w:r>
    </w:p>
    <w:p w14:paraId="7082EB15" w14:textId="77777777" w:rsidR="00C13AC8" w:rsidRPr="008139D1" w:rsidRDefault="00C13AC8" w:rsidP="008139D1">
      <w:pPr>
        <w:spacing w:line="360" w:lineRule="auto"/>
        <w:rPr>
          <w:rFonts w:ascii="Arial" w:hAnsi="Arial" w:cs="Arial"/>
        </w:rPr>
      </w:pPr>
      <w:r w:rsidRPr="008139D1">
        <w:rPr>
          <w:rFonts w:ascii="Arial" w:hAnsi="Arial" w:cs="Arial"/>
        </w:rPr>
        <w:t xml:space="preserve">United Nations (2006) </w:t>
      </w:r>
      <w:r w:rsidRPr="008139D1">
        <w:rPr>
          <w:rFonts w:ascii="Arial" w:hAnsi="Arial" w:cs="Arial"/>
          <w:i/>
          <w:iCs/>
        </w:rPr>
        <w:t>Convention on the Rights of Persons with Disabilities</w:t>
      </w:r>
      <w:r w:rsidRPr="008139D1">
        <w:rPr>
          <w:rFonts w:ascii="Arial" w:hAnsi="Arial" w:cs="Arial"/>
        </w:rPr>
        <w:t xml:space="preserve">. New York: United Nations. Available at: </w:t>
      </w:r>
      <w:hyperlink r:id="rId21" w:tgtFrame="_new" w:history="1">
        <w:r w:rsidRPr="008139D1">
          <w:rPr>
            <w:rStyle w:val="Hyperlink"/>
            <w:rFonts w:ascii="Arial" w:hAnsi="Arial" w:cs="Arial"/>
          </w:rPr>
          <w:t>https://www.un.org/disabilities/</w:t>
        </w:r>
      </w:hyperlink>
      <w:r w:rsidRPr="008139D1">
        <w:rPr>
          <w:rFonts w:ascii="Arial" w:hAnsi="Arial" w:cs="Arial"/>
        </w:rPr>
        <w:t xml:space="preserve"> (Accessed: 24 April 2026).</w:t>
      </w:r>
    </w:p>
    <w:p w14:paraId="698174B8" w14:textId="77777777" w:rsidR="00C13AC8" w:rsidRPr="008139D1" w:rsidRDefault="00C13AC8" w:rsidP="008139D1">
      <w:pPr>
        <w:spacing w:line="360" w:lineRule="auto"/>
        <w:rPr>
          <w:rFonts w:ascii="Arial" w:hAnsi="Arial" w:cs="Arial"/>
        </w:rPr>
      </w:pPr>
      <w:r w:rsidRPr="008139D1">
        <w:rPr>
          <w:rFonts w:ascii="Arial" w:hAnsi="Arial" w:cs="Arial"/>
        </w:rPr>
        <w:t xml:space="preserve">UPIAS (1976) </w:t>
      </w:r>
      <w:r w:rsidRPr="008139D1">
        <w:rPr>
          <w:rFonts w:ascii="Arial" w:hAnsi="Arial" w:cs="Arial"/>
          <w:i/>
          <w:iCs/>
        </w:rPr>
        <w:t>Fundamental Principles of Disability</w:t>
      </w:r>
      <w:r w:rsidRPr="008139D1">
        <w:rPr>
          <w:rFonts w:ascii="Arial" w:hAnsi="Arial" w:cs="Arial"/>
        </w:rPr>
        <w:t>. London: Union of the Physically Impaired Against Segregation.</w:t>
      </w:r>
    </w:p>
    <w:p w14:paraId="2667ACDC" w14:textId="77777777" w:rsidR="00C13AC8" w:rsidRPr="008139D1" w:rsidRDefault="00C13AC8" w:rsidP="008139D1">
      <w:pPr>
        <w:spacing w:line="360" w:lineRule="auto"/>
        <w:rPr>
          <w:rFonts w:ascii="Arial" w:hAnsi="Arial" w:cs="Arial"/>
        </w:rPr>
      </w:pPr>
      <w:r w:rsidRPr="008139D1">
        <w:rPr>
          <w:rFonts w:ascii="Arial" w:hAnsi="Arial" w:cs="Arial"/>
        </w:rPr>
        <w:t xml:space="preserve">Watson, N., Roulstone, A. and Thomas, C. (eds.) (2019) </w:t>
      </w:r>
      <w:r w:rsidRPr="008139D1">
        <w:rPr>
          <w:rFonts w:ascii="Arial" w:hAnsi="Arial" w:cs="Arial"/>
          <w:i/>
          <w:iCs/>
        </w:rPr>
        <w:t>Routledge Handbook of Disability Studies</w:t>
      </w:r>
      <w:r w:rsidRPr="008139D1">
        <w:rPr>
          <w:rFonts w:ascii="Arial" w:hAnsi="Arial" w:cs="Arial"/>
        </w:rPr>
        <w:t xml:space="preserve">. 2nd edn. London: Routledge. Available at: </w:t>
      </w:r>
      <w:hyperlink r:id="rId22" w:tgtFrame="_new" w:history="1">
        <w:r w:rsidRPr="008139D1">
          <w:rPr>
            <w:rStyle w:val="Hyperlink"/>
            <w:rFonts w:ascii="Arial" w:hAnsi="Arial" w:cs="Arial"/>
          </w:rPr>
          <w:t>https://doi.org/10.4324/9780429430817</w:t>
        </w:r>
      </w:hyperlink>
      <w:r w:rsidRPr="008139D1">
        <w:rPr>
          <w:rFonts w:ascii="Arial" w:hAnsi="Arial" w:cs="Arial"/>
        </w:rPr>
        <w:t xml:space="preserve"> (Accessed: 24 April 2026).</w:t>
      </w:r>
    </w:p>
    <w:p w14:paraId="725F2A9E" w14:textId="77777777" w:rsidR="00C13AC8" w:rsidRPr="008139D1" w:rsidRDefault="00C13AC8" w:rsidP="008139D1">
      <w:pPr>
        <w:spacing w:line="360" w:lineRule="auto"/>
        <w:rPr>
          <w:rFonts w:ascii="Arial" w:hAnsi="Arial" w:cs="Arial"/>
        </w:rPr>
      </w:pPr>
      <w:r w:rsidRPr="008139D1">
        <w:rPr>
          <w:rFonts w:ascii="Arial" w:hAnsi="Arial" w:cs="Arial"/>
        </w:rPr>
        <w:t xml:space="preserve">World Health Organization (2019) </w:t>
      </w:r>
      <w:r w:rsidRPr="008139D1">
        <w:rPr>
          <w:rFonts w:ascii="Arial" w:hAnsi="Arial" w:cs="Arial"/>
          <w:i/>
          <w:iCs/>
        </w:rPr>
        <w:t>Disability Considerations during the COVID-19 Pandemic</w:t>
      </w:r>
      <w:r w:rsidRPr="008139D1">
        <w:rPr>
          <w:rFonts w:ascii="Arial" w:hAnsi="Arial" w:cs="Arial"/>
        </w:rPr>
        <w:t xml:space="preserve">. Geneva: WHO. Available at: </w:t>
      </w:r>
      <w:hyperlink r:id="rId23" w:tgtFrame="_new" w:history="1">
        <w:r w:rsidRPr="008139D1">
          <w:rPr>
            <w:rStyle w:val="Hyperlink"/>
            <w:rFonts w:ascii="Arial" w:hAnsi="Arial" w:cs="Arial"/>
          </w:rPr>
          <w:t>https://www.who.int/</w:t>
        </w:r>
      </w:hyperlink>
      <w:r w:rsidRPr="008139D1">
        <w:rPr>
          <w:rFonts w:ascii="Arial" w:hAnsi="Arial" w:cs="Arial"/>
        </w:rPr>
        <w:t xml:space="preserve"> (Accessed: 24 April 2026).</w:t>
      </w:r>
    </w:p>
    <w:p w14:paraId="47F2E02A" w14:textId="77777777" w:rsidR="00C13AC8" w:rsidRPr="008139D1" w:rsidRDefault="00C13AC8" w:rsidP="008139D1">
      <w:pPr>
        <w:spacing w:line="360" w:lineRule="auto"/>
        <w:rPr>
          <w:rFonts w:ascii="Arial" w:hAnsi="Arial" w:cs="Arial"/>
        </w:rPr>
      </w:pPr>
      <w:r w:rsidRPr="008139D1">
        <w:rPr>
          <w:rFonts w:ascii="Arial" w:hAnsi="Arial" w:cs="Arial"/>
        </w:rPr>
        <w:t xml:space="preserve">World Health Organization (2022) </w:t>
      </w:r>
      <w:r w:rsidRPr="008139D1">
        <w:rPr>
          <w:rFonts w:ascii="Arial" w:hAnsi="Arial" w:cs="Arial"/>
          <w:i/>
          <w:iCs/>
        </w:rPr>
        <w:t>Global Report on Health Equity for Persons with Disabilities</w:t>
      </w:r>
      <w:r w:rsidRPr="008139D1">
        <w:rPr>
          <w:rFonts w:ascii="Arial" w:hAnsi="Arial" w:cs="Arial"/>
        </w:rPr>
        <w:t xml:space="preserve">. Geneva: WHO. Available at: </w:t>
      </w:r>
      <w:hyperlink r:id="rId24" w:tgtFrame="_new" w:history="1">
        <w:r w:rsidRPr="008139D1">
          <w:rPr>
            <w:rStyle w:val="Hyperlink"/>
            <w:rFonts w:ascii="Arial" w:hAnsi="Arial" w:cs="Arial"/>
          </w:rPr>
          <w:t>https://www.who.int/publications/</w:t>
        </w:r>
      </w:hyperlink>
      <w:r w:rsidRPr="008139D1">
        <w:rPr>
          <w:rFonts w:ascii="Arial" w:hAnsi="Arial" w:cs="Arial"/>
        </w:rPr>
        <w:t xml:space="preserve"> (Accessed: 22 April 2026).</w:t>
      </w:r>
    </w:p>
    <w:p w14:paraId="4B8E9355" w14:textId="77777777" w:rsidR="00C13AC8" w:rsidRPr="008139D1" w:rsidRDefault="00C13AC8" w:rsidP="008139D1">
      <w:pPr>
        <w:spacing w:line="360" w:lineRule="auto"/>
        <w:rPr>
          <w:rFonts w:ascii="Arial" w:hAnsi="Arial" w:cs="Arial"/>
        </w:rPr>
      </w:pPr>
      <w:r w:rsidRPr="008139D1">
        <w:rPr>
          <w:rFonts w:ascii="Arial" w:hAnsi="Arial" w:cs="Arial"/>
        </w:rPr>
        <w:t xml:space="preserve">Zaks, Z. (2024) ‘Changing the medical model of disability to a social model of disability’, </w:t>
      </w:r>
      <w:r w:rsidRPr="008139D1">
        <w:rPr>
          <w:rFonts w:ascii="Arial" w:hAnsi="Arial" w:cs="Arial"/>
          <w:i/>
          <w:iCs/>
        </w:rPr>
        <w:t>Disability &amp; Society</w:t>
      </w:r>
      <w:r w:rsidRPr="008139D1">
        <w:rPr>
          <w:rFonts w:ascii="Arial" w:hAnsi="Arial" w:cs="Arial"/>
        </w:rPr>
        <w:t xml:space="preserve">. Available at: </w:t>
      </w:r>
      <w:hyperlink r:id="rId25" w:tgtFrame="_new" w:history="1">
        <w:r w:rsidRPr="008139D1">
          <w:rPr>
            <w:rStyle w:val="Hyperlink"/>
            <w:rFonts w:ascii="Arial" w:hAnsi="Arial" w:cs="Arial"/>
          </w:rPr>
          <w:t>https://doi.org/10.1080/09687599.2023.2255926</w:t>
        </w:r>
      </w:hyperlink>
      <w:r w:rsidRPr="008139D1">
        <w:rPr>
          <w:rFonts w:ascii="Arial" w:hAnsi="Arial" w:cs="Arial"/>
        </w:rPr>
        <w:t xml:space="preserve"> (Accessed: 1 April 2026).</w:t>
      </w:r>
    </w:p>
    <w:p w14:paraId="740A8B28" w14:textId="77777777" w:rsidR="00C13AC8" w:rsidRPr="00AA6C4B" w:rsidRDefault="00C13AC8" w:rsidP="00AA6C4B">
      <w:pPr>
        <w:spacing w:line="360" w:lineRule="auto"/>
        <w:rPr>
          <w:rFonts w:ascii="Arial" w:hAnsi="Arial" w:cs="Arial"/>
        </w:rPr>
      </w:pPr>
    </w:p>
    <w:p w14:paraId="5BA6B2AE" w14:textId="77777777" w:rsidR="00C13AC8" w:rsidRPr="00AA6C4B" w:rsidRDefault="00C13AC8" w:rsidP="00AA6C4B">
      <w:pPr>
        <w:spacing w:line="360" w:lineRule="auto"/>
        <w:rPr>
          <w:rFonts w:ascii="Arial" w:hAnsi="Arial" w:cs="Arial"/>
        </w:rPr>
      </w:pPr>
    </w:p>
    <w:sectPr w:rsidR="00C13AC8" w:rsidRPr="00AA6C4B" w:rsidSect="00AE1B0D">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535A4" w14:textId="77777777" w:rsidR="00047FDD" w:rsidRDefault="00047FDD" w:rsidP="00722ED5">
      <w:pPr>
        <w:spacing w:after="0" w:line="240" w:lineRule="auto"/>
      </w:pPr>
      <w:r>
        <w:separator/>
      </w:r>
    </w:p>
  </w:endnote>
  <w:endnote w:type="continuationSeparator" w:id="0">
    <w:p w14:paraId="1AE3DFEB" w14:textId="77777777" w:rsidR="00047FDD" w:rsidRDefault="00047FDD" w:rsidP="0072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0321887"/>
      <w:docPartObj>
        <w:docPartGallery w:val="Page Numbers (Bottom of Page)"/>
        <w:docPartUnique/>
      </w:docPartObj>
    </w:sdtPr>
    <w:sdtContent>
      <w:p w14:paraId="3CF61FDB" w14:textId="72A44E57" w:rsidR="00722ED5" w:rsidRDefault="00722ED5">
        <w:pPr>
          <w:pStyle w:val="Footer"/>
          <w:jc w:val="center"/>
        </w:pPr>
        <w:r>
          <w:fldChar w:fldCharType="begin"/>
        </w:r>
        <w:r>
          <w:instrText>PAGE   \* MERGEFORMAT</w:instrText>
        </w:r>
        <w:r>
          <w:fldChar w:fldCharType="separate"/>
        </w:r>
        <w:r>
          <w:t>2</w:t>
        </w:r>
        <w:r>
          <w:fldChar w:fldCharType="end"/>
        </w:r>
      </w:p>
    </w:sdtContent>
  </w:sdt>
  <w:p w14:paraId="50F6B4F1" w14:textId="77777777" w:rsidR="00722ED5" w:rsidRDefault="00722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D9798" w14:textId="77777777" w:rsidR="00047FDD" w:rsidRDefault="00047FDD" w:rsidP="00722ED5">
      <w:pPr>
        <w:spacing w:after="0" w:line="240" w:lineRule="auto"/>
      </w:pPr>
      <w:r>
        <w:separator/>
      </w:r>
    </w:p>
  </w:footnote>
  <w:footnote w:type="continuationSeparator" w:id="0">
    <w:p w14:paraId="678AE0E3" w14:textId="77777777" w:rsidR="00047FDD" w:rsidRDefault="00047FDD" w:rsidP="00722E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B0D"/>
    <w:rsid w:val="00012865"/>
    <w:rsid w:val="000301FB"/>
    <w:rsid w:val="000439D8"/>
    <w:rsid w:val="00047FDD"/>
    <w:rsid w:val="00065173"/>
    <w:rsid w:val="00067E43"/>
    <w:rsid w:val="00077EE4"/>
    <w:rsid w:val="000E421E"/>
    <w:rsid w:val="000F58B0"/>
    <w:rsid w:val="000F7A7E"/>
    <w:rsid w:val="00104953"/>
    <w:rsid w:val="00105532"/>
    <w:rsid w:val="00114ABC"/>
    <w:rsid w:val="001248C5"/>
    <w:rsid w:val="00131B8D"/>
    <w:rsid w:val="00156030"/>
    <w:rsid w:val="00166128"/>
    <w:rsid w:val="001829CA"/>
    <w:rsid w:val="001834F8"/>
    <w:rsid w:val="00184E6D"/>
    <w:rsid w:val="001A0970"/>
    <w:rsid w:val="001B132E"/>
    <w:rsid w:val="001B35C9"/>
    <w:rsid w:val="001D0703"/>
    <w:rsid w:val="00213178"/>
    <w:rsid w:val="00214A78"/>
    <w:rsid w:val="00220E4D"/>
    <w:rsid w:val="00221A15"/>
    <w:rsid w:val="00227DF8"/>
    <w:rsid w:val="0023347D"/>
    <w:rsid w:val="002835A5"/>
    <w:rsid w:val="002941AC"/>
    <w:rsid w:val="002A0E9C"/>
    <w:rsid w:val="002B1258"/>
    <w:rsid w:val="002D1955"/>
    <w:rsid w:val="002E3052"/>
    <w:rsid w:val="002E7C8A"/>
    <w:rsid w:val="002F0CB0"/>
    <w:rsid w:val="002F2312"/>
    <w:rsid w:val="002F3CFE"/>
    <w:rsid w:val="003172C7"/>
    <w:rsid w:val="00325E3A"/>
    <w:rsid w:val="003448D4"/>
    <w:rsid w:val="0035299F"/>
    <w:rsid w:val="00367444"/>
    <w:rsid w:val="0037331E"/>
    <w:rsid w:val="003C5AB5"/>
    <w:rsid w:val="003E298B"/>
    <w:rsid w:val="003E3064"/>
    <w:rsid w:val="00403600"/>
    <w:rsid w:val="004135C7"/>
    <w:rsid w:val="00436C23"/>
    <w:rsid w:val="004529B8"/>
    <w:rsid w:val="00481354"/>
    <w:rsid w:val="004924E6"/>
    <w:rsid w:val="004A4CD7"/>
    <w:rsid w:val="004C1C5A"/>
    <w:rsid w:val="0050226D"/>
    <w:rsid w:val="00513602"/>
    <w:rsid w:val="00515EEE"/>
    <w:rsid w:val="00525550"/>
    <w:rsid w:val="00535171"/>
    <w:rsid w:val="00545D7F"/>
    <w:rsid w:val="005551AF"/>
    <w:rsid w:val="00572DB3"/>
    <w:rsid w:val="0057676C"/>
    <w:rsid w:val="0058739A"/>
    <w:rsid w:val="005941FF"/>
    <w:rsid w:val="005B780B"/>
    <w:rsid w:val="005E7613"/>
    <w:rsid w:val="005E79C5"/>
    <w:rsid w:val="0060416F"/>
    <w:rsid w:val="00605B86"/>
    <w:rsid w:val="006130FA"/>
    <w:rsid w:val="00621DC1"/>
    <w:rsid w:val="00630946"/>
    <w:rsid w:val="0063457F"/>
    <w:rsid w:val="006370DE"/>
    <w:rsid w:val="0066263A"/>
    <w:rsid w:val="0067244E"/>
    <w:rsid w:val="00675B3D"/>
    <w:rsid w:val="00680B35"/>
    <w:rsid w:val="00694A01"/>
    <w:rsid w:val="006A13B6"/>
    <w:rsid w:val="006E4149"/>
    <w:rsid w:val="006E52B2"/>
    <w:rsid w:val="006F3D9C"/>
    <w:rsid w:val="00722ED5"/>
    <w:rsid w:val="007418E7"/>
    <w:rsid w:val="0075762F"/>
    <w:rsid w:val="00766620"/>
    <w:rsid w:val="00795455"/>
    <w:rsid w:val="007B3271"/>
    <w:rsid w:val="007B7517"/>
    <w:rsid w:val="007C45F2"/>
    <w:rsid w:val="007C690E"/>
    <w:rsid w:val="007C7FE4"/>
    <w:rsid w:val="007D4496"/>
    <w:rsid w:val="007F5C43"/>
    <w:rsid w:val="0080566D"/>
    <w:rsid w:val="008139D1"/>
    <w:rsid w:val="00834221"/>
    <w:rsid w:val="008351D6"/>
    <w:rsid w:val="00894454"/>
    <w:rsid w:val="008A0354"/>
    <w:rsid w:val="008A41CB"/>
    <w:rsid w:val="008B3781"/>
    <w:rsid w:val="008B6BBA"/>
    <w:rsid w:val="008F1572"/>
    <w:rsid w:val="008F5090"/>
    <w:rsid w:val="00913B11"/>
    <w:rsid w:val="00931A50"/>
    <w:rsid w:val="00940117"/>
    <w:rsid w:val="0095151B"/>
    <w:rsid w:val="009621A7"/>
    <w:rsid w:val="00974B97"/>
    <w:rsid w:val="00975F56"/>
    <w:rsid w:val="00980890"/>
    <w:rsid w:val="00985B43"/>
    <w:rsid w:val="0099362C"/>
    <w:rsid w:val="009C1A00"/>
    <w:rsid w:val="009D0634"/>
    <w:rsid w:val="00A11029"/>
    <w:rsid w:val="00A13A28"/>
    <w:rsid w:val="00A20A93"/>
    <w:rsid w:val="00A33786"/>
    <w:rsid w:val="00A50ED8"/>
    <w:rsid w:val="00A95056"/>
    <w:rsid w:val="00AA6C4B"/>
    <w:rsid w:val="00AE1B0D"/>
    <w:rsid w:val="00B02B5C"/>
    <w:rsid w:val="00B06EF5"/>
    <w:rsid w:val="00B25394"/>
    <w:rsid w:val="00B27B1B"/>
    <w:rsid w:val="00B334C1"/>
    <w:rsid w:val="00B34DDD"/>
    <w:rsid w:val="00B44637"/>
    <w:rsid w:val="00B51AD5"/>
    <w:rsid w:val="00B54F13"/>
    <w:rsid w:val="00B559B0"/>
    <w:rsid w:val="00B66A76"/>
    <w:rsid w:val="00B70C5E"/>
    <w:rsid w:val="00B722A6"/>
    <w:rsid w:val="00B87164"/>
    <w:rsid w:val="00B908A6"/>
    <w:rsid w:val="00BB0F42"/>
    <w:rsid w:val="00BB4A6A"/>
    <w:rsid w:val="00BE0464"/>
    <w:rsid w:val="00BF424B"/>
    <w:rsid w:val="00C13AC8"/>
    <w:rsid w:val="00C605DD"/>
    <w:rsid w:val="00C9078C"/>
    <w:rsid w:val="00CA393E"/>
    <w:rsid w:val="00CC420E"/>
    <w:rsid w:val="00CD0692"/>
    <w:rsid w:val="00CF3A1A"/>
    <w:rsid w:val="00D02749"/>
    <w:rsid w:val="00D059C6"/>
    <w:rsid w:val="00D23ED0"/>
    <w:rsid w:val="00D33E32"/>
    <w:rsid w:val="00D40940"/>
    <w:rsid w:val="00D450EE"/>
    <w:rsid w:val="00D509FE"/>
    <w:rsid w:val="00D91421"/>
    <w:rsid w:val="00D91841"/>
    <w:rsid w:val="00D91B62"/>
    <w:rsid w:val="00DA31F2"/>
    <w:rsid w:val="00DB1BE0"/>
    <w:rsid w:val="00DB2706"/>
    <w:rsid w:val="00DB7126"/>
    <w:rsid w:val="00DD4FAC"/>
    <w:rsid w:val="00DD521A"/>
    <w:rsid w:val="00DE4D68"/>
    <w:rsid w:val="00DF276E"/>
    <w:rsid w:val="00E14DFA"/>
    <w:rsid w:val="00E15AAF"/>
    <w:rsid w:val="00E51654"/>
    <w:rsid w:val="00E7739E"/>
    <w:rsid w:val="00E80DCC"/>
    <w:rsid w:val="00E913D2"/>
    <w:rsid w:val="00EB3707"/>
    <w:rsid w:val="00EB5BF8"/>
    <w:rsid w:val="00EC7C7B"/>
    <w:rsid w:val="00EE3DC0"/>
    <w:rsid w:val="00EF2FE4"/>
    <w:rsid w:val="00F2196A"/>
    <w:rsid w:val="00F42A55"/>
    <w:rsid w:val="00F472CB"/>
    <w:rsid w:val="00F552FA"/>
    <w:rsid w:val="00F76198"/>
    <w:rsid w:val="00F85BEC"/>
    <w:rsid w:val="00FB715D"/>
    <w:rsid w:val="00FC1107"/>
    <w:rsid w:val="00FD125C"/>
    <w:rsid w:val="00FD1479"/>
    <w:rsid w:val="00FD38A8"/>
    <w:rsid w:val="00FE7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D7338"/>
  <w15:chartTrackingRefBased/>
  <w15:docId w15:val="{4F6F2676-9BB7-4001-86AE-A931E4E5F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B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1B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1B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E1B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E1B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E1B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AE1B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B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B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B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1B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E1B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E1B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E1B0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E1B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AE1B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B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B0D"/>
    <w:rPr>
      <w:rFonts w:eastAsiaTheme="majorEastAsia" w:cstheme="majorBidi"/>
      <w:color w:val="272727" w:themeColor="text1" w:themeTint="D8"/>
    </w:rPr>
  </w:style>
  <w:style w:type="paragraph" w:styleId="Title">
    <w:name w:val="Title"/>
    <w:basedOn w:val="Normal"/>
    <w:next w:val="Normal"/>
    <w:link w:val="TitleChar"/>
    <w:uiPriority w:val="10"/>
    <w:qFormat/>
    <w:rsid w:val="00AE1B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B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B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B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B0D"/>
    <w:pPr>
      <w:spacing w:before="160"/>
      <w:jc w:val="center"/>
    </w:pPr>
    <w:rPr>
      <w:i/>
      <w:iCs/>
      <w:color w:val="404040" w:themeColor="text1" w:themeTint="BF"/>
    </w:rPr>
  </w:style>
  <w:style w:type="character" w:customStyle="1" w:styleId="QuoteChar">
    <w:name w:val="Quote Char"/>
    <w:basedOn w:val="DefaultParagraphFont"/>
    <w:link w:val="Quote"/>
    <w:uiPriority w:val="29"/>
    <w:rsid w:val="00AE1B0D"/>
    <w:rPr>
      <w:i/>
      <w:iCs/>
      <w:color w:val="404040" w:themeColor="text1" w:themeTint="BF"/>
    </w:rPr>
  </w:style>
  <w:style w:type="paragraph" w:styleId="ListParagraph">
    <w:name w:val="List Paragraph"/>
    <w:basedOn w:val="Normal"/>
    <w:uiPriority w:val="34"/>
    <w:qFormat/>
    <w:rsid w:val="00AE1B0D"/>
    <w:pPr>
      <w:ind w:left="720"/>
      <w:contextualSpacing/>
    </w:pPr>
  </w:style>
  <w:style w:type="character" w:styleId="IntenseEmphasis">
    <w:name w:val="Intense Emphasis"/>
    <w:basedOn w:val="DefaultParagraphFont"/>
    <w:uiPriority w:val="21"/>
    <w:qFormat/>
    <w:rsid w:val="00AE1B0D"/>
    <w:rPr>
      <w:i/>
      <w:iCs/>
      <w:color w:val="0F4761" w:themeColor="accent1" w:themeShade="BF"/>
    </w:rPr>
  </w:style>
  <w:style w:type="paragraph" w:styleId="IntenseQuote">
    <w:name w:val="Intense Quote"/>
    <w:basedOn w:val="Normal"/>
    <w:next w:val="Normal"/>
    <w:link w:val="IntenseQuoteChar"/>
    <w:uiPriority w:val="30"/>
    <w:qFormat/>
    <w:rsid w:val="00AE1B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B0D"/>
    <w:rPr>
      <w:i/>
      <w:iCs/>
      <w:color w:val="0F4761" w:themeColor="accent1" w:themeShade="BF"/>
    </w:rPr>
  </w:style>
  <w:style w:type="character" w:styleId="IntenseReference">
    <w:name w:val="Intense Reference"/>
    <w:basedOn w:val="DefaultParagraphFont"/>
    <w:uiPriority w:val="32"/>
    <w:qFormat/>
    <w:rsid w:val="00AE1B0D"/>
    <w:rPr>
      <w:b/>
      <w:bCs/>
      <w:smallCaps/>
      <w:color w:val="0F4761" w:themeColor="accent1" w:themeShade="BF"/>
      <w:spacing w:val="5"/>
    </w:rPr>
  </w:style>
  <w:style w:type="paragraph" w:styleId="NoSpacing">
    <w:name w:val="No Spacing"/>
    <w:link w:val="NoSpacingChar"/>
    <w:uiPriority w:val="1"/>
    <w:qFormat/>
    <w:rsid w:val="00AE1B0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E1B0D"/>
    <w:rPr>
      <w:rFonts w:eastAsiaTheme="minorEastAsia"/>
      <w:kern w:val="0"/>
      <w:lang w:eastAsia="en-GB"/>
      <w14:ligatures w14:val="none"/>
    </w:rPr>
  </w:style>
  <w:style w:type="paragraph" w:styleId="Header">
    <w:name w:val="header"/>
    <w:basedOn w:val="Normal"/>
    <w:link w:val="HeaderChar"/>
    <w:uiPriority w:val="99"/>
    <w:unhideWhenUsed/>
    <w:rsid w:val="00722E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ED5"/>
  </w:style>
  <w:style w:type="paragraph" w:styleId="Footer">
    <w:name w:val="footer"/>
    <w:basedOn w:val="Normal"/>
    <w:link w:val="FooterChar"/>
    <w:uiPriority w:val="99"/>
    <w:unhideWhenUsed/>
    <w:rsid w:val="00722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ED5"/>
  </w:style>
  <w:style w:type="character" w:styleId="Hyperlink">
    <w:name w:val="Hyperlink"/>
    <w:basedOn w:val="DefaultParagraphFont"/>
    <w:uiPriority w:val="99"/>
    <w:unhideWhenUsed/>
    <w:rsid w:val="00A13A28"/>
    <w:rPr>
      <w:color w:val="467886" w:themeColor="hyperlink"/>
      <w:u w:val="single"/>
    </w:rPr>
  </w:style>
  <w:style w:type="character" w:styleId="UnresolvedMention">
    <w:name w:val="Unresolved Mention"/>
    <w:basedOn w:val="DefaultParagraphFont"/>
    <w:uiPriority w:val="99"/>
    <w:semiHidden/>
    <w:unhideWhenUsed/>
    <w:rsid w:val="00A13A28"/>
    <w:rPr>
      <w:color w:val="605E5C"/>
      <w:shd w:val="clear" w:color="auto" w:fill="E1DFDD"/>
    </w:rPr>
  </w:style>
  <w:style w:type="paragraph" w:styleId="TOCHeading">
    <w:name w:val="TOC Heading"/>
    <w:basedOn w:val="Heading1"/>
    <w:next w:val="Normal"/>
    <w:uiPriority w:val="39"/>
    <w:unhideWhenUsed/>
    <w:qFormat/>
    <w:rsid w:val="00C9078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9078C"/>
    <w:pPr>
      <w:spacing w:after="100"/>
    </w:pPr>
  </w:style>
  <w:style w:type="paragraph" w:styleId="TOC3">
    <w:name w:val="toc 3"/>
    <w:basedOn w:val="Normal"/>
    <w:next w:val="Normal"/>
    <w:autoRedefine/>
    <w:uiPriority w:val="39"/>
    <w:unhideWhenUsed/>
    <w:rsid w:val="00C9078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the-nhs-constitution-for-england" TargetMode="External"/><Relationship Id="rId18" Type="http://schemas.openxmlformats.org/officeDocument/2006/relationships/hyperlink" Target="https://www.ons.gov.uk/"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un.org/disabilities/" TargetMode="External"/><Relationship Id="rId7" Type="http://schemas.openxmlformats.org/officeDocument/2006/relationships/endnotes" Target="endnotes.xml"/><Relationship Id="rId12" Type="http://schemas.openxmlformats.org/officeDocument/2006/relationships/hyperlink" Target="https://doi.org/10.4324/9781003178699" TargetMode="External"/><Relationship Id="rId17" Type="http://schemas.openxmlformats.org/officeDocument/2006/relationships/hyperlink" Target="https://www.england.nhs.uk/accessibleinfo/" TargetMode="External"/><Relationship Id="rId25" Type="http://schemas.openxmlformats.org/officeDocument/2006/relationships/hyperlink" Target="https://doi.org/10.1080/09687599.2023.2255926" TargetMode="External"/><Relationship Id="rId2" Type="http://schemas.openxmlformats.org/officeDocument/2006/relationships/customXml" Target="../customXml/item2.xml"/><Relationship Id="rId16" Type="http://schemas.openxmlformats.org/officeDocument/2006/relationships/hyperlink" Target="https://commonslibrary.parliament.uk/" TargetMode="External"/><Relationship Id="rId20" Type="http://schemas.openxmlformats.org/officeDocument/2006/relationships/hyperlink" Target="https://doi.org/10.16993/sjdr.113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4/23/contents" TargetMode="External"/><Relationship Id="rId24" Type="http://schemas.openxmlformats.org/officeDocument/2006/relationships/hyperlink" Target="https://www.who.int/publications/"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s://www.who.int/" TargetMode="External"/><Relationship Id="rId28" Type="http://schemas.openxmlformats.org/officeDocument/2006/relationships/glossaryDocument" Target="glossary/document.xml"/><Relationship Id="rId10" Type="http://schemas.openxmlformats.org/officeDocument/2006/relationships/hyperlink" Target="https://doi.org/10.3389/fsoc.2023.1305301" TargetMode="External"/><Relationship Id="rId19" Type="http://schemas.openxmlformats.org/officeDocument/2006/relationships/hyperlink" Target="https://doi.org/10.1080/09687599.2013.818773"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disabilityrightsuk.org/" TargetMode="External"/><Relationship Id="rId22" Type="http://schemas.openxmlformats.org/officeDocument/2006/relationships/hyperlink" Target="https://doi.org/10.4324/9780429430817"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741445F1BF4B07965047EC3CC70C85"/>
        <w:category>
          <w:name w:val="General"/>
          <w:gallery w:val="placeholder"/>
        </w:category>
        <w:types>
          <w:type w:val="bbPlcHdr"/>
        </w:types>
        <w:behaviors>
          <w:behavior w:val="content"/>
        </w:behaviors>
        <w:guid w:val="{6676C7FA-756A-434B-B9B0-D5B6E7F757CC}"/>
      </w:docPartPr>
      <w:docPartBody>
        <w:p w:rsidR="000128B3" w:rsidRDefault="001C653A" w:rsidP="001C653A">
          <w:pPr>
            <w:pStyle w:val="90741445F1BF4B07965047EC3CC70C8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53A"/>
    <w:rsid w:val="000128B3"/>
    <w:rsid w:val="000301CC"/>
    <w:rsid w:val="000C63EF"/>
    <w:rsid w:val="000E60D4"/>
    <w:rsid w:val="001C653A"/>
    <w:rsid w:val="004529B8"/>
    <w:rsid w:val="005E7613"/>
    <w:rsid w:val="00630946"/>
    <w:rsid w:val="006D5530"/>
    <w:rsid w:val="007163A0"/>
    <w:rsid w:val="007F5C43"/>
    <w:rsid w:val="00894454"/>
    <w:rsid w:val="009C1A00"/>
    <w:rsid w:val="00D637E0"/>
    <w:rsid w:val="00D91B62"/>
    <w:rsid w:val="00E02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741445F1BF4B07965047EC3CC70C85">
    <w:name w:val="90741445F1BF4B07965047EC3CC70C85"/>
    <w:rsid w:val="001C65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CA63EC-2814-4D3B-9A15-EC1055BBE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10</Pages>
  <Words>3033</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Component 2: Written Assignment (Essay)</vt:lpstr>
    </vt:vector>
  </TitlesOfParts>
  <Company>university of wales trinity st david</Company>
  <LinksUpToDate>false</LinksUpToDate>
  <CharactersWithSpaces>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(Essay)</dc:title>
  <dc:subject>Module: Principles of Health and Social Care Practice</dc:subject>
  <dc:creator>Laura Gando (2428547)</dc:creator>
  <cp:keywords/>
  <dc:description/>
  <cp:lastModifiedBy>Laura Gando (2428547)</cp:lastModifiedBy>
  <cp:revision>88</cp:revision>
  <dcterms:created xsi:type="dcterms:W3CDTF">2026-04-16T08:59:00Z</dcterms:created>
  <dcterms:modified xsi:type="dcterms:W3CDTF">2026-04-28T12:40:00Z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3aa8c9c8-2c0a-4278-9377-2e741bbb0088</vt:lpwstr>
  </property>
</Properties>
</file>