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7D89F" w14:textId="131C6F33" w:rsidR="006E2ED6" w:rsidRDefault="005B12F6">
      <w:pPr>
        <w:rPr>
          <w:noProof/>
        </w:rPr>
      </w:pPr>
      <w:r>
        <w:rPr>
          <w:noProof/>
        </w:rPr>
        <w:drawing>
          <wp:inline distT="0" distB="0" distL="0" distR="0" wp14:anchorId="44E2BBA3" wp14:editId="46D70874">
            <wp:extent cx="2679065" cy="1119773"/>
            <wp:effectExtent l="0" t="0" r="6985" b="4445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419" cy="1125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E7120" w14:textId="77777777" w:rsidR="00AA1DF5" w:rsidRPr="00AA1DF5" w:rsidRDefault="00AA1DF5" w:rsidP="00AA1DF5"/>
    <w:p w14:paraId="75C9A788" w14:textId="5F664D20" w:rsidR="00AA1DF5" w:rsidRDefault="00AA1DF5" w:rsidP="00AA1DF5">
      <w:pPr>
        <w:tabs>
          <w:tab w:val="left" w:pos="2795"/>
        </w:tabs>
      </w:pPr>
    </w:p>
    <w:p w14:paraId="008C25D0" w14:textId="77777777" w:rsidR="00AA1DF5" w:rsidRPr="00AA1DF5" w:rsidRDefault="00AA1DF5" w:rsidP="00AA1DF5">
      <w:pPr>
        <w:shd w:val="clear" w:color="auto" w:fill="FFFFFF"/>
        <w:spacing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1D2125"/>
          <w:kern w:val="0"/>
          <w:sz w:val="28"/>
          <w:szCs w:val="28"/>
          <w:lang w:eastAsia="en-GB"/>
          <w14:ligatures w14:val="none"/>
        </w:rPr>
      </w:pPr>
      <w:r w:rsidRPr="00AA1DF5">
        <w:rPr>
          <w:rFonts w:ascii="Segoe UI" w:eastAsia="Times New Roman" w:hAnsi="Segoe UI" w:cs="Segoe UI"/>
          <w:b/>
          <w:bCs/>
          <w:color w:val="1D2125"/>
          <w:kern w:val="0"/>
          <w:sz w:val="28"/>
          <w:szCs w:val="28"/>
          <w:lang w:eastAsia="en-GB"/>
          <w14:ligatures w14:val="none"/>
        </w:rPr>
        <w:t>Protecting and Supporting Families in Health and Care (BMHP5021)</w:t>
      </w:r>
    </w:p>
    <w:p w14:paraId="50CC7FEC" w14:textId="77777777" w:rsidR="00AA1DF5" w:rsidRDefault="00AA1DF5" w:rsidP="00AA1DF5">
      <w:pPr>
        <w:spacing w:line="360" w:lineRule="auto"/>
        <w:rPr>
          <w:rFonts w:ascii="Arial" w:eastAsia="Aptos" w:hAnsi="Arial" w:cs="Arial"/>
          <w:b/>
          <w:bCs/>
          <w:color w:val="1D2125"/>
          <w:sz w:val="32"/>
          <w:szCs w:val="32"/>
          <w14:ligatures w14:val="none"/>
        </w:rPr>
      </w:pPr>
    </w:p>
    <w:p w14:paraId="6FDD2101" w14:textId="280BD23B" w:rsidR="00AA1DF5" w:rsidRPr="00AA1DF5" w:rsidRDefault="00AA1DF5" w:rsidP="00AA1DF5">
      <w:pPr>
        <w:spacing w:line="360" w:lineRule="auto"/>
        <w:rPr>
          <w:rFonts w:ascii="Arial" w:eastAsia="Aptos" w:hAnsi="Arial" w:cs="Arial"/>
          <w:b/>
          <w:bCs/>
          <w:color w:val="1D2125"/>
          <w14:ligatures w14:val="none"/>
        </w:rPr>
      </w:pPr>
      <w:r w:rsidRPr="00AA1DF5">
        <w:rPr>
          <w:rFonts w:ascii="Arial" w:eastAsia="Aptos" w:hAnsi="Arial" w:cs="Arial"/>
          <w:b/>
          <w:bCs/>
          <w:color w:val="1D2125"/>
          <w14:ligatures w14:val="none"/>
        </w:rPr>
        <w:t>Student name:</w:t>
      </w:r>
      <w:r w:rsidRPr="00AA1DF5">
        <w:rPr>
          <w:rFonts w:ascii="Arial" w:eastAsia="Aptos" w:hAnsi="Arial" w:cs="Arial"/>
          <w:b/>
          <w:bCs/>
          <w:color w:val="1D2125"/>
          <w14:ligatures w14:val="none"/>
        </w:rPr>
        <w:t xml:space="preserve"> </w:t>
      </w:r>
      <w:proofErr w:type="spellStart"/>
      <w:r w:rsidRPr="00AA1DF5">
        <w:rPr>
          <w:rFonts w:ascii="Arial" w:eastAsia="Aptos" w:hAnsi="Arial" w:cs="Arial"/>
          <w:b/>
          <w:bCs/>
          <w:color w:val="1D2125"/>
          <w14:ligatures w14:val="none"/>
        </w:rPr>
        <w:t>Bouadoua</w:t>
      </w:r>
      <w:proofErr w:type="spellEnd"/>
      <w:r w:rsidRPr="00AA1DF5">
        <w:rPr>
          <w:rFonts w:ascii="Arial" w:eastAsia="Aptos" w:hAnsi="Arial" w:cs="Arial"/>
          <w:b/>
          <w:bCs/>
          <w:color w:val="1D2125"/>
          <w14:ligatures w14:val="none"/>
        </w:rPr>
        <w:t xml:space="preserve"> Sylvie Kouao</w:t>
      </w:r>
    </w:p>
    <w:p w14:paraId="114819AE" w14:textId="2A3CF29A" w:rsidR="00AA1DF5" w:rsidRPr="00AA1DF5" w:rsidRDefault="00AA1DF5" w:rsidP="00AA1DF5">
      <w:pPr>
        <w:spacing w:line="360" w:lineRule="auto"/>
        <w:rPr>
          <w:rFonts w:ascii="Arial" w:eastAsia="Aptos" w:hAnsi="Arial" w:cs="Arial"/>
          <w:b/>
          <w:bCs/>
          <w:color w:val="1D2125"/>
          <w14:ligatures w14:val="none"/>
        </w:rPr>
      </w:pPr>
      <w:r w:rsidRPr="00AA1DF5">
        <w:rPr>
          <w:rFonts w:ascii="Arial" w:eastAsia="Aptos" w:hAnsi="Arial" w:cs="Arial"/>
          <w:b/>
          <w:bCs/>
          <w:color w:val="1D2125"/>
          <w14:ligatures w14:val="none"/>
        </w:rPr>
        <w:t>Student number:</w:t>
      </w:r>
      <w:r w:rsidR="00444502">
        <w:rPr>
          <w:rFonts w:ascii="Arial" w:eastAsia="Aptos" w:hAnsi="Arial" w:cs="Arial"/>
          <w:b/>
          <w:bCs/>
          <w:color w:val="1D2125"/>
          <w14:ligatures w14:val="none"/>
        </w:rPr>
        <w:t xml:space="preserve"> </w:t>
      </w:r>
      <w:r w:rsidR="00444502" w:rsidRPr="00444502">
        <w:rPr>
          <w:rFonts w:ascii="Calibri" w:hAnsi="Calibri" w:cs="Calibri"/>
          <w:b/>
          <w:bCs/>
          <w:color w:val="000000"/>
        </w:rPr>
        <w:t>2417904</w:t>
      </w:r>
    </w:p>
    <w:p w14:paraId="160DD47F" w14:textId="495CBA0D" w:rsidR="00AA1DF5" w:rsidRPr="00AA1DF5" w:rsidRDefault="00AA1DF5" w:rsidP="00AA1DF5">
      <w:pPr>
        <w:spacing w:line="360" w:lineRule="auto"/>
        <w:rPr>
          <w:rFonts w:ascii="Arial" w:eastAsia="Aptos" w:hAnsi="Arial" w:cs="Arial"/>
          <w:b/>
          <w:bCs/>
          <w:color w:val="1D2125"/>
          <w14:ligatures w14:val="none"/>
        </w:rPr>
      </w:pPr>
      <w:r w:rsidRPr="00AA1DF5">
        <w:rPr>
          <w:rFonts w:ascii="Arial" w:eastAsia="Aptos" w:hAnsi="Arial" w:cs="Arial"/>
          <w:b/>
          <w:bCs/>
          <w:color w:val="1D2125"/>
          <w14:ligatures w14:val="none"/>
        </w:rPr>
        <w:t>Lecturer’s name:</w:t>
      </w:r>
      <w:r w:rsidR="00444502">
        <w:rPr>
          <w:rFonts w:ascii="Arial" w:eastAsia="Aptos" w:hAnsi="Arial" w:cs="Arial"/>
          <w:b/>
          <w:bCs/>
          <w:color w:val="1D2125"/>
          <w14:ligatures w14:val="none"/>
        </w:rPr>
        <w:t xml:space="preserve"> </w:t>
      </w:r>
      <w:r w:rsidR="00444502" w:rsidRPr="00444502">
        <w:rPr>
          <w:b/>
          <w:bCs/>
        </w:rPr>
        <w:t>Shaila Hussain</w:t>
      </w:r>
    </w:p>
    <w:p w14:paraId="2B9DCD07" w14:textId="1751CA94" w:rsidR="00AA1DF5" w:rsidRPr="00AA1DF5" w:rsidRDefault="00444502" w:rsidP="00AA1DF5">
      <w:pPr>
        <w:spacing w:line="360" w:lineRule="auto"/>
        <w:rPr>
          <w:rFonts w:ascii="Aptos" w:eastAsia="Aptos" w:hAnsi="Aptos" w:cs="Times New Roman"/>
          <w:b/>
          <w:bCs/>
          <w:sz w:val="36"/>
          <w:szCs w:val="36"/>
          <w14:ligatures w14:val="none"/>
        </w:rPr>
      </w:pPr>
      <w:r w:rsidRPr="00444502">
        <w:rPr>
          <w:b/>
          <w:bCs/>
        </w:rPr>
        <w:t>Presentation (Round-the-table group discussion)</w:t>
      </w:r>
    </w:p>
    <w:p w14:paraId="513102DE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1CCE81D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6834B77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E4BB7C4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CE09140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F0E3680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F9D18AA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1E12B52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98F7156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86848A3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B2CEBCC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1E469DC" w14:textId="77777777" w:rsidR="00AA1DF5" w:rsidRDefault="00AA1DF5" w:rsidP="00AA1D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en-GB"/>
          <w14:ligatures w14:val="none"/>
        </w:rPr>
      </w:pPr>
      <w:r w:rsidRPr="00E13A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en-GB"/>
          <w14:ligatures w14:val="none"/>
        </w:rPr>
        <w:t xml:space="preserve"> </w:t>
      </w:r>
    </w:p>
    <w:p w14:paraId="73B50D5C" w14:textId="4615E43D" w:rsidR="00AA1DF5" w:rsidRPr="00E13ACC" w:rsidRDefault="00444502" w:rsidP="00AA1D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en-GB"/>
          <w14:ligatures w14:val="none"/>
        </w:rPr>
        <w:t xml:space="preserve"> INDIVIDUAL </w:t>
      </w:r>
      <w:r w:rsidR="00AA1DF5" w:rsidRPr="00E13A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en-GB"/>
          <w14:ligatures w14:val="none"/>
        </w:rPr>
        <w:t xml:space="preserve">REFERENCE LIST </w:t>
      </w:r>
    </w:p>
    <w:p w14:paraId="01F58E6F" w14:textId="77777777" w:rsidR="00AA1DF5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3CAF5FA" w14:textId="655ED3F0" w:rsidR="00AA1DF5" w:rsidRPr="00444502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Bradford Safeguarding Children Partnership (Year) </w:t>
      </w:r>
      <w:r w:rsidRPr="00444502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n-GB"/>
          <w14:ligatures w14:val="none"/>
        </w:rPr>
        <w:t>Local Child Safeguarding Practice Review: Concerning Child A</w:t>
      </w: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. Bradford: BSCP.</w:t>
      </w:r>
    </w:p>
    <w:p w14:paraId="4C4B6943" w14:textId="77777777" w:rsidR="00AA1DF5" w:rsidRPr="00444502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Brandon, M. et al. (2020). </w:t>
      </w:r>
      <w:r w:rsidRPr="00444502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n-GB"/>
          <w14:ligatures w14:val="none"/>
        </w:rPr>
        <w:t>Complexity and challenge: A triennial analysis of serious case reviews 2014–2017</w:t>
      </w: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. London: DfE.</w:t>
      </w:r>
    </w:p>
    <w:p w14:paraId="0412097C" w14:textId="77777777" w:rsidR="00AA1DF5" w:rsidRPr="00444502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Bronfenbrenner, U. (1979). </w:t>
      </w:r>
      <w:r w:rsidRPr="00444502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n-GB"/>
          <w14:ligatures w14:val="none"/>
        </w:rPr>
        <w:t>The ecology of human development</w:t>
      </w: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. Cambridge, MA: Harvard University Press.</w:t>
      </w:r>
    </w:p>
    <w:p w14:paraId="43027ADE" w14:textId="77777777" w:rsidR="00AA1DF5" w:rsidRPr="00444502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Department for Education (2023) </w:t>
      </w:r>
      <w:r w:rsidRPr="00444502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n-GB"/>
          <w14:ligatures w14:val="none"/>
        </w:rPr>
        <w:t>Working Together to Safeguard Children</w:t>
      </w: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. London: HMSO.</w:t>
      </w:r>
    </w:p>
    <w:p w14:paraId="51305F8E" w14:textId="77777777" w:rsidR="00AA1DF5" w:rsidRPr="00444502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Felitti, V.J. et al. (1998) ‘Relationship of childhood abuse and household dysfunction…’, </w:t>
      </w:r>
      <w:r w:rsidRPr="00444502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n-GB"/>
          <w14:ligatures w14:val="none"/>
        </w:rPr>
        <w:t>American Journal of Preventive Medicine</w:t>
      </w: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, 14(4), pp. 245–258.</w:t>
      </w:r>
    </w:p>
    <w:p w14:paraId="47CE9A4F" w14:textId="77777777" w:rsidR="00AA1DF5" w:rsidRPr="00444502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HM Government (1989) </w:t>
      </w:r>
      <w:r w:rsidRPr="00444502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n-GB"/>
          <w14:ligatures w14:val="none"/>
        </w:rPr>
        <w:t>Children Act 1989</w:t>
      </w: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. London: HMSO.</w:t>
      </w:r>
    </w:p>
    <w:p w14:paraId="5C02ACBA" w14:textId="77777777" w:rsidR="00AA1DF5" w:rsidRPr="00444502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HM Government (2004) </w:t>
      </w:r>
      <w:r w:rsidRPr="00444502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n-GB"/>
          <w14:ligatures w14:val="none"/>
        </w:rPr>
        <w:t>Children Act 2004</w:t>
      </w: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. London: HMSO.</w:t>
      </w:r>
    </w:p>
    <w:p w14:paraId="6DA94837" w14:textId="77777777" w:rsidR="00AA1DF5" w:rsidRPr="00444502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HM Government (2021) </w:t>
      </w:r>
      <w:r w:rsidRPr="00444502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n-GB"/>
          <w14:ligatures w14:val="none"/>
        </w:rPr>
        <w:t>Domestic Abuse Act 2021</w:t>
      </w: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. London: HMSO.</w:t>
      </w:r>
    </w:p>
    <w:p w14:paraId="12444E5C" w14:textId="77777777" w:rsidR="00AA1DF5" w:rsidRPr="00444502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Munro, E. (2011) </w:t>
      </w:r>
      <w:r w:rsidRPr="00444502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n-GB"/>
          <w14:ligatures w14:val="none"/>
        </w:rPr>
        <w:t>The Munro Review of Child Protection</w:t>
      </w: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. London: DfE.</w:t>
      </w:r>
    </w:p>
    <w:p w14:paraId="617ED3F2" w14:textId="77777777" w:rsidR="00AA1DF5" w:rsidRPr="00444502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NSPCC (Year) </w:t>
      </w:r>
      <w:r w:rsidRPr="00444502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n-GB"/>
          <w14:ligatures w14:val="none"/>
        </w:rPr>
        <w:t>National Case Review Repository</w:t>
      </w: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. Available at: </w:t>
      </w:r>
      <w:hyperlink r:id="rId5" w:tgtFrame="_new" w:history="1">
        <w:r w:rsidRPr="00444502">
          <w:rPr>
            <w:rFonts w:ascii="Times New Roman" w:eastAsia="Times New Roman" w:hAnsi="Times New Roman" w:cs="Times New Roman"/>
            <w:color w:val="0000FF"/>
            <w:kern w:val="0"/>
            <w:sz w:val="20"/>
            <w:szCs w:val="20"/>
            <w:u w:val="single"/>
            <w:lang w:eastAsia="en-GB"/>
            <w14:ligatures w14:val="none"/>
          </w:rPr>
          <w:t>https://learning.nspcc.org.uk/case-reviews</w:t>
        </w:r>
      </w:hyperlink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 (Accessed: date).</w:t>
      </w:r>
    </w:p>
    <w:p w14:paraId="5995D16A" w14:textId="77777777" w:rsidR="00AA1DF5" w:rsidRPr="00444502" w:rsidRDefault="00AA1DF5" w:rsidP="00AA1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</w:pP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 xml:space="preserve">United Nations (1989) </w:t>
      </w:r>
      <w:r w:rsidRPr="00444502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eastAsia="en-GB"/>
          <w14:ligatures w14:val="none"/>
        </w:rPr>
        <w:t>United Nations Convention on the Rights of the Child</w:t>
      </w:r>
      <w:r w:rsidRPr="00444502">
        <w:rPr>
          <w:rFonts w:ascii="Times New Roman" w:eastAsia="Times New Roman" w:hAnsi="Times New Roman" w:cs="Times New Roman"/>
          <w:kern w:val="0"/>
          <w:sz w:val="20"/>
          <w:szCs w:val="20"/>
          <w:lang w:eastAsia="en-GB"/>
          <w14:ligatures w14:val="none"/>
        </w:rPr>
        <w:t>. Geneva: UN.</w:t>
      </w:r>
    </w:p>
    <w:p w14:paraId="638FBBED" w14:textId="77777777" w:rsidR="00AA1DF5" w:rsidRPr="00444502" w:rsidRDefault="00AA1DF5" w:rsidP="00AA1DF5">
      <w:pPr>
        <w:rPr>
          <w:sz w:val="20"/>
          <w:szCs w:val="20"/>
        </w:rPr>
      </w:pPr>
    </w:p>
    <w:p w14:paraId="70BDE690" w14:textId="77777777" w:rsidR="00AA1DF5" w:rsidRPr="00AA1DF5" w:rsidRDefault="00AA1DF5" w:rsidP="00AA1DF5">
      <w:pPr>
        <w:tabs>
          <w:tab w:val="left" w:pos="2795"/>
        </w:tabs>
      </w:pPr>
    </w:p>
    <w:sectPr w:rsidR="00AA1DF5" w:rsidRPr="00AA1D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2F6"/>
    <w:rsid w:val="000726E2"/>
    <w:rsid w:val="00444502"/>
    <w:rsid w:val="00484E7B"/>
    <w:rsid w:val="005B12F6"/>
    <w:rsid w:val="006E2ED6"/>
    <w:rsid w:val="00AA1DF5"/>
    <w:rsid w:val="00F5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0A99E"/>
  <w15:chartTrackingRefBased/>
  <w15:docId w15:val="{666E0420-465F-4C98-8884-2410E7436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12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12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12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12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12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12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12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12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12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12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12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12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12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12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12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12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12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12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12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12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12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12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12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12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12F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12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12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12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12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.nspcc.org.uk/case-review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Management 009345</dc:creator>
  <cp:keywords/>
  <dc:description/>
  <cp:lastModifiedBy>Management 009345</cp:lastModifiedBy>
  <cp:revision>2</cp:revision>
  <dcterms:created xsi:type="dcterms:W3CDTF">2026-03-13T20:14:00Z</dcterms:created>
  <dcterms:modified xsi:type="dcterms:W3CDTF">2026-03-13T20:14:00Z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cf4b7ae2-9f45-430e-8b14-dd95baff882d</vt:lpwstr>
  </property>
</Properties>
</file>