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134507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31A7B">
              <w:rPr>
                <w:rFonts w:ascii="Times New Roman" w:hAnsi="Times New Roman" w:cs="Times New Roman"/>
                <w:b/>
                <w:color w:val="auto"/>
                <w:sz w:val="48"/>
              </w:rPr>
              <w:t>Leanne Duncalf</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29620E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31A7B">
              <w:rPr>
                <w:rFonts w:ascii="Times New Roman" w:hAnsi="Times New Roman" w:cs="Times New Roman"/>
                <w:b/>
                <w:color w:val="auto"/>
                <w:sz w:val="48"/>
              </w:rPr>
              <w:t xml:space="preserve"> Duncalf.leanne@gmail.com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8C4F321" w14:textId="77777777" w:rsidR="00E13E21" w:rsidRDefault="0085230E" w:rsidP="00E13E21">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13E21">
              <w:rPr>
                <w:rFonts w:ascii="Times New Roman" w:hAnsi="Times New Roman" w:cs="Times New Roman"/>
                <w:b/>
                <w:color w:val="auto"/>
                <w:sz w:val="48"/>
              </w:rPr>
              <w:t xml:space="preserve"> </w:t>
            </w:r>
          </w:p>
          <w:p w14:paraId="7CAA6099" w14:textId="67815C75" w:rsidR="00E13E21" w:rsidRDefault="00E13E21" w:rsidP="00E13E2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2420864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22D31F08" w14:textId="77777777" w:rsidR="00A777B6" w:rsidRDefault="00A777B6" w:rsidP="00FF7EBB">
            <w:pPr>
              <w:jc w:val="both"/>
              <w:rPr>
                <w:i/>
                <w:sz w:val="24"/>
                <w:szCs w:val="24"/>
              </w:rPr>
            </w:pPr>
          </w:p>
          <w:p w14:paraId="576DD534" w14:textId="77777777" w:rsidR="00A777B6" w:rsidRDefault="00A777B6" w:rsidP="00FF7EBB">
            <w:pPr>
              <w:jc w:val="both"/>
              <w:rPr>
                <w:i/>
                <w:sz w:val="24"/>
                <w:szCs w:val="24"/>
              </w:rPr>
            </w:pPr>
          </w:p>
          <w:p w14:paraId="701D8D4D" w14:textId="38C2B218" w:rsidR="00D3203C" w:rsidRDefault="00D3203C" w:rsidP="00FF7EBB">
            <w:pPr>
              <w:jc w:val="both"/>
              <w:rPr>
                <w:i/>
                <w:sz w:val="24"/>
                <w:szCs w:val="24"/>
              </w:rPr>
            </w:pPr>
          </w:p>
          <w:p w14:paraId="533DA156" w14:textId="77777777" w:rsidR="00A777B6" w:rsidRDefault="00A777B6" w:rsidP="00A777B6">
            <w:pPr>
              <w:spacing w:line="360" w:lineRule="auto"/>
              <w:rPr>
                <w:sz w:val="24"/>
                <w:szCs w:val="24"/>
              </w:rPr>
            </w:pPr>
            <w:r>
              <w:rPr>
                <w:sz w:val="24"/>
                <w:szCs w:val="24"/>
              </w:rPr>
              <w:t xml:space="preserve">Safeguarding adults is one of the most complex areas of social work practice, demanding a balance between empowerment, protection, and accountability (Dixon </w:t>
            </w:r>
            <w:r>
              <w:rPr>
                <w:i/>
                <w:iCs/>
                <w:sz w:val="24"/>
                <w:szCs w:val="24"/>
              </w:rPr>
              <w:t>et al.,</w:t>
            </w:r>
            <w:r>
              <w:rPr>
                <w:sz w:val="24"/>
                <w:szCs w:val="24"/>
              </w:rPr>
              <w:t xml:space="preserve"> 2022). </w:t>
            </w:r>
            <w:r w:rsidRPr="00FA736C">
              <w:rPr>
                <w:sz w:val="24"/>
                <w:szCs w:val="24"/>
              </w:rPr>
              <w:t>It ensures that people who may be vulnerable through illness, disability, or social circumstances are protected from abuse, neglect, and harm.</w:t>
            </w:r>
            <w:r>
              <w:rPr>
                <w:sz w:val="24"/>
                <w:szCs w:val="24"/>
              </w:rPr>
              <w:t xml:space="preserve"> Across Wales, over 25,000 adults were reported as being at risk of abuse or neglect in 2023-24, demonstrating both the scale of the issue and the growing emphasis placed on safeguarding within social services (Welsh Government, 2024). </w:t>
            </w:r>
          </w:p>
          <w:p w14:paraId="7E633C8D" w14:textId="77777777" w:rsidR="00A777B6" w:rsidRPr="002B4716" w:rsidRDefault="00A777B6" w:rsidP="00A777B6">
            <w:pPr>
              <w:spacing w:line="360" w:lineRule="auto"/>
              <w:rPr>
                <w:sz w:val="24"/>
                <w:szCs w:val="24"/>
              </w:rPr>
            </w:pPr>
          </w:p>
          <w:p w14:paraId="4016E509" w14:textId="77777777" w:rsidR="00A777B6" w:rsidRPr="002B4716" w:rsidRDefault="00A777B6" w:rsidP="00A777B6">
            <w:pPr>
              <w:spacing w:line="360" w:lineRule="auto"/>
              <w:rPr>
                <w:sz w:val="24"/>
                <w:szCs w:val="24"/>
              </w:rPr>
            </w:pPr>
            <w:r w:rsidRPr="002B4716">
              <w:rPr>
                <w:sz w:val="24"/>
                <w:szCs w:val="24"/>
              </w:rPr>
              <w:t xml:space="preserve">Adult safeguarding in Wales is governed by the Social Services and Well-being (Wales) Act (SSWBA) 2014, which reframed vulnerability through the principle of well-being and placed statutory duties on local authorities, health boards, and partners to prevent and respond to abuse and neglect. Part 7 of SSWBA 2014 provides the legal foundation for safeguarding by outlining duties to report, investigate, and prevent abuse, and by establishing regional </w:t>
            </w:r>
            <w:r w:rsidRPr="002B4716">
              <w:rPr>
                <w:sz w:val="24"/>
                <w:szCs w:val="24"/>
              </w:rPr>
              <w:lastRenderedPageBreak/>
              <w:t>safeguarding boards to promote consistent, multi-agency practice. These duties are operationalised through the Wales Safeguarding Procedures (2019), which provide clear processes for practitioners. This Welsh model emphasises partnership and individuals’ rights to be protected from harm while maintaining dignity, voice, and choice (Welsh Government, 2016</w:t>
            </w:r>
            <w:r>
              <w:rPr>
                <w:sz w:val="24"/>
                <w:szCs w:val="24"/>
              </w:rPr>
              <w:t>a</w:t>
            </w:r>
            <w:r w:rsidRPr="002B4716">
              <w:rPr>
                <w:sz w:val="24"/>
                <w:szCs w:val="24"/>
              </w:rPr>
              <w:t>).</w:t>
            </w:r>
          </w:p>
          <w:p w14:paraId="495D4ED4" w14:textId="77777777" w:rsidR="00A777B6" w:rsidRPr="002B4716" w:rsidRDefault="00A777B6" w:rsidP="00A777B6">
            <w:pPr>
              <w:spacing w:line="360" w:lineRule="auto"/>
              <w:rPr>
                <w:sz w:val="24"/>
                <w:szCs w:val="24"/>
              </w:rPr>
            </w:pPr>
          </w:p>
          <w:p w14:paraId="1BA5FC93" w14:textId="77777777" w:rsidR="00A777B6" w:rsidRDefault="00A777B6" w:rsidP="00A777B6">
            <w:pPr>
              <w:spacing w:line="360" w:lineRule="auto"/>
              <w:rPr>
                <w:sz w:val="24"/>
                <w:szCs w:val="24"/>
              </w:rPr>
            </w:pPr>
            <w:r w:rsidRPr="00FA736C">
              <w:rPr>
                <w:sz w:val="24"/>
                <w:szCs w:val="24"/>
              </w:rPr>
              <w:t>Safeguarding begins with recognising that an adult may be at risk. Under Part 7</w:t>
            </w:r>
            <w:r>
              <w:rPr>
                <w:sz w:val="24"/>
                <w:szCs w:val="24"/>
              </w:rPr>
              <w:t xml:space="preserve"> of SSWBA 2014</w:t>
            </w:r>
            <w:r w:rsidRPr="00FA736C">
              <w:rPr>
                <w:sz w:val="24"/>
                <w:szCs w:val="24"/>
              </w:rPr>
              <w:t xml:space="preserve">, an adult is defined as </w:t>
            </w:r>
            <w:r>
              <w:rPr>
                <w:sz w:val="24"/>
                <w:szCs w:val="24"/>
              </w:rPr>
              <w:t>‘</w:t>
            </w:r>
            <w:r w:rsidRPr="00FA736C">
              <w:rPr>
                <w:sz w:val="24"/>
                <w:szCs w:val="24"/>
              </w:rPr>
              <w:t>at risk</w:t>
            </w:r>
            <w:r>
              <w:rPr>
                <w:sz w:val="24"/>
                <w:szCs w:val="24"/>
              </w:rPr>
              <w:t>’</w:t>
            </w:r>
            <w:r w:rsidRPr="00FA736C">
              <w:rPr>
                <w:sz w:val="24"/>
                <w:szCs w:val="24"/>
              </w:rPr>
              <w:t xml:space="preserve"> if they are experiencing or likely to experience abuse or neglect, have care and support needs, and cannot protect themselves because of those needs. Abuse can be physical, emotional, sexual, financial, or take the form of neglect, and it may occur in any setting, including care homes, hospitals, or families. Early recognition enables timely intervention and prevention.</w:t>
            </w:r>
            <w:r>
              <w:rPr>
                <w:sz w:val="24"/>
                <w:szCs w:val="24"/>
              </w:rPr>
              <w:t xml:space="preserve"> </w:t>
            </w:r>
            <w:r w:rsidRPr="00FA736C">
              <w:rPr>
                <w:sz w:val="24"/>
                <w:szCs w:val="24"/>
              </w:rPr>
              <w:t xml:space="preserve">If there is immediate danger or a suspected crime, emergency services should be contacted via 999. In other cases, concerns are reported to the local authority’s safeguarding team. </w:t>
            </w:r>
          </w:p>
          <w:p w14:paraId="49D759E9" w14:textId="77777777" w:rsidR="00A777B6" w:rsidRPr="002B4716" w:rsidRDefault="00A777B6" w:rsidP="00A777B6">
            <w:pPr>
              <w:spacing w:line="360" w:lineRule="auto"/>
              <w:rPr>
                <w:sz w:val="24"/>
                <w:szCs w:val="24"/>
              </w:rPr>
            </w:pPr>
          </w:p>
          <w:p w14:paraId="65A1168F" w14:textId="77777777" w:rsidR="00A777B6" w:rsidRDefault="00A777B6" w:rsidP="00A777B6">
            <w:pPr>
              <w:spacing w:line="360" w:lineRule="auto"/>
              <w:rPr>
                <w:sz w:val="24"/>
                <w:szCs w:val="24"/>
              </w:rPr>
            </w:pPr>
            <w:r w:rsidRPr="00FA736C">
              <w:rPr>
                <w:sz w:val="24"/>
                <w:szCs w:val="24"/>
              </w:rPr>
              <w:t>The first procedural step, as set out in the Wales Safeguarding Procedures (2019), is to record and report the concern accurately, detailing what was seen or heard, who was involved, and when it occurred. Failure to report</w:t>
            </w:r>
            <w:r>
              <w:rPr>
                <w:sz w:val="24"/>
                <w:szCs w:val="24"/>
              </w:rPr>
              <w:t>,</w:t>
            </w:r>
            <w:r w:rsidRPr="00FA736C">
              <w:rPr>
                <w:sz w:val="24"/>
                <w:szCs w:val="24"/>
              </w:rPr>
              <w:t xml:space="preserve"> breach</w:t>
            </w:r>
            <w:r>
              <w:rPr>
                <w:sz w:val="24"/>
                <w:szCs w:val="24"/>
              </w:rPr>
              <w:t>es the</w:t>
            </w:r>
            <w:r w:rsidRPr="00FA736C">
              <w:rPr>
                <w:sz w:val="24"/>
                <w:szCs w:val="24"/>
              </w:rPr>
              <w:t xml:space="preserve"> </w:t>
            </w:r>
            <w:r>
              <w:rPr>
                <w:sz w:val="24"/>
                <w:szCs w:val="24"/>
              </w:rPr>
              <w:t>C</w:t>
            </w:r>
            <w:r w:rsidRPr="00FA736C">
              <w:rPr>
                <w:sz w:val="24"/>
                <w:szCs w:val="24"/>
              </w:rPr>
              <w:t xml:space="preserve">ode of </w:t>
            </w:r>
            <w:r>
              <w:rPr>
                <w:sz w:val="24"/>
                <w:szCs w:val="24"/>
              </w:rPr>
              <w:t>Professional Practice for Social Care (</w:t>
            </w:r>
            <w:r w:rsidRPr="00FA736C">
              <w:rPr>
                <w:sz w:val="24"/>
                <w:szCs w:val="24"/>
              </w:rPr>
              <w:t>Social Care Wales</w:t>
            </w:r>
            <w:r>
              <w:rPr>
                <w:sz w:val="24"/>
                <w:szCs w:val="24"/>
              </w:rPr>
              <w:t xml:space="preserve">, </w:t>
            </w:r>
            <w:r w:rsidRPr="00FA736C">
              <w:rPr>
                <w:sz w:val="24"/>
                <w:szCs w:val="24"/>
              </w:rPr>
              <w:t>20</w:t>
            </w:r>
            <w:r>
              <w:rPr>
                <w:sz w:val="24"/>
                <w:szCs w:val="24"/>
              </w:rPr>
              <w:t xml:space="preserve">17). </w:t>
            </w:r>
            <w:r w:rsidRPr="00FA736C">
              <w:rPr>
                <w:sz w:val="24"/>
                <w:szCs w:val="24"/>
              </w:rPr>
              <w:t xml:space="preserve">Once a concern is received, the </w:t>
            </w:r>
            <w:r>
              <w:rPr>
                <w:sz w:val="24"/>
                <w:szCs w:val="24"/>
              </w:rPr>
              <w:t>safeguarding practitioner</w:t>
            </w:r>
            <w:r w:rsidRPr="00FA736C">
              <w:rPr>
                <w:sz w:val="24"/>
                <w:szCs w:val="24"/>
              </w:rPr>
              <w:t xml:space="preserve"> decides whether to undertake a Section 126 enquiry under SSWBA</w:t>
            </w:r>
            <w:r>
              <w:rPr>
                <w:sz w:val="24"/>
                <w:szCs w:val="24"/>
              </w:rPr>
              <w:t xml:space="preserve"> 2014</w:t>
            </w:r>
            <w:r w:rsidRPr="00FA736C">
              <w:rPr>
                <w:sz w:val="24"/>
                <w:szCs w:val="24"/>
              </w:rPr>
              <w:t>. This involves gathering information from relevant agencies, reviewing records, and, where appropriate, speaking with the adult</w:t>
            </w:r>
            <w:r>
              <w:rPr>
                <w:sz w:val="24"/>
                <w:szCs w:val="24"/>
              </w:rPr>
              <w:t xml:space="preserve"> to determine </w:t>
            </w:r>
            <w:r w:rsidRPr="00FA736C">
              <w:rPr>
                <w:sz w:val="24"/>
                <w:szCs w:val="24"/>
              </w:rPr>
              <w:t>whether the statutory definition of</w:t>
            </w:r>
            <w:r>
              <w:rPr>
                <w:sz w:val="24"/>
                <w:szCs w:val="24"/>
              </w:rPr>
              <w:t xml:space="preserve"> an</w:t>
            </w:r>
            <w:r w:rsidRPr="00FA736C">
              <w:rPr>
                <w:sz w:val="24"/>
                <w:szCs w:val="24"/>
              </w:rPr>
              <w:t xml:space="preserve"> </w:t>
            </w:r>
            <w:r>
              <w:rPr>
                <w:sz w:val="24"/>
                <w:szCs w:val="24"/>
              </w:rPr>
              <w:t>‘</w:t>
            </w:r>
            <w:r w:rsidRPr="00FA736C">
              <w:rPr>
                <w:sz w:val="24"/>
                <w:szCs w:val="24"/>
              </w:rPr>
              <w:t>adult at risk</w:t>
            </w:r>
            <w:r>
              <w:rPr>
                <w:sz w:val="24"/>
                <w:szCs w:val="24"/>
              </w:rPr>
              <w:t>’</w:t>
            </w:r>
            <w:r w:rsidRPr="00FA736C">
              <w:rPr>
                <w:sz w:val="24"/>
                <w:szCs w:val="24"/>
              </w:rPr>
              <w:t xml:space="preserve"> is met.</w:t>
            </w:r>
            <w:r>
              <w:rPr>
                <w:sz w:val="24"/>
                <w:szCs w:val="24"/>
              </w:rPr>
              <w:t xml:space="preserve"> </w:t>
            </w:r>
            <w:r w:rsidRPr="00FA736C">
              <w:rPr>
                <w:sz w:val="24"/>
                <w:szCs w:val="24"/>
              </w:rPr>
              <w:t>If there is reasonable cause to suspect harm, a strategy meeting</w:t>
            </w:r>
            <w:r>
              <w:rPr>
                <w:sz w:val="24"/>
                <w:szCs w:val="24"/>
              </w:rPr>
              <w:t xml:space="preserve"> is convened with key professionals such as</w:t>
            </w:r>
            <w:r w:rsidRPr="00FA736C">
              <w:rPr>
                <w:sz w:val="24"/>
                <w:szCs w:val="24"/>
              </w:rPr>
              <w:t xml:space="preserve"> social workers, health practitioners</w:t>
            </w:r>
            <w:r>
              <w:rPr>
                <w:sz w:val="24"/>
                <w:szCs w:val="24"/>
              </w:rPr>
              <w:t>, and police officers</w:t>
            </w:r>
            <w:r w:rsidRPr="00FA736C">
              <w:rPr>
                <w:sz w:val="24"/>
                <w:szCs w:val="24"/>
              </w:rPr>
              <w:t xml:space="preserve"> to share information</w:t>
            </w:r>
            <w:r>
              <w:rPr>
                <w:sz w:val="24"/>
                <w:szCs w:val="24"/>
              </w:rPr>
              <w:t xml:space="preserve"> and</w:t>
            </w:r>
            <w:r w:rsidRPr="00FA736C">
              <w:rPr>
                <w:sz w:val="24"/>
                <w:szCs w:val="24"/>
              </w:rPr>
              <w:t xml:space="preserve"> agree immediate safety measures (W</w:t>
            </w:r>
            <w:r>
              <w:rPr>
                <w:sz w:val="24"/>
                <w:szCs w:val="24"/>
              </w:rPr>
              <w:t>ales Safeguarding Procedures</w:t>
            </w:r>
            <w:r w:rsidRPr="00FA736C">
              <w:rPr>
                <w:sz w:val="24"/>
                <w:szCs w:val="24"/>
              </w:rPr>
              <w:t>, 2019).</w:t>
            </w:r>
            <w:r>
              <w:rPr>
                <w:sz w:val="24"/>
                <w:szCs w:val="24"/>
              </w:rPr>
              <w:t xml:space="preserve"> </w:t>
            </w:r>
            <w:r w:rsidRPr="00FA736C">
              <w:rPr>
                <w:sz w:val="24"/>
                <w:szCs w:val="24"/>
              </w:rPr>
              <w:t xml:space="preserve">A lead </w:t>
            </w:r>
            <w:r>
              <w:rPr>
                <w:sz w:val="24"/>
                <w:szCs w:val="24"/>
              </w:rPr>
              <w:t xml:space="preserve">co-ordinator, usually the safeguarding practitioner, </w:t>
            </w:r>
            <w:r w:rsidRPr="00FA736C">
              <w:rPr>
                <w:sz w:val="24"/>
                <w:szCs w:val="24"/>
              </w:rPr>
              <w:t>ensure</w:t>
            </w:r>
            <w:r>
              <w:rPr>
                <w:sz w:val="24"/>
                <w:szCs w:val="24"/>
              </w:rPr>
              <w:t>s</w:t>
            </w:r>
            <w:r w:rsidRPr="00FA736C">
              <w:rPr>
                <w:sz w:val="24"/>
                <w:szCs w:val="24"/>
              </w:rPr>
              <w:t xml:space="preserve"> communication remains consistent and agreed actions are implemented. </w:t>
            </w:r>
            <w:r>
              <w:rPr>
                <w:sz w:val="24"/>
                <w:szCs w:val="24"/>
              </w:rPr>
              <w:t>P</w:t>
            </w:r>
            <w:r w:rsidRPr="00FA736C">
              <w:rPr>
                <w:sz w:val="24"/>
                <w:szCs w:val="24"/>
              </w:rPr>
              <w:t>ractitioners must also assess whether the adult has capacity to make decisions about their own safety and whether independent advocacy is required under</w:t>
            </w:r>
            <w:r>
              <w:rPr>
                <w:sz w:val="24"/>
                <w:szCs w:val="24"/>
              </w:rPr>
              <w:t xml:space="preserve"> Part 10</w:t>
            </w:r>
            <w:r w:rsidRPr="00FA736C">
              <w:rPr>
                <w:sz w:val="24"/>
                <w:szCs w:val="24"/>
              </w:rPr>
              <w:t xml:space="preserve"> </w:t>
            </w:r>
            <w:r>
              <w:rPr>
                <w:sz w:val="24"/>
                <w:szCs w:val="24"/>
              </w:rPr>
              <w:t>of SSWBA 2014. Where risks have already been mitigated or safeguarding thresholds are not met, the case may instead result in alternative forms of support, monitoring, or referral to other services.</w:t>
            </w:r>
          </w:p>
          <w:p w14:paraId="6FEB60C3" w14:textId="77777777" w:rsidR="00A777B6" w:rsidRDefault="00A777B6" w:rsidP="00A777B6">
            <w:pPr>
              <w:spacing w:line="360" w:lineRule="auto"/>
              <w:rPr>
                <w:sz w:val="24"/>
                <w:szCs w:val="24"/>
              </w:rPr>
            </w:pPr>
          </w:p>
          <w:p w14:paraId="33EBF980" w14:textId="77777777" w:rsidR="00A777B6" w:rsidRDefault="00A777B6" w:rsidP="00A777B6">
            <w:pPr>
              <w:spacing w:line="360" w:lineRule="auto"/>
              <w:rPr>
                <w:sz w:val="24"/>
                <w:szCs w:val="24"/>
              </w:rPr>
            </w:pPr>
            <w:r>
              <w:rPr>
                <w:sz w:val="24"/>
                <w:szCs w:val="24"/>
              </w:rPr>
              <w:t>If the enquiry confirms that the adult remains at risk, a care and support protection plan is developed</w:t>
            </w:r>
            <w:r w:rsidRPr="00FA736C">
              <w:rPr>
                <w:sz w:val="24"/>
                <w:szCs w:val="24"/>
              </w:rPr>
              <w:t xml:space="preserve"> in partnership with the adult wherever possible.</w:t>
            </w:r>
            <w:r>
              <w:rPr>
                <w:sz w:val="24"/>
                <w:szCs w:val="24"/>
              </w:rPr>
              <w:t xml:space="preserve"> This plan outlines the actions needed to promote well-being, identifies who is responsible for each task, and how progress will be reviewed. </w:t>
            </w:r>
            <w:r w:rsidRPr="00FA736C">
              <w:rPr>
                <w:sz w:val="24"/>
                <w:szCs w:val="24"/>
              </w:rPr>
              <w:t xml:space="preserve">It must be person-centred and proportionate, reflecting the principles of empowerment and the least restrictive approach promoted by both SSWBA </w:t>
            </w:r>
            <w:r>
              <w:rPr>
                <w:sz w:val="24"/>
                <w:szCs w:val="24"/>
              </w:rPr>
              <w:t xml:space="preserve">2014 </w:t>
            </w:r>
            <w:r w:rsidRPr="00FA736C">
              <w:rPr>
                <w:sz w:val="24"/>
                <w:szCs w:val="24"/>
              </w:rPr>
              <w:t>and the Mental Capacity Act</w:t>
            </w:r>
            <w:r>
              <w:rPr>
                <w:sz w:val="24"/>
                <w:szCs w:val="24"/>
              </w:rPr>
              <w:t xml:space="preserve"> </w:t>
            </w:r>
            <w:r w:rsidRPr="00FA736C">
              <w:rPr>
                <w:sz w:val="24"/>
                <w:szCs w:val="24"/>
              </w:rPr>
              <w:t>2005. Adults should be supported to make their own decisions where they have capacity</w:t>
            </w:r>
            <w:r>
              <w:rPr>
                <w:sz w:val="24"/>
                <w:szCs w:val="24"/>
              </w:rPr>
              <w:t xml:space="preserve">; </w:t>
            </w:r>
            <w:r w:rsidRPr="00FA736C">
              <w:rPr>
                <w:sz w:val="24"/>
                <w:szCs w:val="24"/>
              </w:rPr>
              <w:t>where capacity is lacking, decisions must be made in their best interests</w:t>
            </w:r>
            <w:r>
              <w:rPr>
                <w:sz w:val="24"/>
                <w:szCs w:val="24"/>
              </w:rPr>
              <w:t xml:space="preserve"> (Mental Capacity Act 2005</w:t>
            </w:r>
            <w:r w:rsidRPr="00FA736C">
              <w:rPr>
                <w:sz w:val="24"/>
                <w:szCs w:val="24"/>
              </w:rPr>
              <w:t>)</w:t>
            </w:r>
            <w:r>
              <w:rPr>
                <w:sz w:val="24"/>
                <w:szCs w:val="24"/>
              </w:rPr>
              <w:t>. I</w:t>
            </w:r>
            <w:r w:rsidRPr="00FA736C">
              <w:rPr>
                <w:sz w:val="24"/>
                <w:szCs w:val="24"/>
              </w:rPr>
              <w:t>f risks remain high or complex, a multi-agency adult protection conference may be held to review evidence and agree further measures. The safeguarding process continues until risk has been reduced to an acceptable level and the adult’s outcomes have been achieved.</w:t>
            </w:r>
          </w:p>
          <w:p w14:paraId="7ECF6343" w14:textId="77777777" w:rsidR="00A777B6" w:rsidRPr="002B4716" w:rsidRDefault="00A777B6" w:rsidP="00A777B6">
            <w:pPr>
              <w:spacing w:line="360" w:lineRule="auto"/>
              <w:rPr>
                <w:sz w:val="24"/>
                <w:szCs w:val="24"/>
              </w:rPr>
            </w:pPr>
          </w:p>
          <w:p w14:paraId="751FF148" w14:textId="77777777" w:rsidR="00A777B6" w:rsidRDefault="00A777B6" w:rsidP="00A777B6">
            <w:pPr>
              <w:spacing w:line="360" w:lineRule="auto"/>
              <w:rPr>
                <w:sz w:val="24"/>
                <w:szCs w:val="24"/>
              </w:rPr>
            </w:pPr>
            <w:r w:rsidRPr="00FA736C">
              <w:rPr>
                <w:sz w:val="24"/>
                <w:szCs w:val="24"/>
              </w:rPr>
              <w:t>In some cases, professionals may be unable to access an adult believed to be at risk, for example if another person prevents contact. In such circumstances, the local authority can apply for an Adult Protection and Support Order, allowing authorised officers to enter the premises with police support to speak privately with the adult. This order does not permit removal but ensures the individual can be seen safely and their situation assessed.</w:t>
            </w:r>
          </w:p>
          <w:p w14:paraId="65783F61" w14:textId="77777777" w:rsidR="00A777B6" w:rsidRPr="00FA736C" w:rsidRDefault="00A777B6" w:rsidP="00A777B6">
            <w:pPr>
              <w:spacing w:line="360" w:lineRule="auto"/>
              <w:rPr>
                <w:sz w:val="24"/>
                <w:szCs w:val="24"/>
              </w:rPr>
            </w:pPr>
          </w:p>
          <w:p w14:paraId="51245F8D" w14:textId="77777777" w:rsidR="00A777B6" w:rsidRPr="00092C03" w:rsidRDefault="00A777B6" w:rsidP="00A777B6">
            <w:pPr>
              <w:spacing w:line="360" w:lineRule="auto"/>
              <w:rPr>
                <w:sz w:val="24"/>
                <w:szCs w:val="24"/>
              </w:rPr>
            </w:pPr>
            <w:r w:rsidRPr="00FA736C">
              <w:rPr>
                <w:sz w:val="24"/>
                <w:szCs w:val="24"/>
              </w:rPr>
              <w:t>When a case results in serious harm or death, agencies m</w:t>
            </w:r>
            <w:r>
              <w:rPr>
                <w:sz w:val="24"/>
                <w:szCs w:val="24"/>
              </w:rPr>
              <w:t>ust</w:t>
            </w:r>
            <w:r w:rsidRPr="00FA736C">
              <w:rPr>
                <w:sz w:val="24"/>
                <w:szCs w:val="24"/>
              </w:rPr>
              <w:t xml:space="preserve"> undertake an Adult Practice Review to identify learning and improve future safeguarding practice (National Independent Safeguarding Board, 2020). Oversight is provided by the Older People’s Commissioner for Wales</w:t>
            </w:r>
            <w:r>
              <w:rPr>
                <w:sz w:val="24"/>
                <w:szCs w:val="24"/>
              </w:rPr>
              <w:t xml:space="preserve"> (2023)</w:t>
            </w:r>
            <w:r w:rsidRPr="00FA736C">
              <w:rPr>
                <w:sz w:val="24"/>
                <w:szCs w:val="24"/>
              </w:rPr>
              <w:t>, who promotes the rights and well-being of older adults and challenges unsafe practice</w:t>
            </w:r>
            <w:r>
              <w:rPr>
                <w:sz w:val="24"/>
                <w:szCs w:val="24"/>
              </w:rPr>
              <w:t xml:space="preserve">, alongside Care Inspectorate Wales (2023), which regulates and inspects social care and safeguarding functions to ensure accountability and improvement. These aims align with </w:t>
            </w:r>
            <w:r>
              <w:rPr>
                <w:i/>
                <w:iCs/>
                <w:sz w:val="24"/>
                <w:szCs w:val="24"/>
              </w:rPr>
              <w:t xml:space="preserve">Age Friendly Wales: Our Strategy for an Ageing Society </w:t>
            </w:r>
            <w:r>
              <w:rPr>
                <w:sz w:val="24"/>
                <w:szCs w:val="24"/>
              </w:rPr>
              <w:t>(Welsh Government, 2021a), which promotes independence, safety, and inclusion. The Well-being of Future Generations (Wales) Act, 2015 further embeds prevention and collaboration across public services, linking safeguarding to Wales’s broader vision for well-being.</w:t>
            </w:r>
          </w:p>
          <w:p w14:paraId="7B7292F7" w14:textId="77777777" w:rsidR="00A777B6" w:rsidRDefault="00A777B6" w:rsidP="00A777B6">
            <w:pPr>
              <w:spacing w:line="360" w:lineRule="auto"/>
              <w:rPr>
                <w:sz w:val="24"/>
                <w:szCs w:val="24"/>
              </w:rPr>
            </w:pPr>
          </w:p>
          <w:p w14:paraId="757CF966" w14:textId="77777777" w:rsidR="00A777B6" w:rsidRDefault="00A777B6" w:rsidP="00A777B6">
            <w:pPr>
              <w:spacing w:line="360" w:lineRule="auto"/>
              <w:rPr>
                <w:sz w:val="24"/>
                <w:szCs w:val="24"/>
              </w:rPr>
            </w:pPr>
            <w:r w:rsidRPr="00F64437">
              <w:rPr>
                <w:sz w:val="24"/>
                <w:szCs w:val="24"/>
              </w:rPr>
              <w:lastRenderedPageBreak/>
              <w:t xml:space="preserve">The Welsh safeguarding framework aligns closely with wider UK and international legislation, reflecting shared principles of dignity, empowerment, and protection from harm. While </w:t>
            </w:r>
            <w:r>
              <w:rPr>
                <w:sz w:val="24"/>
                <w:szCs w:val="24"/>
              </w:rPr>
              <w:t>England’s</w:t>
            </w:r>
            <w:r w:rsidRPr="00F64437">
              <w:rPr>
                <w:sz w:val="24"/>
                <w:szCs w:val="24"/>
              </w:rPr>
              <w:t xml:space="preserve"> Care Act 2014 promotes prevention and partnership, the SSWBA 2014 goes further by embedding these duties within a legal commitment to well-being. The Human Rights Act 1998, incorporating the European Convention on Human Rights (Council of Europe, 1950), ensures that safeguarding upholds rights to life, liberty, and freedom from degrading treatment. International </w:t>
            </w:r>
            <w:r>
              <w:rPr>
                <w:sz w:val="24"/>
                <w:szCs w:val="24"/>
              </w:rPr>
              <w:t>frameworks</w:t>
            </w:r>
            <w:r w:rsidRPr="00F64437">
              <w:rPr>
                <w:sz w:val="24"/>
                <w:szCs w:val="24"/>
              </w:rPr>
              <w:t xml:space="preserve"> such as the U</w:t>
            </w:r>
            <w:r>
              <w:rPr>
                <w:sz w:val="24"/>
                <w:szCs w:val="24"/>
              </w:rPr>
              <w:t xml:space="preserve">nited </w:t>
            </w:r>
            <w:r w:rsidRPr="00F64437">
              <w:rPr>
                <w:sz w:val="24"/>
                <w:szCs w:val="24"/>
              </w:rPr>
              <w:t>N</w:t>
            </w:r>
            <w:r>
              <w:rPr>
                <w:sz w:val="24"/>
                <w:szCs w:val="24"/>
              </w:rPr>
              <w:t>ations</w:t>
            </w:r>
            <w:r w:rsidRPr="00F64437">
              <w:rPr>
                <w:sz w:val="24"/>
                <w:szCs w:val="24"/>
              </w:rPr>
              <w:t xml:space="preserve"> Convention on the Rights of Persons with Disabilities </w:t>
            </w:r>
            <w:r>
              <w:rPr>
                <w:sz w:val="24"/>
                <w:szCs w:val="24"/>
              </w:rPr>
              <w:t>(</w:t>
            </w:r>
            <w:r w:rsidRPr="00F64437">
              <w:rPr>
                <w:sz w:val="24"/>
                <w:szCs w:val="24"/>
              </w:rPr>
              <w:t>2006) reinforce Wales’s rights-based approach, promoting equality, autonomy, and accountability across safeguarding practice.</w:t>
            </w:r>
          </w:p>
          <w:p w14:paraId="5678BF01" w14:textId="77777777" w:rsidR="00A777B6" w:rsidRDefault="00A777B6" w:rsidP="00A777B6">
            <w:pPr>
              <w:spacing w:line="360" w:lineRule="auto"/>
              <w:rPr>
                <w:sz w:val="24"/>
                <w:szCs w:val="24"/>
              </w:rPr>
            </w:pPr>
          </w:p>
          <w:p w14:paraId="71447A6D" w14:textId="77777777" w:rsidR="00A777B6" w:rsidRPr="00970D9D" w:rsidRDefault="00A777B6" w:rsidP="00A777B6">
            <w:pPr>
              <w:spacing w:line="360" w:lineRule="auto"/>
              <w:rPr>
                <w:sz w:val="24"/>
                <w:szCs w:val="24"/>
              </w:rPr>
            </w:pPr>
            <w:r>
              <w:rPr>
                <w:sz w:val="24"/>
                <w:szCs w:val="24"/>
              </w:rPr>
              <w:t xml:space="preserve">Having outlined the legal and policy frameworks underpinning adult safeguarding in Wales, the following case study critically reflects on their application in practice, focusing on </w:t>
            </w:r>
            <w:r w:rsidRPr="00092C03">
              <w:rPr>
                <w:sz w:val="24"/>
                <w:szCs w:val="24"/>
              </w:rPr>
              <w:t>analysis in assessment, collaborative working</w:t>
            </w:r>
            <w:r>
              <w:rPr>
                <w:sz w:val="24"/>
                <w:szCs w:val="24"/>
              </w:rPr>
              <w:t>,</w:t>
            </w:r>
            <w:r w:rsidRPr="00092C03">
              <w:rPr>
                <w:sz w:val="24"/>
                <w:szCs w:val="24"/>
              </w:rPr>
              <w:t xml:space="preserve"> and professional judgement</w:t>
            </w:r>
            <w:r>
              <w:rPr>
                <w:sz w:val="24"/>
                <w:szCs w:val="24"/>
              </w:rPr>
              <w:t xml:space="preserve">. The individual in this case study is an older person who has been living in a dementia residential home in Wales for several years. </w:t>
            </w:r>
            <w:r w:rsidRPr="00970D9D">
              <w:rPr>
                <w:sz w:val="24"/>
                <w:szCs w:val="24"/>
              </w:rPr>
              <w:t xml:space="preserve">She had relocated from England to be closer to her son, who holds lasting power of attorney (LPA) for property and financial affairs under </w:t>
            </w:r>
            <w:r>
              <w:rPr>
                <w:sz w:val="24"/>
                <w:szCs w:val="24"/>
              </w:rPr>
              <w:t>the Mental Capacity Act</w:t>
            </w:r>
            <w:r w:rsidRPr="00970D9D">
              <w:rPr>
                <w:sz w:val="24"/>
                <w:szCs w:val="24"/>
              </w:rPr>
              <w:t xml:space="preserve"> 2005. The decision to move reflected her desire for proximity to family and security following her husband’s death. It also exemplifies a broader demographic trend of older adults relocating across UK borders for familial support, which can create complexity due to differing legislative frameworks (</w:t>
            </w:r>
            <w:r>
              <w:rPr>
                <w:sz w:val="24"/>
                <w:szCs w:val="24"/>
              </w:rPr>
              <w:t xml:space="preserve">Age Cymru, 2023; </w:t>
            </w:r>
            <w:r w:rsidRPr="00970D9D">
              <w:rPr>
                <w:sz w:val="24"/>
                <w:szCs w:val="24"/>
              </w:rPr>
              <w:t xml:space="preserve">Burholt </w:t>
            </w:r>
            <w:r w:rsidRPr="00970D9D">
              <w:rPr>
                <w:i/>
                <w:iCs/>
                <w:sz w:val="24"/>
                <w:szCs w:val="24"/>
              </w:rPr>
              <w:t>et al</w:t>
            </w:r>
            <w:r w:rsidRPr="00970D9D">
              <w:rPr>
                <w:sz w:val="24"/>
                <w:szCs w:val="24"/>
              </w:rPr>
              <w:t>., 2013</w:t>
            </w:r>
            <w:r>
              <w:rPr>
                <w:sz w:val="24"/>
                <w:szCs w:val="24"/>
              </w:rPr>
              <w:t xml:space="preserve">; </w:t>
            </w:r>
            <w:r w:rsidRPr="00970D9D">
              <w:rPr>
                <w:sz w:val="24"/>
                <w:szCs w:val="24"/>
              </w:rPr>
              <w:t xml:space="preserve">Welsh Government, 2018). Whereas adult care in England is governed by the Care Act 2014, Wales operates under </w:t>
            </w:r>
            <w:r>
              <w:rPr>
                <w:sz w:val="24"/>
                <w:szCs w:val="24"/>
              </w:rPr>
              <w:t>SWBA</w:t>
            </w:r>
            <w:r w:rsidRPr="00970D9D">
              <w:rPr>
                <w:sz w:val="24"/>
                <w:szCs w:val="24"/>
              </w:rPr>
              <w:t>2014, which establishes distinct eligibility criteria and a higher capital threshold for local-authority financial support.</w:t>
            </w:r>
          </w:p>
          <w:p w14:paraId="6B19AB78" w14:textId="77777777" w:rsidR="00A777B6" w:rsidRPr="002B4716" w:rsidRDefault="00A777B6" w:rsidP="00A777B6">
            <w:pPr>
              <w:spacing w:line="360" w:lineRule="auto"/>
              <w:rPr>
                <w:sz w:val="24"/>
                <w:szCs w:val="24"/>
              </w:rPr>
            </w:pPr>
          </w:p>
          <w:p w14:paraId="52D40ECF" w14:textId="77777777" w:rsidR="00A777B6" w:rsidRDefault="00A777B6" w:rsidP="00A777B6">
            <w:pPr>
              <w:spacing w:line="360" w:lineRule="auto"/>
              <w:rPr>
                <w:sz w:val="24"/>
                <w:szCs w:val="24"/>
              </w:rPr>
            </w:pPr>
            <w:r w:rsidRPr="002B4716">
              <w:rPr>
                <w:sz w:val="24"/>
                <w:szCs w:val="24"/>
              </w:rPr>
              <w:t>When her savings fell below £50,000</w:t>
            </w:r>
            <w:r>
              <w:rPr>
                <w:sz w:val="24"/>
                <w:szCs w:val="24"/>
              </w:rPr>
              <w:t xml:space="preserve"> threshold</w:t>
            </w:r>
            <w:r w:rsidRPr="002B4716">
              <w:rPr>
                <w:sz w:val="24"/>
                <w:szCs w:val="24"/>
              </w:rPr>
              <w:t xml:space="preserve">, her son requested a care and support assessment to determine her eligibility for funding under Part 3 of SSWBA 2014. My professional involvement began at this stage, with the purpose of undertaking a holistic, outcomes-focused assessment in accordance with Section 19 of </w:t>
            </w:r>
            <w:r>
              <w:rPr>
                <w:sz w:val="24"/>
                <w:szCs w:val="24"/>
              </w:rPr>
              <w:t>SSWBA 2014</w:t>
            </w:r>
            <w:r w:rsidRPr="002B4716">
              <w:rPr>
                <w:sz w:val="24"/>
                <w:szCs w:val="24"/>
              </w:rPr>
              <w:t xml:space="preserve"> and Part 3 Code of Practice (Welsh Government, 2015</w:t>
            </w:r>
            <w:r>
              <w:rPr>
                <w:sz w:val="24"/>
                <w:szCs w:val="24"/>
              </w:rPr>
              <w:t>a</w:t>
            </w:r>
            <w:r w:rsidRPr="002B4716">
              <w:rPr>
                <w:sz w:val="24"/>
                <w:szCs w:val="24"/>
              </w:rPr>
              <w:t>). This process reflected a strengths-based approach (</w:t>
            </w:r>
            <w:proofErr w:type="spellStart"/>
            <w:r w:rsidRPr="002B4716">
              <w:rPr>
                <w:sz w:val="24"/>
                <w:szCs w:val="24"/>
              </w:rPr>
              <w:t>Saleebey</w:t>
            </w:r>
            <w:proofErr w:type="spellEnd"/>
            <w:r w:rsidRPr="002B4716">
              <w:rPr>
                <w:sz w:val="24"/>
                <w:szCs w:val="24"/>
              </w:rPr>
              <w:t xml:space="preserve">, 1996), focusing on the individual’s remaining abilities, preferences, and sources of resilience rather than solely on deficits. By emphasising what mattered to her </w:t>
            </w:r>
            <w:r w:rsidRPr="002B4716">
              <w:rPr>
                <w:sz w:val="24"/>
                <w:szCs w:val="24"/>
              </w:rPr>
              <w:lastRenderedPageBreak/>
              <w:t>and recognising her existing coping strategies, the assessment aligned with the preventative and person-centred ethos of SSWBA 2014.</w:t>
            </w:r>
          </w:p>
          <w:p w14:paraId="2C48EA8D" w14:textId="77777777" w:rsidR="00A777B6" w:rsidRPr="002B4716" w:rsidRDefault="00A777B6" w:rsidP="00A777B6">
            <w:pPr>
              <w:spacing w:line="360" w:lineRule="auto"/>
              <w:rPr>
                <w:sz w:val="24"/>
                <w:szCs w:val="24"/>
              </w:rPr>
            </w:pPr>
          </w:p>
          <w:p w14:paraId="045AE46A" w14:textId="77777777" w:rsidR="00A777B6" w:rsidRPr="002B4716" w:rsidRDefault="00A777B6" w:rsidP="00A777B6">
            <w:pPr>
              <w:spacing w:line="360" w:lineRule="auto"/>
              <w:rPr>
                <w:sz w:val="24"/>
                <w:szCs w:val="24"/>
              </w:rPr>
            </w:pPr>
            <w:r w:rsidRPr="002B4716">
              <w:rPr>
                <w:sz w:val="24"/>
                <w:szCs w:val="24"/>
              </w:rPr>
              <w:t>The individual’s preferred language was English; however, I was mindful of the Welsh Language (Wales) Measure 2011 and the principle of the Active Offer</w:t>
            </w:r>
            <w:r>
              <w:rPr>
                <w:sz w:val="24"/>
                <w:szCs w:val="24"/>
              </w:rPr>
              <w:t xml:space="preserve"> (Welsh Government, 2012)</w:t>
            </w:r>
            <w:r w:rsidRPr="002B4716">
              <w:rPr>
                <w:sz w:val="24"/>
                <w:szCs w:val="24"/>
              </w:rPr>
              <w:t xml:space="preserve">, ensuring equality and inclusion in </w:t>
            </w:r>
            <w:r>
              <w:rPr>
                <w:sz w:val="24"/>
                <w:szCs w:val="24"/>
              </w:rPr>
              <w:t xml:space="preserve">all </w:t>
            </w:r>
            <w:r w:rsidRPr="002B4716">
              <w:rPr>
                <w:sz w:val="24"/>
                <w:szCs w:val="24"/>
              </w:rPr>
              <w:t>communication (Social Care Wales, 2017). Prior to her cognitive decline, she had made a capaci</w:t>
            </w:r>
            <w:r>
              <w:rPr>
                <w:sz w:val="24"/>
                <w:szCs w:val="24"/>
              </w:rPr>
              <w:t>ous</w:t>
            </w:r>
            <w:r w:rsidRPr="002B4716">
              <w:rPr>
                <w:sz w:val="24"/>
                <w:szCs w:val="24"/>
              </w:rPr>
              <w:t xml:space="preserve"> decision to enter residential care following her husband’s death, citing loneliness, anxiety, and repeated falls. This </w:t>
            </w:r>
            <w:r>
              <w:rPr>
                <w:sz w:val="24"/>
                <w:szCs w:val="24"/>
              </w:rPr>
              <w:t xml:space="preserve">earlier </w:t>
            </w:r>
            <w:r w:rsidRPr="002B4716">
              <w:rPr>
                <w:sz w:val="24"/>
                <w:szCs w:val="24"/>
              </w:rPr>
              <w:t>decision illustrates the principle of autonomy and the right to self-determination enshrined in the M</w:t>
            </w:r>
            <w:r>
              <w:rPr>
                <w:sz w:val="24"/>
                <w:szCs w:val="24"/>
              </w:rPr>
              <w:t xml:space="preserve">ental </w:t>
            </w:r>
            <w:r w:rsidRPr="002B4716">
              <w:rPr>
                <w:sz w:val="24"/>
                <w:szCs w:val="24"/>
              </w:rPr>
              <w:t>C</w:t>
            </w:r>
            <w:r>
              <w:rPr>
                <w:sz w:val="24"/>
                <w:szCs w:val="24"/>
              </w:rPr>
              <w:t xml:space="preserve">apacity </w:t>
            </w:r>
            <w:r w:rsidRPr="002B4716">
              <w:rPr>
                <w:sz w:val="24"/>
                <w:szCs w:val="24"/>
              </w:rPr>
              <w:t>A</w:t>
            </w:r>
            <w:r>
              <w:rPr>
                <w:sz w:val="24"/>
                <w:szCs w:val="24"/>
              </w:rPr>
              <w:t>ct</w:t>
            </w:r>
            <w:r w:rsidRPr="002B4716">
              <w:rPr>
                <w:sz w:val="24"/>
                <w:szCs w:val="24"/>
              </w:rPr>
              <w:t xml:space="preserve"> 2005 and central to social</w:t>
            </w:r>
            <w:r>
              <w:rPr>
                <w:sz w:val="24"/>
                <w:szCs w:val="24"/>
              </w:rPr>
              <w:t xml:space="preserve"> </w:t>
            </w:r>
            <w:r w:rsidRPr="002B4716">
              <w:rPr>
                <w:sz w:val="24"/>
                <w:szCs w:val="24"/>
              </w:rPr>
              <w:t>work ethics (Banks, 2012)</w:t>
            </w:r>
            <w:r>
              <w:rPr>
                <w:sz w:val="24"/>
                <w:szCs w:val="24"/>
              </w:rPr>
              <w:t>.</w:t>
            </w:r>
          </w:p>
          <w:p w14:paraId="2DF96B09" w14:textId="77777777" w:rsidR="00A777B6" w:rsidRPr="002B4716" w:rsidRDefault="00A777B6" w:rsidP="00A777B6">
            <w:pPr>
              <w:spacing w:line="360" w:lineRule="auto"/>
              <w:rPr>
                <w:sz w:val="24"/>
                <w:szCs w:val="24"/>
              </w:rPr>
            </w:pPr>
          </w:p>
          <w:p w14:paraId="548BF868" w14:textId="77777777" w:rsidR="00A777B6" w:rsidRDefault="00A777B6" w:rsidP="00A777B6">
            <w:pPr>
              <w:spacing w:line="360" w:lineRule="auto"/>
              <w:rPr>
                <w:sz w:val="24"/>
                <w:szCs w:val="24"/>
              </w:rPr>
            </w:pPr>
            <w:r w:rsidRPr="002B4716">
              <w:rPr>
                <w:sz w:val="24"/>
                <w:szCs w:val="24"/>
              </w:rPr>
              <w:t>At the point of assessment, the individual was subject to a Deprivation of Liberty Safeguards (</w:t>
            </w:r>
            <w:proofErr w:type="spellStart"/>
            <w:r w:rsidRPr="002B4716">
              <w:rPr>
                <w:sz w:val="24"/>
                <w:szCs w:val="24"/>
              </w:rPr>
              <w:t>DoLS</w:t>
            </w:r>
            <w:proofErr w:type="spellEnd"/>
            <w:r w:rsidRPr="002B4716">
              <w:rPr>
                <w:sz w:val="24"/>
                <w:szCs w:val="24"/>
              </w:rPr>
              <w:t>) authorisation under the M</w:t>
            </w:r>
            <w:r>
              <w:rPr>
                <w:sz w:val="24"/>
                <w:szCs w:val="24"/>
              </w:rPr>
              <w:t xml:space="preserve">ental </w:t>
            </w:r>
            <w:r w:rsidRPr="002B4716">
              <w:rPr>
                <w:sz w:val="24"/>
                <w:szCs w:val="24"/>
              </w:rPr>
              <w:t>C</w:t>
            </w:r>
            <w:r>
              <w:rPr>
                <w:sz w:val="24"/>
                <w:szCs w:val="24"/>
              </w:rPr>
              <w:t xml:space="preserve">apacity </w:t>
            </w:r>
            <w:r w:rsidRPr="002B4716">
              <w:rPr>
                <w:sz w:val="24"/>
                <w:szCs w:val="24"/>
              </w:rPr>
              <w:t>A</w:t>
            </w:r>
            <w:r>
              <w:rPr>
                <w:sz w:val="24"/>
                <w:szCs w:val="24"/>
              </w:rPr>
              <w:t>ct</w:t>
            </w:r>
            <w:r w:rsidRPr="002B4716">
              <w:rPr>
                <w:sz w:val="24"/>
                <w:szCs w:val="24"/>
              </w:rPr>
              <w:t xml:space="preserve"> 2005, confirming that she lacked capacity to decide on accommodation and care arrangements. She presented with dementia characterised by short-term memory loss and fluctuating awareness. Assessment </w:t>
            </w:r>
            <w:r>
              <w:rPr>
                <w:sz w:val="24"/>
                <w:szCs w:val="24"/>
              </w:rPr>
              <w:t xml:space="preserve">therefore </w:t>
            </w:r>
            <w:r w:rsidRPr="002B4716">
              <w:rPr>
                <w:sz w:val="24"/>
                <w:szCs w:val="24"/>
              </w:rPr>
              <w:t xml:space="preserve">required a sensitive approach that supported communication through repetition, non-verbal cues, and observation, consistent with </w:t>
            </w:r>
            <w:proofErr w:type="spellStart"/>
            <w:r w:rsidRPr="002B4716">
              <w:rPr>
                <w:sz w:val="24"/>
                <w:szCs w:val="24"/>
              </w:rPr>
              <w:t>Kitwood’s</w:t>
            </w:r>
            <w:proofErr w:type="spellEnd"/>
            <w:r w:rsidRPr="002B4716">
              <w:rPr>
                <w:sz w:val="24"/>
                <w:szCs w:val="24"/>
              </w:rPr>
              <w:t xml:space="preserve"> (1997) concept of personhood in dementia care, which emphasises identity, empathy, and relational understanding. Maintaining this person-centred focus also required awareness of the potential for labelling (Becker, 1963), where diagnostic categories such as </w:t>
            </w:r>
            <w:r>
              <w:rPr>
                <w:sz w:val="24"/>
                <w:szCs w:val="24"/>
              </w:rPr>
              <w:t>‘</w:t>
            </w:r>
            <w:r w:rsidRPr="002B4716">
              <w:rPr>
                <w:sz w:val="24"/>
                <w:szCs w:val="24"/>
              </w:rPr>
              <w:t>dementia patient</w:t>
            </w:r>
            <w:r>
              <w:rPr>
                <w:sz w:val="24"/>
                <w:szCs w:val="24"/>
              </w:rPr>
              <w:t>’</w:t>
            </w:r>
            <w:r w:rsidRPr="002B4716">
              <w:rPr>
                <w:sz w:val="24"/>
                <w:szCs w:val="24"/>
              </w:rPr>
              <w:t xml:space="preserve"> risk overshadowing individuality and reinforcing stigma. By consciously resisting such labels, I sought to promote dignity and relational understanding.</w:t>
            </w:r>
          </w:p>
          <w:p w14:paraId="18C59A35" w14:textId="77777777" w:rsidR="00A777B6" w:rsidRPr="002B4716" w:rsidRDefault="00A777B6" w:rsidP="00A777B6">
            <w:pPr>
              <w:spacing w:line="360" w:lineRule="auto"/>
              <w:rPr>
                <w:sz w:val="24"/>
                <w:szCs w:val="24"/>
              </w:rPr>
            </w:pPr>
          </w:p>
          <w:p w14:paraId="6FB9905C" w14:textId="77777777" w:rsidR="00A777B6" w:rsidRPr="002B4716" w:rsidRDefault="00A777B6" w:rsidP="00A777B6">
            <w:pPr>
              <w:spacing w:line="360" w:lineRule="auto"/>
              <w:rPr>
                <w:sz w:val="24"/>
                <w:szCs w:val="24"/>
              </w:rPr>
            </w:pPr>
            <w:r w:rsidRPr="002B4716">
              <w:rPr>
                <w:sz w:val="24"/>
                <w:szCs w:val="24"/>
              </w:rPr>
              <w:t xml:space="preserve">The assessment was undertaken collaboratively with </w:t>
            </w:r>
            <w:r>
              <w:rPr>
                <w:sz w:val="24"/>
                <w:szCs w:val="24"/>
              </w:rPr>
              <w:t xml:space="preserve">the individual, </w:t>
            </w:r>
            <w:r w:rsidRPr="002B4716">
              <w:rPr>
                <w:sz w:val="24"/>
                <w:szCs w:val="24"/>
              </w:rPr>
              <w:t>care-home staff</w:t>
            </w:r>
            <w:r>
              <w:rPr>
                <w:sz w:val="24"/>
                <w:szCs w:val="24"/>
              </w:rPr>
              <w:t>,</w:t>
            </w:r>
            <w:r w:rsidRPr="002B4716">
              <w:rPr>
                <w:sz w:val="24"/>
                <w:szCs w:val="24"/>
              </w:rPr>
              <w:t xml:space="preserve"> and the individual’s son, reflecting the principle of co-production central to the SSWBA 2014. This ensured that the individual and her representative were not passive recipients but active participants whose insights shaped the understanding of outcomes and priorities (</w:t>
            </w:r>
            <w:r>
              <w:rPr>
                <w:sz w:val="24"/>
                <w:szCs w:val="24"/>
              </w:rPr>
              <w:t>Co-production Network for Wales, 2016</w:t>
            </w:r>
            <w:r w:rsidRPr="002B4716">
              <w:rPr>
                <w:sz w:val="24"/>
                <w:szCs w:val="24"/>
              </w:rPr>
              <w:t xml:space="preserve">). The son’s involvement also satisfied the SSWBA </w:t>
            </w:r>
            <w:r>
              <w:rPr>
                <w:sz w:val="24"/>
                <w:szCs w:val="24"/>
              </w:rPr>
              <w:t xml:space="preserve">2014 </w:t>
            </w:r>
            <w:r w:rsidRPr="002B4716">
              <w:rPr>
                <w:sz w:val="24"/>
                <w:szCs w:val="24"/>
              </w:rPr>
              <w:t xml:space="preserve">duty to ensure that individuals are represented and supported through appropriate advocacy under Part 10 of </w:t>
            </w:r>
            <w:r>
              <w:rPr>
                <w:sz w:val="24"/>
                <w:szCs w:val="24"/>
              </w:rPr>
              <w:t>SSWBA 2014</w:t>
            </w:r>
            <w:r w:rsidRPr="002B4716">
              <w:rPr>
                <w:sz w:val="24"/>
                <w:szCs w:val="24"/>
              </w:rPr>
              <w:t>.</w:t>
            </w:r>
          </w:p>
          <w:p w14:paraId="3CE40099" w14:textId="77777777" w:rsidR="00A777B6" w:rsidRDefault="00A777B6" w:rsidP="00A777B6">
            <w:pPr>
              <w:spacing w:line="360" w:lineRule="auto"/>
              <w:rPr>
                <w:sz w:val="24"/>
                <w:szCs w:val="24"/>
              </w:rPr>
            </w:pPr>
          </w:p>
          <w:p w14:paraId="11F7CC12" w14:textId="77777777" w:rsidR="00A777B6" w:rsidRPr="00546902" w:rsidRDefault="00A777B6" w:rsidP="00A777B6">
            <w:pPr>
              <w:spacing w:line="360" w:lineRule="auto"/>
              <w:rPr>
                <w:sz w:val="24"/>
                <w:szCs w:val="24"/>
              </w:rPr>
            </w:pPr>
            <w:r w:rsidRPr="00546902">
              <w:rPr>
                <w:sz w:val="24"/>
                <w:szCs w:val="24"/>
              </w:rPr>
              <w:lastRenderedPageBreak/>
              <w:t xml:space="preserve">During the assessment process, I identified a serious safeguarding concern through review of care records. The individual’s prescribed antidepressant, Mirtazapine, had not been administered for </w:t>
            </w:r>
            <w:r>
              <w:rPr>
                <w:sz w:val="24"/>
                <w:szCs w:val="24"/>
              </w:rPr>
              <w:t>several</w:t>
            </w:r>
            <w:r w:rsidRPr="00546902">
              <w:rPr>
                <w:sz w:val="24"/>
                <w:szCs w:val="24"/>
              </w:rPr>
              <w:t xml:space="preserve"> consecutive days, with no explanation recorded. During this same period, daily notes described increased agitation, </w:t>
            </w:r>
            <w:r>
              <w:rPr>
                <w:sz w:val="24"/>
                <w:szCs w:val="24"/>
              </w:rPr>
              <w:t>verbal and physical aggression</w:t>
            </w:r>
            <w:r w:rsidRPr="00546902">
              <w:rPr>
                <w:sz w:val="24"/>
                <w:szCs w:val="24"/>
              </w:rPr>
              <w:t xml:space="preserve">. </w:t>
            </w:r>
            <w:r>
              <w:rPr>
                <w:sz w:val="24"/>
                <w:szCs w:val="24"/>
              </w:rPr>
              <w:t>R</w:t>
            </w:r>
            <w:r w:rsidRPr="00546902">
              <w:rPr>
                <w:sz w:val="24"/>
                <w:szCs w:val="24"/>
              </w:rPr>
              <w:t>esearch indicates that such behavioural expressions in dementia are often signs of unmet need or distress</w:t>
            </w:r>
            <w:r>
              <w:rPr>
                <w:sz w:val="24"/>
                <w:szCs w:val="24"/>
              </w:rPr>
              <w:t>,</w:t>
            </w:r>
            <w:r w:rsidRPr="00546902">
              <w:rPr>
                <w:sz w:val="24"/>
                <w:szCs w:val="24"/>
              </w:rPr>
              <w:t xml:space="preserve"> rather than deliberate behaviour (Livingston </w:t>
            </w:r>
            <w:r w:rsidRPr="00546902">
              <w:rPr>
                <w:i/>
                <w:iCs/>
                <w:sz w:val="24"/>
                <w:szCs w:val="24"/>
              </w:rPr>
              <w:t>et al</w:t>
            </w:r>
            <w:r w:rsidRPr="00546902">
              <w:rPr>
                <w:sz w:val="24"/>
                <w:szCs w:val="24"/>
              </w:rPr>
              <w:t xml:space="preserve">., 2017). A further entry described her as </w:t>
            </w:r>
            <w:r w:rsidRPr="00922BB6">
              <w:rPr>
                <w:i/>
                <w:iCs/>
                <w:sz w:val="24"/>
                <w:szCs w:val="24"/>
              </w:rPr>
              <w:t>‘</w:t>
            </w:r>
            <w:r w:rsidRPr="00546902">
              <w:rPr>
                <w:i/>
                <w:iCs/>
                <w:sz w:val="24"/>
                <w:szCs w:val="24"/>
              </w:rPr>
              <w:t>up mithering again,</w:t>
            </w:r>
            <w:r w:rsidRPr="00922BB6">
              <w:rPr>
                <w:i/>
                <w:iCs/>
                <w:sz w:val="24"/>
                <w:szCs w:val="24"/>
              </w:rPr>
              <w:t>’</w:t>
            </w:r>
            <w:r w:rsidRPr="00546902">
              <w:rPr>
                <w:sz w:val="24"/>
                <w:szCs w:val="24"/>
              </w:rPr>
              <w:t xml:space="preserve"> a term that suggested irritation and lack of empathy on the part of staff. This language reflected a wider issue of institutional culture, where disrespectful labelling can reinforce stigma and obscure genuine need (Becker, 1963). Applying Thompson’s (2016) PCS model, these attitudes can be understood at multiple levels: personal prejudice, cultural tolerance of disrespectful norms, and structural shortcomings in staff supervision and training. Responding through an anti-oppressive and person-centred lens, I sought to challenge this culture and prioritise dignity and respect in line with the Code of Professional Practice </w:t>
            </w:r>
            <w:r>
              <w:rPr>
                <w:sz w:val="24"/>
                <w:szCs w:val="24"/>
              </w:rPr>
              <w:t xml:space="preserve">for Social Care </w:t>
            </w:r>
            <w:r w:rsidRPr="00546902">
              <w:rPr>
                <w:sz w:val="24"/>
                <w:szCs w:val="24"/>
              </w:rPr>
              <w:t xml:space="preserve">(Social Care Wales, 2017) and </w:t>
            </w:r>
            <w:proofErr w:type="spellStart"/>
            <w:r w:rsidRPr="00546902">
              <w:rPr>
                <w:sz w:val="24"/>
                <w:szCs w:val="24"/>
              </w:rPr>
              <w:t>Kitwood’s</w:t>
            </w:r>
            <w:proofErr w:type="spellEnd"/>
            <w:r w:rsidRPr="00546902">
              <w:rPr>
                <w:sz w:val="24"/>
                <w:szCs w:val="24"/>
              </w:rPr>
              <w:t xml:space="preserve"> (1997) concept of personhood, which emphasises identity, empathy, and relational understanding.</w:t>
            </w:r>
          </w:p>
          <w:p w14:paraId="6A5C83E3" w14:textId="77777777" w:rsidR="00A777B6" w:rsidRPr="002B4716" w:rsidRDefault="00A777B6" w:rsidP="00A777B6">
            <w:pPr>
              <w:spacing w:line="360" w:lineRule="auto"/>
              <w:rPr>
                <w:sz w:val="24"/>
                <w:szCs w:val="24"/>
              </w:rPr>
            </w:pPr>
          </w:p>
          <w:p w14:paraId="7A3C81E3" w14:textId="77777777" w:rsidR="00A777B6" w:rsidRPr="002B4716" w:rsidRDefault="00A777B6" w:rsidP="00A777B6">
            <w:pPr>
              <w:spacing w:line="360" w:lineRule="auto"/>
              <w:rPr>
                <w:sz w:val="24"/>
                <w:szCs w:val="24"/>
              </w:rPr>
            </w:pPr>
            <w:r w:rsidRPr="002B4716">
              <w:rPr>
                <w:sz w:val="24"/>
                <w:szCs w:val="24"/>
              </w:rPr>
              <w:t>Once the assessment identified serious concerns regarding missed medication and potential neglect, I followed statutory safeguarding procedures as required under Part 7 of SSWBA</w:t>
            </w:r>
            <w:r>
              <w:rPr>
                <w:sz w:val="24"/>
                <w:szCs w:val="24"/>
              </w:rPr>
              <w:t xml:space="preserve"> 2014</w:t>
            </w:r>
            <w:r w:rsidRPr="002B4716">
              <w:rPr>
                <w:sz w:val="24"/>
                <w:szCs w:val="24"/>
              </w:rPr>
              <w:t>. Having reasonable cause to suspect that the individual was an adult at risk, I made a safeguarding referral to the local authority’s safeguarding team by telephone and followed this with a written report within 24 hours, in accordance with the Wales Safeguarding Procedures (2019). This reflected my professional duty under the Code of Professional Practice (Social Care Wales, 2017) to act promptly and proportionately when there is risk of harm or neglect.</w:t>
            </w:r>
            <w:r>
              <w:rPr>
                <w:sz w:val="24"/>
                <w:szCs w:val="24"/>
              </w:rPr>
              <w:t xml:space="preserve"> </w:t>
            </w:r>
            <w:r w:rsidRPr="002B4716">
              <w:rPr>
                <w:sz w:val="24"/>
                <w:szCs w:val="24"/>
              </w:rPr>
              <w:t xml:space="preserve">Given the individual’s lack of capacity, consent was not required for referral. The </w:t>
            </w:r>
            <w:r>
              <w:rPr>
                <w:sz w:val="24"/>
                <w:szCs w:val="24"/>
              </w:rPr>
              <w:t>Mental Capacity Act</w:t>
            </w:r>
            <w:r w:rsidRPr="002B4716">
              <w:rPr>
                <w:sz w:val="24"/>
                <w:szCs w:val="24"/>
              </w:rPr>
              <w:t xml:space="preserve"> 2005 stipulates that where neglect is suspected and the person cannot consent, professionals must act in their best interests. This principle of protection without disempowerment aligns with ethical duties of beneficence and non-maleficence (Banks, 2012).</w:t>
            </w:r>
          </w:p>
          <w:p w14:paraId="7E4FED47" w14:textId="77777777" w:rsidR="00A777B6" w:rsidRPr="002B4716" w:rsidRDefault="00A777B6" w:rsidP="00A777B6">
            <w:pPr>
              <w:spacing w:line="360" w:lineRule="auto"/>
              <w:rPr>
                <w:sz w:val="24"/>
                <w:szCs w:val="24"/>
              </w:rPr>
            </w:pPr>
          </w:p>
          <w:p w14:paraId="5B4EBAE5" w14:textId="77777777" w:rsidR="00A777B6" w:rsidRPr="002B4716" w:rsidRDefault="00A777B6" w:rsidP="00A777B6">
            <w:pPr>
              <w:spacing w:line="360" w:lineRule="auto"/>
              <w:rPr>
                <w:sz w:val="24"/>
                <w:szCs w:val="24"/>
              </w:rPr>
            </w:pPr>
            <w:r w:rsidRPr="002B4716">
              <w:rPr>
                <w:sz w:val="24"/>
                <w:szCs w:val="24"/>
              </w:rPr>
              <w:t>The safeguarding team screened the referral and confirmed it met the threshold for a Section 126 enquiry</w:t>
            </w:r>
            <w:r>
              <w:rPr>
                <w:sz w:val="24"/>
                <w:szCs w:val="24"/>
              </w:rPr>
              <w:t xml:space="preserve"> under part 7 of SSWBA 2014</w:t>
            </w:r>
            <w:r w:rsidRPr="002B4716">
              <w:rPr>
                <w:sz w:val="24"/>
                <w:szCs w:val="24"/>
              </w:rPr>
              <w:t>. They assumed the role of lead co-</w:t>
            </w:r>
            <w:r w:rsidRPr="002B4716">
              <w:rPr>
                <w:sz w:val="24"/>
                <w:szCs w:val="24"/>
              </w:rPr>
              <w:lastRenderedPageBreak/>
              <w:t>ordinator, while my role as the allocated social worker was to provide factual and analytical information drawn from assessment, care records, and observation. This clear de</w:t>
            </w:r>
            <w:r>
              <w:rPr>
                <w:sz w:val="24"/>
                <w:szCs w:val="24"/>
              </w:rPr>
              <w:t>signation</w:t>
            </w:r>
            <w:r w:rsidRPr="002B4716">
              <w:rPr>
                <w:sz w:val="24"/>
                <w:szCs w:val="24"/>
              </w:rPr>
              <w:t xml:space="preserve"> of roles reflects the multi-agency responsibilities outlined in Section 162 of SSWBA 2014 and supports transparency and accountability.</w:t>
            </w:r>
          </w:p>
          <w:p w14:paraId="7664D800" w14:textId="77777777" w:rsidR="00A777B6" w:rsidRPr="002B4716" w:rsidRDefault="00A777B6" w:rsidP="00A777B6">
            <w:pPr>
              <w:spacing w:line="360" w:lineRule="auto"/>
              <w:rPr>
                <w:sz w:val="24"/>
                <w:szCs w:val="24"/>
              </w:rPr>
            </w:pPr>
          </w:p>
          <w:p w14:paraId="15BF7F06" w14:textId="77777777" w:rsidR="00A777B6" w:rsidRPr="002B4716" w:rsidRDefault="00A777B6" w:rsidP="00A777B6">
            <w:pPr>
              <w:spacing w:line="360" w:lineRule="auto"/>
              <w:rPr>
                <w:sz w:val="24"/>
                <w:szCs w:val="24"/>
              </w:rPr>
            </w:pPr>
            <w:r w:rsidRPr="002B4716">
              <w:rPr>
                <w:sz w:val="24"/>
                <w:szCs w:val="24"/>
              </w:rPr>
              <w:t>I informed the individual’s GP to review her medication and health, ensuring immediate health risks were mitigated. This reflected the preventative and collaborative duties embedded in the SSWBA 2014 and the Wales Safeguarding Procedures (2019). The GP confirmed that while her physical health was stable, the omission of antidepressant medication (Mirtazapine) could have contributed to increased agitation and distress. This early inter-professional cooperation ensured both safety and a holistic understanding of need.</w:t>
            </w:r>
          </w:p>
          <w:p w14:paraId="6E78C8F1" w14:textId="77777777" w:rsidR="00A777B6" w:rsidRPr="002B4716" w:rsidRDefault="00A777B6" w:rsidP="00A777B6">
            <w:pPr>
              <w:spacing w:line="360" w:lineRule="auto"/>
              <w:rPr>
                <w:sz w:val="24"/>
                <w:szCs w:val="24"/>
              </w:rPr>
            </w:pPr>
          </w:p>
          <w:p w14:paraId="2AC1B57F" w14:textId="77777777" w:rsidR="00A777B6" w:rsidRPr="002B4716" w:rsidRDefault="00A777B6" w:rsidP="00A777B6">
            <w:pPr>
              <w:spacing w:line="360" w:lineRule="auto"/>
              <w:rPr>
                <w:sz w:val="24"/>
                <w:szCs w:val="24"/>
              </w:rPr>
            </w:pPr>
            <w:r w:rsidRPr="002B4716">
              <w:rPr>
                <w:sz w:val="24"/>
                <w:szCs w:val="24"/>
              </w:rPr>
              <w:t xml:space="preserve">At the time of </w:t>
            </w:r>
            <w:r>
              <w:rPr>
                <w:sz w:val="24"/>
                <w:szCs w:val="24"/>
              </w:rPr>
              <w:t xml:space="preserve">submitting my </w:t>
            </w:r>
            <w:r w:rsidRPr="002B4716">
              <w:rPr>
                <w:sz w:val="24"/>
                <w:szCs w:val="24"/>
              </w:rPr>
              <w:t>referral, a Section 5 provider investigation under the Wales Safeguarding Procedures (2019) was already in progress due to a number of safeguarding reports involving the same care home. This broader investigation, coordinated by the safeguarding lead officer, examined systemic issues such as staff competence, medication management, and governance. My Section 126 enquiry for the individual therefore ran concurrently with the ongoing Section 5 investigation, ensuring that immediate protection and wider organisational accountability progressed in tandem.</w:t>
            </w:r>
            <w:r>
              <w:rPr>
                <w:sz w:val="24"/>
                <w:szCs w:val="24"/>
              </w:rPr>
              <w:t xml:space="preserve"> </w:t>
            </w:r>
            <w:r w:rsidRPr="002B4716">
              <w:rPr>
                <w:sz w:val="24"/>
                <w:szCs w:val="24"/>
              </w:rPr>
              <w:t>This concurrent approach reflects best practice identified in Operation Jasmine (Flynn, 2015), which emphasised the importance of addressing both individual harm and systemic failure in care settings. It also illustrates a systems perspective (Bronfenbrenner, 1979), recognising that individual neglect often arises from organisational and structural pressures rather than isolated acts.</w:t>
            </w:r>
          </w:p>
          <w:p w14:paraId="645C8AFF" w14:textId="77777777" w:rsidR="00A777B6" w:rsidRPr="002B4716" w:rsidRDefault="00A777B6" w:rsidP="00A777B6">
            <w:pPr>
              <w:spacing w:line="360" w:lineRule="auto"/>
              <w:rPr>
                <w:sz w:val="24"/>
                <w:szCs w:val="24"/>
              </w:rPr>
            </w:pPr>
          </w:p>
          <w:p w14:paraId="4D4D4BE0" w14:textId="77777777" w:rsidR="00A777B6" w:rsidRPr="002B4716" w:rsidRDefault="00A777B6" w:rsidP="00A777B6">
            <w:pPr>
              <w:spacing w:line="360" w:lineRule="auto"/>
              <w:rPr>
                <w:sz w:val="24"/>
                <w:szCs w:val="24"/>
              </w:rPr>
            </w:pPr>
            <w:r w:rsidRPr="002B4716">
              <w:rPr>
                <w:sz w:val="24"/>
                <w:szCs w:val="24"/>
              </w:rPr>
              <w:t xml:space="preserve">A multi-agency strategy meeting was convened due to the seriousness of the concerns. Chaired by the safeguarding officer, it was attended by myself, the care-home manager, a local health board pharmacist, and a commissioning officer. Each professional contributed evidence to establish the nature and cause of risk. The pharmacist confirmed that Mirtazapine had been omitted for several days without explanation or clinical oversight, and that record-keeping within the home was below standard. The meeting concluded that the </w:t>
            </w:r>
            <w:r w:rsidRPr="002B4716">
              <w:rPr>
                <w:sz w:val="24"/>
                <w:szCs w:val="24"/>
              </w:rPr>
              <w:lastRenderedPageBreak/>
              <w:t>evidence met the threshold for neglect and that both individual and organisational factors were contributory.</w:t>
            </w:r>
          </w:p>
          <w:p w14:paraId="2964B827" w14:textId="77777777" w:rsidR="00A777B6" w:rsidRPr="002B4716" w:rsidRDefault="00A777B6" w:rsidP="00A777B6">
            <w:pPr>
              <w:spacing w:line="360" w:lineRule="auto"/>
              <w:rPr>
                <w:sz w:val="24"/>
                <w:szCs w:val="24"/>
              </w:rPr>
            </w:pPr>
          </w:p>
          <w:p w14:paraId="17F9799A" w14:textId="77777777" w:rsidR="00A777B6" w:rsidRPr="002B4716" w:rsidRDefault="00A777B6" w:rsidP="00A777B6">
            <w:pPr>
              <w:spacing w:line="360" w:lineRule="auto"/>
              <w:rPr>
                <w:sz w:val="24"/>
                <w:szCs w:val="24"/>
              </w:rPr>
            </w:pPr>
            <w:r w:rsidRPr="002B4716">
              <w:rPr>
                <w:sz w:val="24"/>
                <w:szCs w:val="24"/>
              </w:rPr>
              <w:t>My role was to present assessment findings and advocate for the individual’s rights and well-being. As she lacked capacity, her son acted as her informal advocate under Part 10 of SSWBA 2014, ensuring that her voice remained central. His participation demonstrated effective co-production</w:t>
            </w:r>
            <w:r>
              <w:rPr>
                <w:sz w:val="24"/>
                <w:szCs w:val="24"/>
              </w:rPr>
              <w:t xml:space="preserve">, </w:t>
            </w:r>
            <w:r w:rsidRPr="002B4716">
              <w:rPr>
                <w:sz w:val="24"/>
                <w:szCs w:val="24"/>
              </w:rPr>
              <w:t>an approach that views family members as partners in safeguarding and care planning rather than passive informants</w:t>
            </w:r>
            <w:r>
              <w:rPr>
                <w:sz w:val="24"/>
                <w:szCs w:val="24"/>
              </w:rPr>
              <w:t xml:space="preserve"> (Co-production Network for Wales, 2016)</w:t>
            </w:r>
            <w:r w:rsidRPr="002B4716">
              <w:rPr>
                <w:sz w:val="24"/>
                <w:szCs w:val="24"/>
              </w:rPr>
              <w:t>. By maintaining clear, compassionate communication, I supported transparency and trust, reducing the family’s anxiety and reinforcing the principle of relational practice</w:t>
            </w:r>
            <w:r>
              <w:rPr>
                <w:sz w:val="24"/>
                <w:szCs w:val="24"/>
              </w:rPr>
              <w:t xml:space="preserve"> (Trevithick, 2012)</w:t>
            </w:r>
            <w:r w:rsidRPr="002B4716">
              <w:rPr>
                <w:sz w:val="24"/>
                <w:szCs w:val="24"/>
              </w:rPr>
              <w:t>.</w:t>
            </w:r>
          </w:p>
          <w:p w14:paraId="58BABCB8" w14:textId="77777777" w:rsidR="00A777B6" w:rsidRPr="002B4716" w:rsidRDefault="00A777B6" w:rsidP="00A777B6">
            <w:pPr>
              <w:spacing w:line="360" w:lineRule="auto"/>
              <w:rPr>
                <w:sz w:val="24"/>
                <w:szCs w:val="24"/>
              </w:rPr>
            </w:pPr>
          </w:p>
          <w:p w14:paraId="0EE6CC64" w14:textId="77777777" w:rsidR="00A777B6" w:rsidRPr="002B4716" w:rsidRDefault="00A777B6" w:rsidP="00A777B6">
            <w:pPr>
              <w:spacing w:line="360" w:lineRule="auto"/>
              <w:rPr>
                <w:sz w:val="24"/>
                <w:szCs w:val="24"/>
              </w:rPr>
            </w:pPr>
            <w:r w:rsidRPr="002B4716">
              <w:rPr>
                <w:sz w:val="24"/>
                <w:szCs w:val="24"/>
              </w:rPr>
              <w:t>The enquiry identified that the medication omission stemmed from weak communication between permanent and agency staff, inconsistent managerial oversight, and the absence of robust systems for medication ordering and administration. Systems theory (Bronfenbrenner, 1979) again provides a valuable lens: neglect was not the result of a single failing but of cumulative weaknesses across interconnected layers</w:t>
            </w:r>
            <w:r>
              <w:rPr>
                <w:sz w:val="24"/>
                <w:szCs w:val="24"/>
              </w:rPr>
              <w:t xml:space="preserve">; </w:t>
            </w:r>
            <w:r w:rsidRPr="002B4716">
              <w:rPr>
                <w:sz w:val="24"/>
                <w:szCs w:val="24"/>
              </w:rPr>
              <w:t>individual, organisational, and regulatory. Recognising this helped shift the response from blame to collective learning and improvement.</w:t>
            </w:r>
          </w:p>
          <w:p w14:paraId="473BE13C" w14:textId="77777777" w:rsidR="00A777B6" w:rsidRPr="002B4716" w:rsidRDefault="00A777B6" w:rsidP="00A777B6">
            <w:pPr>
              <w:spacing w:line="360" w:lineRule="auto"/>
              <w:rPr>
                <w:sz w:val="24"/>
                <w:szCs w:val="24"/>
              </w:rPr>
            </w:pPr>
          </w:p>
          <w:p w14:paraId="5F3C8A85" w14:textId="77777777" w:rsidR="00A777B6" w:rsidRDefault="00A777B6" w:rsidP="00A777B6">
            <w:pPr>
              <w:spacing w:line="360" w:lineRule="auto"/>
              <w:rPr>
                <w:sz w:val="24"/>
                <w:szCs w:val="24"/>
              </w:rPr>
            </w:pPr>
            <w:r w:rsidRPr="002B4716">
              <w:rPr>
                <w:sz w:val="24"/>
                <w:szCs w:val="24"/>
              </w:rPr>
              <w:t xml:space="preserve">A safeguarding </w:t>
            </w:r>
            <w:r>
              <w:rPr>
                <w:sz w:val="24"/>
                <w:szCs w:val="24"/>
              </w:rPr>
              <w:t xml:space="preserve">care and support </w:t>
            </w:r>
            <w:r w:rsidRPr="002B4716">
              <w:rPr>
                <w:sz w:val="24"/>
                <w:szCs w:val="24"/>
              </w:rPr>
              <w:t xml:space="preserve">protection plan was developed collaboratively to address identified risks. Actions included implementing a revised medication policy aligned with NHS Wales (2020) standards, introducing blister packs, providing staff retraining, and scheduling regular audits by the health board pharmacy team. The local authority’s commissioning officers were tasked with monitoring compliance under the Regulation and Inspection of Social Care (Wales) Act 2016. </w:t>
            </w:r>
            <w:r>
              <w:rPr>
                <w:sz w:val="24"/>
                <w:szCs w:val="24"/>
              </w:rPr>
              <w:t xml:space="preserve">As the allocated social worker, I was responsible for completing two scheduled reviews at agreed intervals, allowing time for the home to implement changes and for their effectiveness to be evidence in practice. These reviews focused on ensuring that the individual’s medication regime was safe, that her well-being outcomes were met, and that improvements in staff practice were sustained. This process </w:t>
            </w:r>
            <w:r>
              <w:rPr>
                <w:sz w:val="24"/>
                <w:szCs w:val="24"/>
              </w:rPr>
              <w:lastRenderedPageBreak/>
              <w:t xml:space="preserve">demonstrated shared accountability and reflective, outcome-focused practice across agencies, enshrining both corrective action and long-term improvement. </w:t>
            </w:r>
          </w:p>
          <w:p w14:paraId="309AF459" w14:textId="77777777" w:rsidR="00A777B6" w:rsidRDefault="00A777B6" w:rsidP="00A777B6">
            <w:pPr>
              <w:spacing w:line="360" w:lineRule="auto"/>
              <w:rPr>
                <w:sz w:val="24"/>
                <w:szCs w:val="24"/>
              </w:rPr>
            </w:pPr>
          </w:p>
          <w:p w14:paraId="439CC09D" w14:textId="77777777" w:rsidR="00A777B6" w:rsidRDefault="00A777B6" w:rsidP="00A777B6">
            <w:pPr>
              <w:spacing w:line="360" w:lineRule="auto"/>
              <w:rPr>
                <w:sz w:val="24"/>
                <w:szCs w:val="24"/>
              </w:rPr>
            </w:pPr>
            <w:r w:rsidRPr="002B4716">
              <w:rPr>
                <w:sz w:val="24"/>
                <w:szCs w:val="24"/>
              </w:rPr>
              <w:t xml:space="preserve">I maintained liaison with the safeguarding and commissioning teams and </w:t>
            </w:r>
            <w:r>
              <w:rPr>
                <w:sz w:val="24"/>
                <w:szCs w:val="24"/>
              </w:rPr>
              <w:t xml:space="preserve">continued to </w:t>
            </w:r>
            <w:r w:rsidRPr="002B4716">
              <w:rPr>
                <w:sz w:val="24"/>
                <w:szCs w:val="24"/>
              </w:rPr>
              <w:t>attended review meetings to monitor progress. My professional</w:t>
            </w:r>
            <w:r>
              <w:rPr>
                <w:sz w:val="24"/>
                <w:szCs w:val="24"/>
              </w:rPr>
              <w:t xml:space="preserve"> practice remained grounded in </w:t>
            </w:r>
            <w:r w:rsidRPr="002B4716">
              <w:rPr>
                <w:sz w:val="24"/>
                <w:szCs w:val="24"/>
              </w:rPr>
              <w:t xml:space="preserve">ensuring that </w:t>
            </w:r>
            <w:r>
              <w:rPr>
                <w:sz w:val="24"/>
                <w:szCs w:val="24"/>
              </w:rPr>
              <w:t xml:space="preserve">her rights, dignity, and voice were central to decision-making, aligning with the principles of person-centred and anti-oppressive practice. </w:t>
            </w:r>
            <w:r w:rsidRPr="002B4716">
              <w:rPr>
                <w:sz w:val="24"/>
                <w:szCs w:val="24"/>
              </w:rPr>
              <w:t>As Braye and Preston-Shoot (2016</w:t>
            </w:r>
            <w:r>
              <w:rPr>
                <w:sz w:val="24"/>
                <w:szCs w:val="24"/>
              </w:rPr>
              <w:t>a</w:t>
            </w:r>
            <w:r w:rsidRPr="002B4716">
              <w:rPr>
                <w:sz w:val="24"/>
                <w:szCs w:val="24"/>
              </w:rPr>
              <w:t xml:space="preserve">) argue, safeguarding should not be confined to risk management but must also promote </w:t>
            </w:r>
            <w:r>
              <w:rPr>
                <w:sz w:val="24"/>
                <w:szCs w:val="24"/>
              </w:rPr>
              <w:t>empowerment, respect, and relational care.</w:t>
            </w:r>
          </w:p>
          <w:p w14:paraId="6F962F68" w14:textId="77777777" w:rsidR="00A777B6" w:rsidRDefault="00A777B6" w:rsidP="00A777B6">
            <w:pPr>
              <w:spacing w:line="360" w:lineRule="auto"/>
              <w:rPr>
                <w:sz w:val="24"/>
                <w:szCs w:val="24"/>
              </w:rPr>
            </w:pPr>
          </w:p>
          <w:p w14:paraId="6FA5A9F4" w14:textId="77777777" w:rsidR="00A777B6" w:rsidRPr="00702ED3" w:rsidRDefault="00A777B6" w:rsidP="00A777B6">
            <w:pPr>
              <w:spacing w:line="360" w:lineRule="auto"/>
              <w:rPr>
                <w:sz w:val="24"/>
                <w:szCs w:val="24"/>
              </w:rPr>
            </w:pPr>
            <w:r w:rsidRPr="00702ED3">
              <w:rPr>
                <w:sz w:val="24"/>
                <w:szCs w:val="24"/>
              </w:rPr>
              <w:t>At the multi-agency strategy meeting, the decision for the individual to remain in the home was made following careful consideration of both her best interests and overall well-being. My assessment identified that she had lived in the home for several years, had developed trusting relationships with long-standing staff, and benefitted from a familiar and predictable environment. Relocation was discussed but deemed disproportionate given the potential for increased anxiety, confusion, and distress</w:t>
            </w:r>
            <w:r>
              <w:rPr>
                <w:sz w:val="24"/>
                <w:szCs w:val="24"/>
              </w:rPr>
              <w:t xml:space="preserve">, </w:t>
            </w:r>
            <w:r w:rsidRPr="00702ED3">
              <w:rPr>
                <w:sz w:val="24"/>
                <w:szCs w:val="24"/>
              </w:rPr>
              <w:t>consistent with evidence that moving people with dementia can heighten behavioural symptoms and cognitive decline (Brown</w:t>
            </w:r>
            <w:r>
              <w:rPr>
                <w:sz w:val="24"/>
                <w:szCs w:val="24"/>
              </w:rPr>
              <w:t xml:space="preserve"> </w:t>
            </w:r>
            <w:r>
              <w:rPr>
                <w:i/>
                <w:iCs/>
                <w:sz w:val="24"/>
                <w:szCs w:val="24"/>
              </w:rPr>
              <w:t>et al.</w:t>
            </w:r>
            <w:r w:rsidRPr="00702ED3">
              <w:rPr>
                <w:sz w:val="24"/>
                <w:szCs w:val="24"/>
              </w:rPr>
              <w:t>, 2018</w:t>
            </w:r>
            <w:r>
              <w:rPr>
                <w:sz w:val="24"/>
                <w:szCs w:val="24"/>
              </w:rPr>
              <w:t xml:space="preserve">; Costlow </w:t>
            </w:r>
            <w:r>
              <w:rPr>
                <w:i/>
                <w:iCs/>
                <w:sz w:val="24"/>
                <w:szCs w:val="24"/>
              </w:rPr>
              <w:t xml:space="preserve">et al., </w:t>
            </w:r>
            <w:r w:rsidRPr="0040688D">
              <w:rPr>
                <w:sz w:val="24"/>
                <w:szCs w:val="24"/>
              </w:rPr>
              <w:t>2019; Ryman</w:t>
            </w:r>
            <w:r>
              <w:rPr>
                <w:i/>
                <w:iCs/>
                <w:sz w:val="24"/>
                <w:szCs w:val="24"/>
              </w:rPr>
              <w:t xml:space="preserve"> et al., </w:t>
            </w:r>
            <w:r w:rsidRPr="0040688D">
              <w:rPr>
                <w:sz w:val="24"/>
                <w:szCs w:val="24"/>
              </w:rPr>
              <w:t>2019</w:t>
            </w:r>
            <w:r w:rsidRPr="00702ED3">
              <w:rPr>
                <w:sz w:val="24"/>
                <w:szCs w:val="24"/>
              </w:rPr>
              <w:t>). The individual’s son, although holding LPA for property and finance rather than health and welfare, was involved throughout as an informal advocate. His inclusion reflected good practice in partnership working and the principles of S</w:t>
            </w:r>
            <w:r>
              <w:rPr>
                <w:sz w:val="24"/>
                <w:szCs w:val="24"/>
              </w:rPr>
              <w:t xml:space="preserve">SWBA </w:t>
            </w:r>
            <w:r w:rsidRPr="00702ED3">
              <w:rPr>
                <w:sz w:val="24"/>
                <w:szCs w:val="24"/>
              </w:rPr>
              <w:t>2014, which emphasises the importance of family involvement and relational decision-making.</w:t>
            </w:r>
          </w:p>
          <w:p w14:paraId="4175FB8A" w14:textId="77777777" w:rsidR="00A777B6" w:rsidRPr="00702ED3" w:rsidRDefault="00A777B6" w:rsidP="00A777B6">
            <w:pPr>
              <w:spacing w:line="360" w:lineRule="auto"/>
              <w:rPr>
                <w:sz w:val="24"/>
                <w:szCs w:val="24"/>
              </w:rPr>
            </w:pPr>
          </w:p>
          <w:p w14:paraId="663FA762" w14:textId="77777777" w:rsidR="00A777B6" w:rsidRDefault="00A777B6" w:rsidP="00A777B6">
            <w:pPr>
              <w:spacing w:line="360" w:lineRule="auto"/>
              <w:rPr>
                <w:sz w:val="24"/>
                <w:szCs w:val="24"/>
              </w:rPr>
            </w:pPr>
            <w:r w:rsidRPr="00702ED3">
              <w:rPr>
                <w:sz w:val="24"/>
                <w:szCs w:val="24"/>
              </w:rPr>
              <w:t>This decision aligned with the least restrictive option principle of the M</w:t>
            </w:r>
            <w:r>
              <w:rPr>
                <w:sz w:val="24"/>
                <w:szCs w:val="24"/>
              </w:rPr>
              <w:t xml:space="preserve">ental Capacity Act </w:t>
            </w:r>
            <w:r w:rsidRPr="00702ED3">
              <w:rPr>
                <w:sz w:val="24"/>
                <w:szCs w:val="24"/>
              </w:rPr>
              <w:t>2005, ensuring that protective measures did not unnecessarily infringe upon her autonomy, emotional security, or Article 8 rights under the Human Rights Act 1998 to respect for private and family life. From a risk enablement perspective (</w:t>
            </w:r>
            <w:proofErr w:type="spellStart"/>
            <w:r w:rsidRPr="00702ED3">
              <w:rPr>
                <w:sz w:val="24"/>
                <w:szCs w:val="24"/>
              </w:rPr>
              <w:t>Kemshall</w:t>
            </w:r>
            <w:proofErr w:type="spellEnd"/>
            <w:r w:rsidRPr="00702ED3">
              <w:rPr>
                <w:sz w:val="24"/>
                <w:szCs w:val="24"/>
              </w:rPr>
              <w:t>, 2010), the approach balanced proportionality and empowerment</w:t>
            </w:r>
            <w:r>
              <w:rPr>
                <w:sz w:val="24"/>
                <w:szCs w:val="24"/>
              </w:rPr>
              <w:t xml:space="preserve">, </w:t>
            </w:r>
            <w:r w:rsidRPr="00702ED3">
              <w:rPr>
                <w:sz w:val="24"/>
                <w:szCs w:val="24"/>
              </w:rPr>
              <w:t xml:space="preserve">recognising that managing risk does not equate to eliminating it, but to supporting the person to live as safely and independently as possible within their chosen environment. Safeguarding arrangements were therefore strengthened </w:t>
            </w:r>
            <w:r w:rsidRPr="00702ED3">
              <w:rPr>
                <w:sz w:val="24"/>
                <w:szCs w:val="24"/>
              </w:rPr>
              <w:lastRenderedPageBreak/>
              <w:t>through increased monitoring, medication oversight, and collaborative review, ensuring the individual’s rights, dignity, and well-being remained central to professional judgement.</w:t>
            </w:r>
          </w:p>
          <w:p w14:paraId="33055B08" w14:textId="77777777" w:rsidR="00A777B6" w:rsidRDefault="00A777B6" w:rsidP="00A777B6">
            <w:pPr>
              <w:spacing w:line="360" w:lineRule="auto"/>
              <w:rPr>
                <w:sz w:val="24"/>
                <w:szCs w:val="24"/>
              </w:rPr>
            </w:pPr>
          </w:p>
          <w:p w14:paraId="6F82021E" w14:textId="77777777" w:rsidR="00A777B6" w:rsidRPr="00C41120" w:rsidRDefault="00A777B6" w:rsidP="00A777B6">
            <w:pPr>
              <w:spacing w:line="360" w:lineRule="auto"/>
              <w:rPr>
                <w:sz w:val="24"/>
                <w:szCs w:val="24"/>
              </w:rPr>
            </w:pPr>
            <w:r w:rsidRPr="00C41120">
              <w:rPr>
                <w:sz w:val="24"/>
                <w:szCs w:val="24"/>
              </w:rPr>
              <w:t xml:space="preserve">Having ensured that practical safeguarding arrangements were strengthened, I then reflected on the wider ethical and systemic factors shaping this situation. From an anti-oppressive perspective, I was mindful of how systemic pressures, such as staffing shortages and resource limitations, can create environments where older people become devalued or silenced. Thompson’s (2016) PCS model provides a useful framework for understanding this, as it highlights how discrimination operates at personal, cultural, and structural levels. Within this case, institutional culture appeared to normalise dismissive attitudes, exemplified in records describing the individual as </w:t>
            </w:r>
            <w:r>
              <w:rPr>
                <w:i/>
                <w:iCs/>
                <w:sz w:val="24"/>
                <w:szCs w:val="24"/>
              </w:rPr>
              <w:t>‘</w:t>
            </w:r>
            <w:r w:rsidRPr="00C41120">
              <w:rPr>
                <w:i/>
                <w:iCs/>
                <w:sz w:val="24"/>
                <w:szCs w:val="24"/>
              </w:rPr>
              <w:t>mithering again.</w:t>
            </w:r>
            <w:r>
              <w:rPr>
                <w:i/>
                <w:iCs/>
                <w:sz w:val="24"/>
                <w:szCs w:val="24"/>
              </w:rPr>
              <w:t>’</w:t>
            </w:r>
            <w:r w:rsidRPr="00C41120">
              <w:rPr>
                <w:sz w:val="24"/>
                <w:szCs w:val="24"/>
              </w:rPr>
              <w:t xml:space="preserve"> Challenging this language was not only a matter of professionalism but an act of resistance against cultural oppression. This aligns with Freire’s (1970) concept of critical consciousness, encouraging practitioners to identify and challenge systems that perpetuate inequality and dehumanisation.</w:t>
            </w:r>
          </w:p>
          <w:p w14:paraId="69982C49" w14:textId="77777777" w:rsidR="00A777B6" w:rsidRPr="00C41120" w:rsidRDefault="00A777B6" w:rsidP="00A777B6">
            <w:pPr>
              <w:spacing w:line="360" w:lineRule="auto"/>
              <w:rPr>
                <w:sz w:val="28"/>
                <w:szCs w:val="28"/>
              </w:rPr>
            </w:pPr>
          </w:p>
          <w:p w14:paraId="0DE7E23C" w14:textId="77777777" w:rsidR="00A777B6" w:rsidRPr="00C41120" w:rsidRDefault="00A777B6" w:rsidP="00A777B6">
            <w:pPr>
              <w:spacing w:line="360" w:lineRule="auto"/>
              <w:rPr>
                <w:sz w:val="24"/>
                <w:szCs w:val="24"/>
              </w:rPr>
            </w:pPr>
            <w:r w:rsidRPr="00C41120">
              <w:rPr>
                <w:sz w:val="24"/>
                <w:szCs w:val="24"/>
              </w:rPr>
              <w:t>By combining a statutory, rights-based approach with critical reflection on culture and power, I was able to support both individual protection and wider organisational learning. This section of practice demonstrated how safeguarding, co-production, and empowerment are not competing demands but interdependent elements of ethical, strengths-based social work.</w:t>
            </w:r>
          </w:p>
          <w:p w14:paraId="13DED8FD" w14:textId="77777777" w:rsidR="00A777B6" w:rsidRPr="00C41120" w:rsidRDefault="00A777B6" w:rsidP="00A777B6">
            <w:pPr>
              <w:spacing w:line="360" w:lineRule="auto"/>
              <w:rPr>
                <w:sz w:val="24"/>
                <w:szCs w:val="24"/>
              </w:rPr>
            </w:pPr>
          </w:p>
          <w:p w14:paraId="6737166F" w14:textId="77777777" w:rsidR="00A777B6" w:rsidRPr="00C41120" w:rsidRDefault="00A777B6" w:rsidP="00A777B6">
            <w:pPr>
              <w:spacing w:line="360" w:lineRule="auto"/>
              <w:rPr>
                <w:sz w:val="24"/>
                <w:szCs w:val="24"/>
              </w:rPr>
            </w:pPr>
            <w:r w:rsidRPr="00C41120">
              <w:rPr>
                <w:sz w:val="24"/>
                <w:szCs w:val="24"/>
              </w:rPr>
              <w:t>Professional judgement in this case required balancing protection with empowerment while ensuring accountability and dignity. Safeguarding within residential care often demands that practitioners make complex decisions where human rights, risk, and care quality intersect. The SSWBA 2014 establishes well-being as the core principle of all intervention, requiring social workers to promote choice and control even in situations of significant risk. This principle guided my reasoning throughout the case, ensuring that decisions were not solely risk-driven but grounded in compassion and proportionality.</w:t>
            </w:r>
          </w:p>
          <w:p w14:paraId="476486D3" w14:textId="77777777" w:rsidR="00A777B6" w:rsidRPr="00C41120" w:rsidRDefault="00A777B6" w:rsidP="00A777B6">
            <w:pPr>
              <w:spacing w:line="360" w:lineRule="auto"/>
              <w:rPr>
                <w:sz w:val="24"/>
                <w:szCs w:val="24"/>
              </w:rPr>
            </w:pPr>
          </w:p>
          <w:p w14:paraId="76953912" w14:textId="77777777" w:rsidR="00A777B6" w:rsidRPr="00C41120" w:rsidRDefault="00A777B6" w:rsidP="00A777B6">
            <w:pPr>
              <w:spacing w:line="360" w:lineRule="auto"/>
              <w:rPr>
                <w:sz w:val="24"/>
                <w:szCs w:val="24"/>
              </w:rPr>
            </w:pPr>
            <w:r w:rsidRPr="00C41120">
              <w:rPr>
                <w:sz w:val="24"/>
                <w:szCs w:val="24"/>
              </w:rPr>
              <w:t xml:space="preserve">At the point of identifying potential neglect, I experienced a clear ethical tension between maintaining professional relationships with the care provider and fulfilling my statutory duty </w:t>
            </w:r>
            <w:r w:rsidRPr="00C41120">
              <w:rPr>
                <w:sz w:val="24"/>
                <w:szCs w:val="24"/>
              </w:rPr>
              <w:lastRenderedPageBreak/>
              <w:t>to protect the individual. As Ferguson (2018) notes, social work often involves navigating competing loyalties</w:t>
            </w:r>
            <w:r>
              <w:rPr>
                <w:sz w:val="24"/>
                <w:szCs w:val="24"/>
              </w:rPr>
              <w:t xml:space="preserve">, </w:t>
            </w:r>
            <w:r w:rsidRPr="00C41120">
              <w:rPr>
                <w:sz w:val="24"/>
                <w:szCs w:val="24"/>
              </w:rPr>
              <w:t>to the individual, organisation, and professional values</w:t>
            </w:r>
            <w:r>
              <w:rPr>
                <w:sz w:val="24"/>
                <w:szCs w:val="24"/>
              </w:rPr>
              <w:t xml:space="preserve">, </w:t>
            </w:r>
            <w:r w:rsidRPr="00C41120">
              <w:rPr>
                <w:sz w:val="24"/>
                <w:szCs w:val="24"/>
              </w:rPr>
              <w:t>while acting decisively amid uncertainty. In this situation, moral courage and professional integrity were central. My decision to report the concern promptly reflected the principle of beneficence and my responsibility to act in the individual’s best interests, despite potential organisational discomfort.</w:t>
            </w:r>
          </w:p>
          <w:p w14:paraId="55BB615F" w14:textId="77777777" w:rsidR="00A777B6" w:rsidRPr="00C41120" w:rsidRDefault="00A777B6" w:rsidP="00A777B6">
            <w:pPr>
              <w:spacing w:line="360" w:lineRule="auto"/>
              <w:rPr>
                <w:sz w:val="24"/>
                <w:szCs w:val="24"/>
              </w:rPr>
            </w:pPr>
          </w:p>
          <w:p w14:paraId="109360D7" w14:textId="77777777" w:rsidR="00A777B6" w:rsidRPr="00C41120" w:rsidRDefault="00A777B6" w:rsidP="00A777B6">
            <w:pPr>
              <w:spacing w:line="360" w:lineRule="auto"/>
              <w:rPr>
                <w:sz w:val="24"/>
                <w:szCs w:val="24"/>
              </w:rPr>
            </w:pPr>
            <w:r w:rsidRPr="00C41120">
              <w:rPr>
                <w:sz w:val="24"/>
                <w:szCs w:val="24"/>
              </w:rPr>
              <w:t xml:space="preserve">The British Association of Social Workers (BASW, 2021) Code of Ethics identifies respect for human dignity, social justice, and professional integrity as fundamental values. Applying these principles required seeing the individual not as a passive recipient of protection but as a person with agency, history, and intrinsic worth. Upholding personhood, particularly within dementia care, is both an ethical and relational commitment. </w:t>
            </w:r>
            <w:proofErr w:type="spellStart"/>
            <w:r w:rsidRPr="00C41120">
              <w:rPr>
                <w:sz w:val="24"/>
                <w:szCs w:val="24"/>
              </w:rPr>
              <w:t>Kitwood’s</w:t>
            </w:r>
            <w:proofErr w:type="spellEnd"/>
            <w:r w:rsidRPr="00C41120">
              <w:rPr>
                <w:sz w:val="24"/>
                <w:szCs w:val="24"/>
              </w:rPr>
              <w:t xml:space="preserve"> (1997) model of person-centred care reinforces this by emphasising empathy, validation, and relational understanding as essential to preserving identity. This framework shaped my practice, ensuring that protection did not override humanity.</w:t>
            </w:r>
          </w:p>
          <w:p w14:paraId="00F6DE18" w14:textId="77777777" w:rsidR="00A777B6" w:rsidRPr="00C41120" w:rsidRDefault="00A777B6" w:rsidP="00A777B6">
            <w:pPr>
              <w:spacing w:line="360" w:lineRule="auto"/>
              <w:rPr>
                <w:sz w:val="24"/>
                <w:szCs w:val="24"/>
              </w:rPr>
            </w:pPr>
          </w:p>
          <w:p w14:paraId="19B2E4DC" w14:textId="77777777" w:rsidR="00A777B6" w:rsidRPr="00C41120" w:rsidRDefault="00A777B6" w:rsidP="00A777B6">
            <w:pPr>
              <w:spacing w:line="360" w:lineRule="auto"/>
              <w:rPr>
                <w:sz w:val="24"/>
                <w:szCs w:val="24"/>
              </w:rPr>
            </w:pPr>
            <w:r w:rsidRPr="00C41120">
              <w:rPr>
                <w:sz w:val="24"/>
                <w:szCs w:val="24"/>
              </w:rPr>
              <w:t>Ethical reasoning in this case was guided by Banks’ (2012) three-level framework</w:t>
            </w:r>
            <w:r>
              <w:rPr>
                <w:sz w:val="24"/>
                <w:szCs w:val="24"/>
              </w:rPr>
              <w:t xml:space="preserve">, </w:t>
            </w:r>
            <w:r w:rsidRPr="00C41120">
              <w:rPr>
                <w:sz w:val="24"/>
                <w:szCs w:val="24"/>
              </w:rPr>
              <w:t xml:space="preserve">micro, </w:t>
            </w:r>
            <w:proofErr w:type="spellStart"/>
            <w:r w:rsidRPr="00C41120">
              <w:rPr>
                <w:sz w:val="24"/>
                <w:szCs w:val="24"/>
              </w:rPr>
              <w:t>meso</w:t>
            </w:r>
            <w:proofErr w:type="spellEnd"/>
            <w:r w:rsidRPr="00C41120">
              <w:rPr>
                <w:sz w:val="24"/>
                <w:szCs w:val="24"/>
              </w:rPr>
              <w:t>, and macro ethics</w:t>
            </w:r>
            <w:r>
              <w:rPr>
                <w:sz w:val="24"/>
                <w:szCs w:val="24"/>
              </w:rPr>
              <w:t xml:space="preserve">, </w:t>
            </w:r>
            <w:r w:rsidRPr="00C41120">
              <w:rPr>
                <w:sz w:val="24"/>
                <w:szCs w:val="24"/>
              </w:rPr>
              <w:t xml:space="preserve">an approach conceptually rooted in Bronfenbrenner’s (1979) ecological systems theory. At the micro level, I considered the individual’s immediate safety and emotional well-being; at the </w:t>
            </w:r>
            <w:proofErr w:type="spellStart"/>
            <w:r w:rsidRPr="00C41120">
              <w:rPr>
                <w:sz w:val="24"/>
                <w:szCs w:val="24"/>
              </w:rPr>
              <w:t>meso</w:t>
            </w:r>
            <w:proofErr w:type="spellEnd"/>
            <w:r w:rsidRPr="00C41120">
              <w:rPr>
                <w:sz w:val="24"/>
                <w:szCs w:val="24"/>
              </w:rPr>
              <w:t xml:space="preserve"> level, I challenged poor practice and culture within the home; and at the macro level, I operated within statutory structures such as SSWBA</w:t>
            </w:r>
            <w:r>
              <w:rPr>
                <w:sz w:val="24"/>
                <w:szCs w:val="24"/>
              </w:rPr>
              <w:t xml:space="preserve"> 2014 </w:t>
            </w:r>
            <w:r w:rsidRPr="00C41120">
              <w:rPr>
                <w:sz w:val="24"/>
                <w:szCs w:val="24"/>
              </w:rPr>
              <w:t>and the Wales Safeguarding Procedures (2019). Reflecting across these levels helped me maintain ethical balance and accountability, recognising that safeguarding decisions are not isolated acts but are shaped by wider organisational and structural power dynamics.</w:t>
            </w:r>
          </w:p>
          <w:p w14:paraId="7F0290DB" w14:textId="77777777" w:rsidR="00A777B6" w:rsidRPr="00C41120" w:rsidRDefault="00A777B6" w:rsidP="00A777B6">
            <w:pPr>
              <w:spacing w:line="360" w:lineRule="auto"/>
              <w:rPr>
                <w:sz w:val="24"/>
                <w:szCs w:val="24"/>
              </w:rPr>
            </w:pPr>
          </w:p>
          <w:p w14:paraId="207C0B19" w14:textId="77777777" w:rsidR="00A777B6" w:rsidRPr="00C41120" w:rsidRDefault="00A777B6" w:rsidP="00A777B6">
            <w:pPr>
              <w:spacing w:line="360" w:lineRule="auto"/>
              <w:rPr>
                <w:sz w:val="24"/>
                <w:szCs w:val="24"/>
              </w:rPr>
            </w:pPr>
            <w:r w:rsidRPr="00C41120">
              <w:rPr>
                <w:sz w:val="24"/>
                <w:szCs w:val="24"/>
              </w:rPr>
              <w:t xml:space="preserve">Thompson’s (2016) PCS model further deepened my understanding of how oppression and discrimination operated within these intersecting levels. At the personal level, staff attitudes reflected implicit ageism and stigma towards residents with dementia. At the cultural level, dismissive language and normalised disrespect reinforced institutional biases, while at the structural level, systemic pressures such as staffing shortages and inadequate management oversight created conditions that increased risk. Recognising this interplay enabled me to </w:t>
            </w:r>
            <w:r w:rsidRPr="00C41120">
              <w:rPr>
                <w:sz w:val="24"/>
                <w:szCs w:val="24"/>
              </w:rPr>
              <w:lastRenderedPageBreak/>
              <w:t xml:space="preserve">adopt an anti-oppressive and reflective stance, challenging discriminatory practice while also acknowledging the contextual constraints shaping behaviour. This synthesis of Banks’ </w:t>
            </w:r>
            <w:r>
              <w:rPr>
                <w:sz w:val="24"/>
                <w:szCs w:val="24"/>
              </w:rPr>
              <w:t xml:space="preserve">(2012) </w:t>
            </w:r>
            <w:r w:rsidRPr="00C41120">
              <w:rPr>
                <w:sz w:val="24"/>
                <w:szCs w:val="24"/>
              </w:rPr>
              <w:t xml:space="preserve">ethical framework and Thompson’s </w:t>
            </w:r>
            <w:r>
              <w:rPr>
                <w:sz w:val="24"/>
                <w:szCs w:val="24"/>
              </w:rPr>
              <w:t xml:space="preserve">(2016) </w:t>
            </w:r>
            <w:r w:rsidRPr="00C41120">
              <w:rPr>
                <w:sz w:val="24"/>
                <w:szCs w:val="24"/>
              </w:rPr>
              <w:t xml:space="preserve">PCS model supported a practice approach that was both ethically reasoned and socially aware, aligning with the SSWBA’s </w:t>
            </w:r>
            <w:r>
              <w:rPr>
                <w:sz w:val="24"/>
                <w:szCs w:val="24"/>
              </w:rPr>
              <w:t xml:space="preserve">2014 </w:t>
            </w:r>
            <w:r w:rsidRPr="00C41120">
              <w:rPr>
                <w:sz w:val="24"/>
                <w:szCs w:val="24"/>
              </w:rPr>
              <w:t>emphasis on rights, empowerment, and well-being.</w:t>
            </w:r>
          </w:p>
          <w:p w14:paraId="51C27EBF" w14:textId="77777777" w:rsidR="00A777B6" w:rsidRPr="00C41120" w:rsidRDefault="00A777B6" w:rsidP="00A777B6">
            <w:pPr>
              <w:spacing w:line="360" w:lineRule="auto"/>
              <w:rPr>
                <w:sz w:val="24"/>
                <w:szCs w:val="24"/>
              </w:rPr>
            </w:pPr>
          </w:p>
          <w:p w14:paraId="2D8535DC" w14:textId="77777777" w:rsidR="00A777B6" w:rsidRPr="00C41120" w:rsidRDefault="00A777B6" w:rsidP="00A777B6">
            <w:pPr>
              <w:spacing w:line="360" w:lineRule="auto"/>
              <w:rPr>
                <w:sz w:val="24"/>
                <w:szCs w:val="24"/>
              </w:rPr>
            </w:pPr>
            <w:r w:rsidRPr="00C41120">
              <w:rPr>
                <w:sz w:val="24"/>
                <w:szCs w:val="24"/>
              </w:rPr>
              <w:t>Through critical reflection, I recognised how my decision-making was influenced not only by statutory duties but by values of compassion, dignity, and justice. The case reinforced the importance of combining procedural safeguarding with relationship-based and reflective practice to ensure interventions remain proportionate and person-centred. It also highlighted how social workers must navigate tensions between protection and autonomy, accountability and empathy. In future practice, I aim to strengthen my application of systems thinking and ethical reflection, using supervision to explore how organisational contexts influence individual outcomes. This ongoing learning embodies the reflective, rights-based, and person-led ethos underpinning contemporary social work in Wales.</w:t>
            </w:r>
          </w:p>
          <w:p w14:paraId="6A7015E8" w14:textId="77777777" w:rsidR="00A777B6" w:rsidRPr="00C41120" w:rsidRDefault="00A777B6" w:rsidP="00A777B6">
            <w:pPr>
              <w:spacing w:line="360" w:lineRule="auto"/>
              <w:rPr>
                <w:sz w:val="24"/>
                <w:szCs w:val="24"/>
              </w:rPr>
            </w:pPr>
          </w:p>
          <w:p w14:paraId="69054F14" w14:textId="77777777" w:rsidR="00A777B6" w:rsidRPr="00C41120" w:rsidRDefault="00A777B6" w:rsidP="00A777B6">
            <w:pPr>
              <w:spacing w:line="360" w:lineRule="auto"/>
              <w:rPr>
                <w:sz w:val="24"/>
                <w:szCs w:val="24"/>
              </w:rPr>
            </w:pPr>
            <w:r w:rsidRPr="00C41120">
              <w:rPr>
                <w:sz w:val="24"/>
                <w:szCs w:val="24"/>
              </w:rPr>
              <w:t>Reflective supervision was crucial in helping me process emotional responses and evaluate my reasoning. Davys and Beddoe (202</w:t>
            </w:r>
            <w:r>
              <w:rPr>
                <w:sz w:val="24"/>
                <w:szCs w:val="24"/>
              </w:rPr>
              <w:t>1</w:t>
            </w:r>
            <w:r w:rsidRPr="00C41120">
              <w:rPr>
                <w:sz w:val="24"/>
                <w:szCs w:val="24"/>
              </w:rPr>
              <w:t>) describe supervision as a dialogic space for critical thinking, emotional containment, and ethical calibration. Through discussion, I explored my initial frustration towards the care provider and recognised the importance of maintaining objectivity. Reflection enabled me to separate emotional reaction from professional response, ensuring my practice remained evidence-based and person-centred.</w:t>
            </w:r>
          </w:p>
          <w:p w14:paraId="0BB79E64" w14:textId="77777777" w:rsidR="00A777B6" w:rsidRPr="00C41120" w:rsidRDefault="00A777B6" w:rsidP="00A777B6">
            <w:pPr>
              <w:spacing w:line="360" w:lineRule="auto"/>
              <w:rPr>
                <w:sz w:val="24"/>
                <w:szCs w:val="24"/>
              </w:rPr>
            </w:pPr>
          </w:p>
          <w:p w14:paraId="1E4419ED" w14:textId="77777777" w:rsidR="00A777B6" w:rsidRDefault="00A777B6" w:rsidP="00A777B6">
            <w:pPr>
              <w:spacing w:line="360" w:lineRule="auto"/>
              <w:rPr>
                <w:sz w:val="24"/>
                <w:szCs w:val="24"/>
              </w:rPr>
            </w:pPr>
            <w:r w:rsidRPr="00C41120">
              <w:rPr>
                <w:sz w:val="24"/>
                <w:szCs w:val="24"/>
              </w:rPr>
              <w:t>Sch</w:t>
            </w:r>
            <w:r>
              <w:rPr>
                <w:sz w:val="24"/>
                <w:szCs w:val="24"/>
              </w:rPr>
              <w:t>o</w:t>
            </w:r>
            <w:r w:rsidRPr="00C41120">
              <w:rPr>
                <w:sz w:val="24"/>
                <w:szCs w:val="24"/>
              </w:rPr>
              <w:t xml:space="preserve">n’s (1983) concepts of reflection-in-action and reflection-on-action were particularly useful. Reflection-in-action helped me adapt in real time, for example when deciding how to raise concerns with staff while maintaining professionalism. Reflection-on-action, undertaken after visits and through supervision, allowed me to critically evaluate my interventions, consider alternative </w:t>
            </w:r>
            <w:r>
              <w:rPr>
                <w:sz w:val="24"/>
                <w:szCs w:val="24"/>
              </w:rPr>
              <w:t>approaches</w:t>
            </w:r>
            <w:r w:rsidRPr="00C41120">
              <w:rPr>
                <w:sz w:val="24"/>
                <w:szCs w:val="24"/>
              </w:rPr>
              <w:t xml:space="preserve">, and identify </w:t>
            </w:r>
            <w:r>
              <w:rPr>
                <w:sz w:val="24"/>
                <w:szCs w:val="24"/>
              </w:rPr>
              <w:t>areas for learning and development</w:t>
            </w:r>
            <w:r w:rsidRPr="00C41120">
              <w:rPr>
                <w:sz w:val="24"/>
                <w:szCs w:val="24"/>
              </w:rPr>
              <w:t xml:space="preserve">. This </w:t>
            </w:r>
            <w:r>
              <w:rPr>
                <w:sz w:val="24"/>
                <w:szCs w:val="24"/>
              </w:rPr>
              <w:t>reflective</w:t>
            </w:r>
            <w:r w:rsidRPr="00C41120">
              <w:rPr>
                <w:sz w:val="24"/>
                <w:szCs w:val="24"/>
              </w:rPr>
              <w:t xml:space="preserve"> process strengthened my confidence and judgement. </w:t>
            </w:r>
          </w:p>
          <w:p w14:paraId="35A36A65" w14:textId="77777777" w:rsidR="00A777B6" w:rsidRDefault="00A777B6" w:rsidP="00A777B6">
            <w:pPr>
              <w:spacing w:line="360" w:lineRule="auto"/>
              <w:rPr>
                <w:sz w:val="24"/>
                <w:szCs w:val="24"/>
              </w:rPr>
            </w:pPr>
          </w:p>
          <w:p w14:paraId="5935819A" w14:textId="77777777" w:rsidR="00A777B6" w:rsidRPr="00C41120" w:rsidRDefault="00A777B6" w:rsidP="00A777B6">
            <w:pPr>
              <w:spacing w:line="360" w:lineRule="auto"/>
              <w:rPr>
                <w:sz w:val="24"/>
                <w:szCs w:val="24"/>
              </w:rPr>
            </w:pPr>
            <w:r w:rsidRPr="00C41120">
              <w:rPr>
                <w:sz w:val="24"/>
                <w:szCs w:val="24"/>
              </w:rPr>
              <w:lastRenderedPageBreak/>
              <w:t>Emotionally, the case evoked discomfort and sadness</w:t>
            </w:r>
            <w:r>
              <w:rPr>
                <w:sz w:val="24"/>
                <w:szCs w:val="24"/>
              </w:rPr>
              <w:t xml:space="preserve">, </w:t>
            </w:r>
            <w:r w:rsidRPr="00C41120">
              <w:rPr>
                <w:sz w:val="24"/>
                <w:szCs w:val="24"/>
              </w:rPr>
              <w:t>particularly when encountering dismissive attitudes towards residents. Ruch (2007) argues that emotional intelligence is central to effective social work, enabling empathy without over-identification. I learned to channel emotional responses into constructive professional action, maintaining empathy for individuals while upholding accountability for poor practice.</w:t>
            </w:r>
            <w:r>
              <w:rPr>
                <w:sz w:val="24"/>
                <w:szCs w:val="24"/>
              </w:rPr>
              <w:t xml:space="preserve"> This balance between compassion and critical distance supported ethical resilience.</w:t>
            </w:r>
          </w:p>
          <w:p w14:paraId="74B9D3C6" w14:textId="77777777" w:rsidR="00A777B6" w:rsidRPr="00C41120" w:rsidRDefault="00A777B6" w:rsidP="00A777B6">
            <w:pPr>
              <w:spacing w:line="360" w:lineRule="auto"/>
              <w:rPr>
                <w:sz w:val="24"/>
                <w:szCs w:val="24"/>
              </w:rPr>
            </w:pPr>
          </w:p>
          <w:p w14:paraId="17FE432D" w14:textId="77777777" w:rsidR="00A777B6" w:rsidRPr="00C41120" w:rsidRDefault="00A777B6" w:rsidP="00A777B6">
            <w:pPr>
              <w:spacing w:line="360" w:lineRule="auto"/>
              <w:rPr>
                <w:sz w:val="24"/>
                <w:szCs w:val="24"/>
              </w:rPr>
            </w:pPr>
            <w:r w:rsidRPr="00C41120">
              <w:rPr>
                <w:sz w:val="24"/>
                <w:szCs w:val="24"/>
              </w:rPr>
              <w:t>Ethical decision-making extended beyond individual protection to include organisational accountability. The duty to challenge structural neglect reflects Freire’s (1970) concept of critical consciousness, encouraging practitioners to question and transform oppressive systems. By escalating concerns to the Contracts and Commissioning Team and contributing to a multi-agency strategy meeting, I exercised this form of ethical activism, ensuring that safeguarding addressed not just immediate harm but also systemic inequality.</w:t>
            </w:r>
          </w:p>
          <w:p w14:paraId="1063CCB9" w14:textId="77777777" w:rsidR="00A777B6" w:rsidRPr="00C41120" w:rsidRDefault="00A777B6" w:rsidP="00A777B6">
            <w:pPr>
              <w:spacing w:line="360" w:lineRule="auto"/>
              <w:rPr>
                <w:sz w:val="24"/>
                <w:szCs w:val="24"/>
              </w:rPr>
            </w:pPr>
          </w:p>
          <w:p w14:paraId="5FB19199" w14:textId="77777777" w:rsidR="00A777B6" w:rsidRPr="00C41120" w:rsidRDefault="00A777B6" w:rsidP="00A777B6">
            <w:pPr>
              <w:spacing w:line="360" w:lineRule="auto"/>
              <w:rPr>
                <w:sz w:val="24"/>
                <w:szCs w:val="24"/>
              </w:rPr>
            </w:pPr>
            <w:r w:rsidRPr="00C41120">
              <w:rPr>
                <w:sz w:val="24"/>
                <w:szCs w:val="24"/>
              </w:rPr>
              <w:t xml:space="preserve">Throughout this process, documentation served as both evidence and reflective practice. Maintaining clear, factual records of my reasoning and decisions ensured transparency, as required by the SSWBA and the Code of Professional Practice </w:t>
            </w:r>
            <w:r>
              <w:rPr>
                <w:sz w:val="24"/>
                <w:szCs w:val="24"/>
              </w:rPr>
              <w:t xml:space="preserve">for Social Care </w:t>
            </w:r>
            <w:r w:rsidRPr="00C41120">
              <w:rPr>
                <w:sz w:val="24"/>
                <w:szCs w:val="24"/>
              </w:rPr>
              <w:t>(Social Care Wales, 2017). It also created an audit trail demonstrating defensible decision-making</w:t>
            </w:r>
            <w:r>
              <w:rPr>
                <w:sz w:val="24"/>
                <w:szCs w:val="24"/>
              </w:rPr>
              <w:t xml:space="preserve">, </w:t>
            </w:r>
            <w:r w:rsidRPr="00C41120">
              <w:rPr>
                <w:sz w:val="24"/>
                <w:szCs w:val="24"/>
              </w:rPr>
              <w:t>a hallmark of professional accountability.</w:t>
            </w:r>
          </w:p>
          <w:p w14:paraId="3A2B83DB" w14:textId="77777777" w:rsidR="00A777B6" w:rsidRPr="00C41120" w:rsidRDefault="00A777B6" w:rsidP="00A777B6">
            <w:pPr>
              <w:spacing w:line="360" w:lineRule="auto"/>
              <w:rPr>
                <w:sz w:val="24"/>
                <w:szCs w:val="24"/>
              </w:rPr>
            </w:pPr>
          </w:p>
          <w:p w14:paraId="326E4A44" w14:textId="77777777" w:rsidR="00A777B6" w:rsidRPr="00C41120" w:rsidRDefault="00A777B6" w:rsidP="00A777B6">
            <w:pPr>
              <w:spacing w:line="360" w:lineRule="auto"/>
              <w:rPr>
                <w:sz w:val="24"/>
                <w:szCs w:val="24"/>
              </w:rPr>
            </w:pPr>
            <w:r w:rsidRPr="00C41120">
              <w:rPr>
                <w:sz w:val="24"/>
                <w:szCs w:val="24"/>
              </w:rPr>
              <w:t>From a reflective standpoint, this case strengthened my professional identity and reinforced that ethical practice in safeguarding is relational, not procedural. It requires integrating knowledge, empathy, and critical reflection to protect individuals while fostering justice and learning within systems of care. As Banks (2016) observes, ethics in social work are lived through everyday encounters and decisions. In applying theory to practice, I learned that ethical courage, humility, and transparency are not abstract ideals but daily acts of advocacy and resistance against harm.</w:t>
            </w:r>
          </w:p>
          <w:p w14:paraId="4C23E726" w14:textId="77777777" w:rsidR="00A777B6" w:rsidRPr="00C41120" w:rsidRDefault="00A777B6" w:rsidP="00A777B6">
            <w:pPr>
              <w:spacing w:line="360" w:lineRule="auto"/>
              <w:rPr>
                <w:sz w:val="24"/>
                <w:szCs w:val="24"/>
              </w:rPr>
            </w:pPr>
          </w:p>
          <w:p w14:paraId="18676B7B" w14:textId="77777777" w:rsidR="00A777B6" w:rsidRPr="00C41120" w:rsidRDefault="00A777B6" w:rsidP="00A777B6">
            <w:pPr>
              <w:spacing w:line="360" w:lineRule="auto"/>
              <w:rPr>
                <w:sz w:val="24"/>
                <w:szCs w:val="24"/>
              </w:rPr>
            </w:pPr>
            <w:r w:rsidRPr="00C41120">
              <w:rPr>
                <w:sz w:val="24"/>
                <w:szCs w:val="24"/>
              </w:rPr>
              <w:t xml:space="preserve">The experience also deepened my understanding of leadership in practice. Leadership does not depend on hierarchy but on the capacity to uphold values and influence positive change (Laming, 2009). Through consistent advocacy, critical dialogue, and professional </w:t>
            </w:r>
            <w:r w:rsidRPr="00C41120">
              <w:rPr>
                <w:sz w:val="24"/>
                <w:szCs w:val="24"/>
              </w:rPr>
              <w:lastRenderedPageBreak/>
              <w:t>persistence, I contributed to organisational learning and reinforced a safeguarding culture based on respect, partnership, and accountability.</w:t>
            </w:r>
          </w:p>
          <w:p w14:paraId="52931CE2" w14:textId="77777777" w:rsidR="00A777B6" w:rsidRPr="00C41120" w:rsidRDefault="00A777B6" w:rsidP="00A777B6">
            <w:pPr>
              <w:spacing w:line="360" w:lineRule="auto"/>
              <w:rPr>
                <w:sz w:val="24"/>
                <w:szCs w:val="24"/>
              </w:rPr>
            </w:pPr>
          </w:p>
          <w:p w14:paraId="70C7E3B7" w14:textId="77777777" w:rsidR="00A777B6" w:rsidRDefault="00A777B6" w:rsidP="00A777B6">
            <w:pPr>
              <w:spacing w:line="360" w:lineRule="auto"/>
              <w:rPr>
                <w:sz w:val="24"/>
                <w:szCs w:val="24"/>
              </w:rPr>
            </w:pPr>
            <w:r w:rsidRPr="00C41120">
              <w:rPr>
                <w:sz w:val="24"/>
                <w:szCs w:val="24"/>
              </w:rPr>
              <w:t>In conclusion, this case demonstrated that effective safeguarding demands integration of ethical reasoning, critical reflection, and systems awareness. Applying a strengths-based and anti-oppressive lens allowed me to promote empowerment alongside protection, while reflective practice enabled continuous learning. The experience affirmed that safeguarding is both a statutory and moral responsibility</w:t>
            </w:r>
            <w:r>
              <w:rPr>
                <w:sz w:val="24"/>
                <w:szCs w:val="24"/>
              </w:rPr>
              <w:t xml:space="preserve">, </w:t>
            </w:r>
            <w:r w:rsidRPr="00C41120">
              <w:rPr>
                <w:sz w:val="24"/>
                <w:szCs w:val="24"/>
              </w:rPr>
              <w:t>rooted in compassion, critical thinking, and an unwavering commitment to human dignity.</w:t>
            </w:r>
          </w:p>
          <w:p w14:paraId="3F77C69C" w14:textId="77777777" w:rsidR="00A777B6" w:rsidRDefault="00A777B6" w:rsidP="00A777B6">
            <w:pPr>
              <w:spacing w:line="360" w:lineRule="auto"/>
              <w:rPr>
                <w:sz w:val="24"/>
                <w:szCs w:val="24"/>
              </w:rPr>
            </w:pPr>
          </w:p>
          <w:p w14:paraId="710B347F" w14:textId="77777777" w:rsidR="00A777B6" w:rsidRDefault="00A777B6" w:rsidP="00A777B6">
            <w:pPr>
              <w:spacing w:line="360" w:lineRule="auto"/>
              <w:rPr>
                <w:sz w:val="24"/>
                <w:szCs w:val="24"/>
              </w:rPr>
            </w:pPr>
            <w:r>
              <w:rPr>
                <w:sz w:val="24"/>
                <w:szCs w:val="24"/>
              </w:rPr>
              <w:t>Word count – 4110</w:t>
            </w:r>
          </w:p>
          <w:p w14:paraId="20370495" w14:textId="79B79501" w:rsidR="00D3203C" w:rsidRPr="00A777B6" w:rsidRDefault="00D3203C" w:rsidP="00FF7EBB">
            <w:pPr>
              <w:jc w:val="both"/>
              <w:rPr>
                <w:iCs/>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3E51"/>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506F"/>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1A7B"/>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37C1"/>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23EB"/>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77B6"/>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3E21"/>
    <w:rsid w:val="00E15751"/>
    <w:rsid w:val="00E17160"/>
    <w:rsid w:val="00E17D41"/>
    <w:rsid w:val="00E231D1"/>
    <w:rsid w:val="00E2571E"/>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4641</Words>
  <Characters>26459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Leanne Duncalf</cp:lastModifiedBy>
  <cp:revision>8</cp:revision>
  <cp:lastPrinted>2020-02-11T19:20:00Z</cp:lastPrinted>
  <dcterms:created xsi:type="dcterms:W3CDTF">2022-09-29T11:34:00Z</dcterms:created>
  <dcterms:modified xsi:type="dcterms:W3CDTF">2025-10-07T18:18:00Z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