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Pr="00DE641F" w:rsidRDefault="00C558B0" w:rsidP="00C558B0">
      <w:pPr>
        <w:spacing w:line="360" w:lineRule="auto"/>
        <w:rPr>
          <w:rFonts w:asciiTheme="minorBidi" w:hAnsiTheme="minorBidi"/>
          <w:b/>
          <w:bCs/>
          <w:sz w:val="40"/>
          <w:szCs w:val="40"/>
        </w:rPr>
      </w:pPr>
    </w:p>
    <w:p w14:paraId="4CFA099C" w14:textId="77777777" w:rsidR="00C558B0" w:rsidRPr="00DE641F" w:rsidRDefault="00C558B0" w:rsidP="00C558B0">
      <w:pPr>
        <w:tabs>
          <w:tab w:val="left" w:pos="6540"/>
        </w:tabs>
        <w:spacing w:line="360" w:lineRule="auto"/>
        <w:rPr>
          <w:rFonts w:asciiTheme="minorBidi" w:hAnsiTheme="minorBidi"/>
          <w:b/>
          <w:bCs/>
          <w:sz w:val="40"/>
          <w:szCs w:val="40"/>
        </w:rPr>
      </w:pPr>
    </w:p>
    <w:p w14:paraId="2F4F861B" w14:textId="2C03839A" w:rsidR="00C558B0" w:rsidRPr="00DE641F" w:rsidRDefault="00C558B0" w:rsidP="00C558B0">
      <w:pPr>
        <w:tabs>
          <w:tab w:val="left" w:pos="6540"/>
        </w:tabs>
        <w:spacing w:line="360" w:lineRule="auto"/>
        <w:rPr>
          <w:rFonts w:asciiTheme="minorBidi" w:hAnsiTheme="minorBidi"/>
          <w:b/>
          <w:bCs/>
          <w:sz w:val="40"/>
          <w:szCs w:val="40"/>
          <w:lang w:val="nl-NL"/>
        </w:rPr>
      </w:pPr>
      <w:r w:rsidRPr="00DE641F">
        <w:rPr>
          <w:rFonts w:asciiTheme="minorBidi" w:hAnsiTheme="minorBidi"/>
          <w:b/>
          <w:bCs/>
          <w:sz w:val="40"/>
          <w:szCs w:val="40"/>
          <w:lang w:val="nl-NL"/>
        </w:rPr>
        <w:t>Student name:</w:t>
      </w:r>
      <w:r w:rsidR="00D94929" w:rsidRPr="00DE641F">
        <w:rPr>
          <w:rFonts w:asciiTheme="minorBidi" w:hAnsiTheme="minorBidi"/>
          <w:b/>
          <w:bCs/>
          <w:sz w:val="40"/>
          <w:szCs w:val="40"/>
          <w:lang w:val="nl-NL"/>
        </w:rPr>
        <w:t xml:space="preserve"> Souhib Alhassan</w:t>
      </w:r>
    </w:p>
    <w:p w14:paraId="18D88AE2" w14:textId="3380E66E" w:rsidR="00C558B0" w:rsidRPr="00DE641F" w:rsidRDefault="00C558B0" w:rsidP="00C558B0">
      <w:pPr>
        <w:tabs>
          <w:tab w:val="left" w:pos="6540"/>
        </w:tabs>
        <w:spacing w:line="360" w:lineRule="auto"/>
        <w:rPr>
          <w:rFonts w:asciiTheme="minorBidi" w:hAnsiTheme="minorBidi"/>
          <w:b/>
          <w:bCs/>
          <w:sz w:val="40"/>
          <w:szCs w:val="40"/>
          <w:lang w:val="nl-NL"/>
        </w:rPr>
      </w:pPr>
      <w:r w:rsidRPr="00DE641F">
        <w:rPr>
          <w:rFonts w:asciiTheme="minorBidi" w:hAnsiTheme="minorBidi"/>
          <w:b/>
          <w:bCs/>
          <w:sz w:val="40"/>
          <w:szCs w:val="40"/>
          <w:lang w:val="nl-NL"/>
        </w:rPr>
        <w:t xml:space="preserve">Student </w:t>
      </w:r>
      <w:proofErr w:type="spellStart"/>
      <w:r w:rsidRPr="00DE641F">
        <w:rPr>
          <w:rFonts w:asciiTheme="minorBidi" w:hAnsiTheme="minorBidi"/>
          <w:b/>
          <w:bCs/>
          <w:sz w:val="40"/>
          <w:szCs w:val="40"/>
          <w:lang w:val="nl-NL"/>
        </w:rPr>
        <w:t>ID</w:t>
      </w:r>
      <w:proofErr w:type="spellEnd"/>
      <w:r w:rsidRPr="00DE641F">
        <w:rPr>
          <w:rFonts w:asciiTheme="minorBidi" w:hAnsiTheme="minorBidi"/>
          <w:b/>
          <w:bCs/>
          <w:sz w:val="40"/>
          <w:szCs w:val="40"/>
          <w:lang w:val="nl-NL"/>
        </w:rPr>
        <w:t>:</w:t>
      </w:r>
      <w:r w:rsidR="00D94929" w:rsidRPr="00DE641F">
        <w:rPr>
          <w:rFonts w:asciiTheme="minorBidi" w:hAnsiTheme="minorBidi"/>
          <w:b/>
          <w:bCs/>
          <w:sz w:val="40"/>
          <w:szCs w:val="40"/>
          <w:lang w:val="nl-NL"/>
        </w:rPr>
        <w:t xml:space="preserve"> 2438046</w:t>
      </w:r>
    </w:p>
    <w:p w14:paraId="4654C81C" w14:textId="77777777" w:rsidR="00C558B0" w:rsidRPr="00DE641F" w:rsidRDefault="00C558B0" w:rsidP="00C558B0">
      <w:pPr>
        <w:tabs>
          <w:tab w:val="left" w:pos="6540"/>
        </w:tabs>
        <w:spacing w:line="360" w:lineRule="auto"/>
        <w:rPr>
          <w:rFonts w:asciiTheme="minorBidi" w:hAnsiTheme="minorBidi"/>
          <w:b/>
          <w:bCs/>
          <w:sz w:val="40"/>
          <w:szCs w:val="40"/>
          <w:lang w:val="nl-NL"/>
        </w:rPr>
      </w:pPr>
    </w:p>
    <w:p w14:paraId="34CAD155" w14:textId="003593E9" w:rsidR="00C70932" w:rsidRPr="00DE641F" w:rsidRDefault="00C558B0" w:rsidP="00C70932">
      <w:pPr>
        <w:pStyle w:val="Heading1"/>
        <w:spacing w:before="0" w:beforeAutospacing="0" w:after="0" w:afterAutospacing="0"/>
        <w:rPr>
          <w:rFonts w:asciiTheme="minorBidi" w:hAnsiTheme="minorBidi" w:cstheme="minorBidi"/>
          <w:color w:val="000000" w:themeColor="text1"/>
          <w:sz w:val="40"/>
          <w:szCs w:val="40"/>
        </w:rPr>
      </w:pPr>
      <w:r w:rsidRPr="00DE641F">
        <w:rPr>
          <w:rFonts w:asciiTheme="minorBidi" w:hAnsiTheme="minorBidi" w:cstheme="minorBidi"/>
          <w:sz w:val="40"/>
          <w:szCs w:val="40"/>
          <w:lang w:val="nl-NL"/>
        </w:rPr>
        <w:t xml:space="preserve">Module </w:t>
      </w:r>
      <w:r w:rsidR="00650FB7" w:rsidRPr="00DE641F">
        <w:rPr>
          <w:rFonts w:asciiTheme="minorBidi" w:hAnsiTheme="minorBidi" w:cstheme="minorBidi"/>
          <w:sz w:val="40"/>
          <w:szCs w:val="40"/>
          <w:lang w:val="nl-NL"/>
        </w:rPr>
        <w:t>name:</w:t>
      </w:r>
      <w:r w:rsidR="00650FB7" w:rsidRPr="00DE641F">
        <w:rPr>
          <w:rFonts w:asciiTheme="minorBidi" w:hAnsiTheme="minorBidi" w:cstheme="minorBidi"/>
          <w:color w:val="000000" w:themeColor="text1"/>
          <w:sz w:val="40"/>
          <w:szCs w:val="40"/>
        </w:rPr>
        <w:t xml:space="preserve"> </w:t>
      </w:r>
      <w:r w:rsidR="00C70932" w:rsidRPr="00DE641F">
        <w:rPr>
          <w:rFonts w:asciiTheme="minorBidi" w:hAnsiTheme="minorBidi" w:cstheme="minorBidi"/>
          <w:color w:val="000000" w:themeColor="text1"/>
          <w:sz w:val="40"/>
          <w:szCs w:val="40"/>
        </w:rPr>
        <w:t xml:space="preserve">Principles of Health and Social Care Practice </w:t>
      </w:r>
    </w:p>
    <w:p w14:paraId="3D8DA301" w14:textId="12CF62A6" w:rsidR="00C558B0" w:rsidRPr="00DE641F" w:rsidRDefault="00C558B0" w:rsidP="00C558B0">
      <w:pPr>
        <w:tabs>
          <w:tab w:val="left" w:pos="6540"/>
        </w:tabs>
        <w:spacing w:line="360" w:lineRule="auto"/>
        <w:rPr>
          <w:rFonts w:asciiTheme="minorBidi" w:hAnsiTheme="minorBidi"/>
          <w:b/>
          <w:bCs/>
          <w:sz w:val="40"/>
          <w:szCs w:val="40"/>
        </w:rPr>
      </w:pPr>
    </w:p>
    <w:p w14:paraId="0DF4A4D6" w14:textId="0E52246C" w:rsidR="00C70932" w:rsidRPr="00DE641F" w:rsidRDefault="00C558B0" w:rsidP="00C70932">
      <w:pPr>
        <w:pStyle w:val="Heading1"/>
        <w:spacing w:before="0" w:beforeAutospacing="0" w:after="0" w:afterAutospacing="0"/>
        <w:rPr>
          <w:rFonts w:asciiTheme="minorBidi" w:hAnsiTheme="minorBidi" w:cstheme="minorBidi"/>
          <w:color w:val="000000" w:themeColor="text1"/>
          <w:sz w:val="40"/>
          <w:szCs w:val="40"/>
        </w:rPr>
      </w:pPr>
      <w:r w:rsidRPr="00DE641F">
        <w:rPr>
          <w:rFonts w:asciiTheme="minorBidi" w:hAnsiTheme="minorBidi" w:cstheme="minorBidi"/>
          <w:sz w:val="40"/>
          <w:szCs w:val="40"/>
        </w:rPr>
        <w:t>Module code:</w:t>
      </w:r>
      <w:r w:rsidR="00C70932" w:rsidRPr="00DE641F">
        <w:rPr>
          <w:rFonts w:asciiTheme="minorBidi" w:hAnsiTheme="minorBidi" w:cstheme="minorBidi"/>
          <w:color w:val="000000" w:themeColor="text1"/>
          <w:sz w:val="40"/>
          <w:szCs w:val="40"/>
        </w:rPr>
        <w:t xml:space="preserve"> </w:t>
      </w:r>
      <w:r w:rsidR="00C70932" w:rsidRPr="00DE641F">
        <w:rPr>
          <w:rFonts w:asciiTheme="minorBidi" w:hAnsiTheme="minorBidi" w:cstheme="minorBidi"/>
          <w:color w:val="000000" w:themeColor="text1"/>
          <w:sz w:val="40"/>
          <w:szCs w:val="40"/>
        </w:rPr>
        <w:t>(BMHP5016_LON)</w:t>
      </w:r>
    </w:p>
    <w:p w14:paraId="7DB3261D" w14:textId="7D645D09" w:rsidR="00C558B0" w:rsidRPr="00DE641F" w:rsidRDefault="00C558B0" w:rsidP="00C558B0">
      <w:pPr>
        <w:tabs>
          <w:tab w:val="left" w:pos="6540"/>
        </w:tabs>
        <w:spacing w:line="360" w:lineRule="auto"/>
        <w:rPr>
          <w:rFonts w:asciiTheme="minorBidi" w:hAnsiTheme="minorBidi"/>
          <w:b/>
          <w:bCs/>
          <w:sz w:val="40"/>
          <w:szCs w:val="40"/>
        </w:rPr>
      </w:pPr>
    </w:p>
    <w:p w14:paraId="5CCA350C" w14:textId="617BBDFA" w:rsidR="00C558B0" w:rsidRPr="00DE641F" w:rsidRDefault="00C558B0" w:rsidP="00C558B0">
      <w:pPr>
        <w:tabs>
          <w:tab w:val="left" w:pos="6540"/>
        </w:tabs>
        <w:spacing w:line="360" w:lineRule="auto"/>
        <w:rPr>
          <w:rFonts w:asciiTheme="minorBidi" w:hAnsiTheme="minorBidi"/>
          <w:b/>
          <w:bCs/>
          <w:sz w:val="40"/>
          <w:szCs w:val="40"/>
        </w:rPr>
      </w:pPr>
      <w:r w:rsidRPr="00DE641F">
        <w:rPr>
          <w:rFonts w:asciiTheme="minorBidi" w:hAnsiTheme="minorBidi"/>
          <w:b/>
          <w:bCs/>
          <w:sz w:val="40"/>
          <w:szCs w:val="40"/>
        </w:rPr>
        <w:t>Lecturer name:</w:t>
      </w:r>
      <w:r w:rsidR="00C70932" w:rsidRPr="00DE641F">
        <w:rPr>
          <w:rFonts w:asciiTheme="minorBidi" w:hAnsiTheme="minorBidi"/>
          <w:b/>
          <w:bCs/>
          <w:sz w:val="40"/>
          <w:szCs w:val="40"/>
        </w:rPr>
        <w:t xml:space="preserve"> D</w:t>
      </w:r>
      <w:r w:rsidR="00422229" w:rsidRPr="00DE641F">
        <w:rPr>
          <w:rFonts w:asciiTheme="minorBidi" w:hAnsiTheme="minorBidi"/>
          <w:b/>
          <w:bCs/>
          <w:sz w:val="40"/>
          <w:szCs w:val="40"/>
        </w:rPr>
        <w:t>r. Sam Parker</w:t>
      </w:r>
    </w:p>
    <w:p w14:paraId="5461F9C8" w14:textId="77777777" w:rsidR="00C558B0" w:rsidRPr="00DE641F" w:rsidRDefault="00C558B0" w:rsidP="00C558B0">
      <w:pPr>
        <w:tabs>
          <w:tab w:val="left" w:pos="6540"/>
        </w:tabs>
        <w:spacing w:line="360" w:lineRule="auto"/>
        <w:rPr>
          <w:rFonts w:asciiTheme="minorBidi" w:hAnsiTheme="minorBidi"/>
          <w:b/>
          <w:bCs/>
          <w:sz w:val="40"/>
          <w:szCs w:val="40"/>
        </w:rPr>
      </w:pPr>
    </w:p>
    <w:p w14:paraId="79C715ED" w14:textId="16914D07" w:rsidR="006D2F2D" w:rsidRPr="00DE641F" w:rsidRDefault="006D2F2D" w:rsidP="004A5A64">
      <w:pPr>
        <w:spacing w:line="360" w:lineRule="auto"/>
        <w:rPr>
          <w:color w:val="000000" w:themeColor="text1"/>
          <w:sz w:val="23"/>
          <w:szCs w:val="23"/>
        </w:rPr>
      </w:pPr>
      <w:r w:rsidRPr="00DE641F">
        <w:rPr>
          <w:color w:val="000000" w:themeColor="text1"/>
          <w:sz w:val="23"/>
          <w:szCs w:val="23"/>
        </w:rPr>
        <w:br w:type="page"/>
      </w:r>
    </w:p>
    <w:p w14:paraId="5F44B964" w14:textId="5E455BDD" w:rsidR="00317E3D" w:rsidRPr="005C2A01" w:rsidRDefault="006D2F2D" w:rsidP="005C2A01">
      <w:pPr>
        <w:spacing w:line="360" w:lineRule="auto"/>
        <w:rPr>
          <w:rFonts w:asciiTheme="minorBidi" w:hAnsiTheme="minorBidi"/>
          <w:b/>
          <w:bCs/>
          <w:szCs w:val="24"/>
        </w:rPr>
      </w:pPr>
      <w:r w:rsidRPr="005C2A01">
        <w:rPr>
          <w:rFonts w:asciiTheme="minorBidi" w:hAnsiTheme="minorBidi"/>
          <w:b/>
          <w:bCs/>
          <w:szCs w:val="24"/>
        </w:rPr>
        <w:lastRenderedPageBreak/>
        <w:t>Introduction</w:t>
      </w:r>
    </w:p>
    <w:p w14:paraId="38A1FD09" w14:textId="77777777" w:rsidR="009721FF" w:rsidRPr="005C2A01" w:rsidRDefault="00637442" w:rsidP="005C2A01">
      <w:pPr>
        <w:spacing w:line="360" w:lineRule="auto"/>
        <w:rPr>
          <w:rFonts w:asciiTheme="minorBidi" w:hAnsiTheme="minorBidi"/>
          <w:color w:val="161F19"/>
          <w:szCs w:val="24"/>
          <w:shd w:val="clear" w:color="auto" w:fill="FFFFFF"/>
        </w:rPr>
      </w:pPr>
      <w:r w:rsidRPr="005C2A01">
        <w:rPr>
          <w:rFonts w:asciiTheme="minorBidi" w:hAnsiTheme="minorBidi"/>
          <w:color w:val="161F19"/>
          <w:szCs w:val="24"/>
          <w:shd w:val="clear" w:color="auto" w:fill="FFFFFF"/>
        </w:rPr>
        <w:t>Person-centred care is at the heart of modern health and social care in the UK. It is about valuing people’s rights and preferences and involving them in decisions that affect their lives. Person-centred approaches aim to promote dignity, autonomy and independence while recognising the social, psychological and environmental factors that impact on health and wellbeing (Health Foundation, 2016), rather than focusing solely on illness or impairment. The Social Model of Disability is one of the most influential models of understanding disability. It challenges the traditional assumptions that disability is located within the physical or mental impairment of an individual. Instead, the model argues that disability is constructed through social barriers such as inaccessible environments, discriminatory attitudes and exclusionary policies that limit participation and equal opportunities (Oliver, 2013).</w:t>
      </w:r>
    </w:p>
    <w:p w14:paraId="4B1867E4" w14:textId="77777777" w:rsidR="009721FF" w:rsidRPr="005C2A01" w:rsidRDefault="009721FF" w:rsidP="005C2A01">
      <w:pPr>
        <w:spacing w:line="360" w:lineRule="auto"/>
        <w:rPr>
          <w:rFonts w:asciiTheme="minorBidi" w:hAnsiTheme="minorBidi"/>
          <w:color w:val="161F19"/>
          <w:szCs w:val="24"/>
          <w:shd w:val="clear" w:color="auto" w:fill="FFFFFF"/>
        </w:rPr>
      </w:pPr>
    </w:p>
    <w:p w14:paraId="616D7C32" w14:textId="77777777" w:rsidR="001B0710" w:rsidRPr="005C2A01" w:rsidRDefault="00637442" w:rsidP="005C2A01">
      <w:pPr>
        <w:spacing w:line="360" w:lineRule="auto"/>
        <w:rPr>
          <w:rFonts w:asciiTheme="minorBidi" w:hAnsiTheme="minorBidi"/>
          <w:color w:val="161F19"/>
          <w:szCs w:val="24"/>
          <w:shd w:val="clear" w:color="auto" w:fill="FFFFFF"/>
        </w:rPr>
      </w:pPr>
      <w:r w:rsidRPr="005C2A01">
        <w:rPr>
          <w:rFonts w:asciiTheme="minorBidi" w:hAnsiTheme="minorBidi"/>
          <w:color w:val="161F19"/>
          <w:szCs w:val="24"/>
          <w:shd w:val="clear" w:color="auto" w:fill="FFFFFF"/>
        </w:rPr>
        <w:t xml:space="preserve"> The Social Model, developed by the disability rights movement in the 1970’s has influenced UK health and social care policy promoting equality, accessibility and the inclusion of disabled people in decisions about their care (Barnes, 2012). However, the model has not escaped criticism even though it has contributed considerably to person-centred practice. Others believe the social model downplays the lived experience of disability and the importance of medical interventions, and that a solely social perspective does not necessarily meet the complex needs of disabled people (Shakespeare, 2018). Its effectiveness in today’s health and social care is therefore questioned. </w:t>
      </w:r>
    </w:p>
    <w:p w14:paraId="0E472748" w14:textId="77777777" w:rsidR="002D03CC" w:rsidRPr="005C2A01" w:rsidRDefault="002D03CC" w:rsidP="005C2A01">
      <w:pPr>
        <w:spacing w:line="360" w:lineRule="auto"/>
        <w:rPr>
          <w:rFonts w:asciiTheme="minorBidi" w:hAnsiTheme="minorBidi"/>
          <w:b/>
          <w:bCs/>
          <w:szCs w:val="24"/>
        </w:rPr>
      </w:pPr>
    </w:p>
    <w:p w14:paraId="2AB98BE7" w14:textId="564ACA7E" w:rsidR="006D2F2D" w:rsidRPr="005C2A01" w:rsidRDefault="003E4ED4" w:rsidP="005C2A01">
      <w:pPr>
        <w:spacing w:line="360" w:lineRule="auto"/>
        <w:rPr>
          <w:rFonts w:asciiTheme="minorBidi" w:hAnsiTheme="minorBidi"/>
          <w:b/>
          <w:bCs/>
          <w:color w:val="0070C0"/>
          <w:szCs w:val="24"/>
        </w:rPr>
      </w:pPr>
      <w:r w:rsidRPr="005C2A01">
        <w:rPr>
          <w:rFonts w:asciiTheme="minorBidi" w:hAnsiTheme="minorBidi"/>
          <w:b/>
          <w:bCs/>
          <w:szCs w:val="24"/>
        </w:rPr>
        <w:t>T</w:t>
      </w:r>
      <w:r w:rsidR="006D2F2D" w:rsidRPr="005C2A01">
        <w:rPr>
          <w:rFonts w:asciiTheme="minorBidi" w:hAnsiTheme="minorBidi"/>
          <w:b/>
          <w:bCs/>
          <w:szCs w:val="24"/>
        </w:rPr>
        <w:t xml:space="preserve">he </w:t>
      </w:r>
      <w:r w:rsidRPr="005C2A01">
        <w:rPr>
          <w:rFonts w:asciiTheme="minorBidi" w:hAnsiTheme="minorBidi"/>
          <w:b/>
          <w:bCs/>
          <w:szCs w:val="24"/>
        </w:rPr>
        <w:t xml:space="preserve">development of the </w:t>
      </w:r>
      <w:r w:rsidR="006D2F2D" w:rsidRPr="005C2A01">
        <w:rPr>
          <w:rFonts w:asciiTheme="minorBidi" w:hAnsiTheme="minorBidi"/>
          <w:b/>
          <w:bCs/>
          <w:szCs w:val="24"/>
        </w:rPr>
        <w:t xml:space="preserve">chosen </w:t>
      </w:r>
      <w:r w:rsidR="00A14675" w:rsidRPr="005C2A01">
        <w:rPr>
          <w:rFonts w:asciiTheme="minorBidi" w:hAnsiTheme="minorBidi"/>
          <w:b/>
          <w:bCs/>
          <w:szCs w:val="24"/>
        </w:rPr>
        <w:t xml:space="preserve">concept </w:t>
      </w:r>
      <w:r w:rsidRPr="005C2A01">
        <w:rPr>
          <w:rFonts w:asciiTheme="minorBidi" w:hAnsiTheme="minorBidi"/>
          <w:b/>
          <w:bCs/>
          <w:color w:val="0070C0"/>
          <w:szCs w:val="24"/>
        </w:rPr>
        <w:t xml:space="preserve">(or theory or </w:t>
      </w:r>
      <w:r w:rsidR="00A14675" w:rsidRPr="005C2A01">
        <w:rPr>
          <w:rFonts w:asciiTheme="minorBidi" w:hAnsiTheme="minorBidi"/>
          <w:b/>
          <w:bCs/>
          <w:color w:val="0070C0"/>
          <w:szCs w:val="24"/>
        </w:rPr>
        <w:t>model</w:t>
      </w:r>
      <w:r w:rsidRPr="005C2A01">
        <w:rPr>
          <w:rFonts w:asciiTheme="minorBidi" w:hAnsiTheme="minorBidi"/>
          <w:b/>
          <w:bCs/>
          <w:color w:val="0070C0"/>
          <w:szCs w:val="24"/>
        </w:rPr>
        <w:t>)</w:t>
      </w:r>
      <w:r w:rsidR="006D2F2D" w:rsidRPr="005C2A01">
        <w:rPr>
          <w:rFonts w:asciiTheme="minorBidi" w:hAnsiTheme="minorBidi"/>
          <w:b/>
          <w:bCs/>
          <w:color w:val="0070C0"/>
          <w:szCs w:val="24"/>
        </w:rPr>
        <w:t xml:space="preserve"> </w:t>
      </w:r>
    </w:p>
    <w:p w14:paraId="38B91AD5" w14:textId="77777777" w:rsidR="00CD29F9" w:rsidRPr="005C2A01" w:rsidRDefault="00CD29F9"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 xml:space="preserve">The Social Model of Disability emerged during the 1970s as a response to dissatisfaction with the dominant medical model, which traditionally understood disability primarily as an individual problem caused by physical, intellectual or psychological impairments. Within the medical model, disabled people were often viewed as requiring treatment, rehabilitation or correction, with healthcare professionals positioned as the main decision-makers regarding their needs (Oliver, 1990). Although medical approaches remain important in supporting health </w:t>
      </w:r>
      <w:r w:rsidRPr="005C2A01">
        <w:rPr>
          <w:rFonts w:asciiTheme="minorBidi" w:hAnsiTheme="minorBidi" w:cstheme="minorBidi"/>
          <w:color w:val="000000"/>
        </w:rPr>
        <w:lastRenderedPageBreak/>
        <w:t>conditions, disability activists argued that this perspective failed to recognise the role of social, environmental and political factors in restricting disabled people's participation in society.</w:t>
      </w:r>
    </w:p>
    <w:p w14:paraId="30471CD8" w14:textId="77777777" w:rsidR="00CD29F9" w:rsidRPr="005C2A01" w:rsidRDefault="00CD29F9"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A significant development in the emergence of the Social Model was the establishment of the Union of the Physically Impaired Against Segregation (</w:t>
      </w:r>
      <w:proofErr w:type="spellStart"/>
      <w:r w:rsidRPr="005C2A01">
        <w:rPr>
          <w:rFonts w:asciiTheme="minorBidi" w:hAnsiTheme="minorBidi" w:cstheme="minorBidi"/>
          <w:color w:val="000000"/>
        </w:rPr>
        <w:t>UPIAS</w:t>
      </w:r>
      <w:proofErr w:type="spellEnd"/>
      <w:r w:rsidRPr="005C2A01">
        <w:rPr>
          <w:rFonts w:asciiTheme="minorBidi" w:hAnsiTheme="minorBidi" w:cstheme="minorBidi"/>
          <w:color w:val="000000"/>
        </w:rPr>
        <w:t xml:space="preserve">) in the United Kingdom during the 1970s. </w:t>
      </w:r>
      <w:proofErr w:type="spellStart"/>
      <w:r w:rsidRPr="005C2A01">
        <w:rPr>
          <w:rFonts w:asciiTheme="minorBidi" w:hAnsiTheme="minorBidi" w:cstheme="minorBidi"/>
          <w:color w:val="000000"/>
        </w:rPr>
        <w:t>UPIAS</w:t>
      </w:r>
      <w:proofErr w:type="spellEnd"/>
      <w:r w:rsidRPr="005C2A01">
        <w:rPr>
          <w:rFonts w:asciiTheme="minorBidi" w:hAnsiTheme="minorBidi" w:cstheme="minorBidi"/>
          <w:color w:val="000000"/>
        </w:rPr>
        <w:t xml:space="preserve"> made an important distinction between impairment and disability, defining impairment as an individual's physical, sensory or intellectual difference, while disability was understood as the disadvantage created by social organisation and exclusion (</w:t>
      </w:r>
      <w:proofErr w:type="spellStart"/>
      <w:r w:rsidRPr="005C2A01">
        <w:rPr>
          <w:rFonts w:asciiTheme="minorBidi" w:hAnsiTheme="minorBidi" w:cstheme="minorBidi"/>
          <w:color w:val="000000"/>
        </w:rPr>
        <w:t>UPIAS</w:t>
      </w:r>
      <w:proofErr w:type="spellEnd"/>
      <w:r w:rsidRPr="005C2A01">
        <w:rPr>
          <w:rFonts w:asciiTheme="minorBidi" w:hAnsiTheme="minorBidi" w:cstheme="minorBidi"/>
          <w:color w:val="000000"/>
        </w:rPr>
        <w:t>, 1976). This represented a major shift in thinking because it moved responsibility away from the individual and towards society's failure to remove barriers that prevent inclusion.</w:t>
      </w:r>
    </w:p>
    <w:p w14:paraId="332A5E8A" w14:textId="77777777" w:rsidR="00CD29F9" w:rsidRPr="005C2A01" w:rsidRDefault="00CD29F9"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The work of Oliver (1990) further developed the Social Model by providing an academic framework for understanding disability as a form of social oppression. Oliver argued that disabled people experience disadvantage not simply because of their impairments but because of inaccessible environments, discriminatory attitudes and institutional practices. This perspective contributed to the disability rights movement by promoting principles such as equality, independence, choice and participation. Consequently, the Social Model became influential in challenging paternalistic approaches to care and supporting more person-centred practices.</w:t>
      </w:r>
    </w:p>
    <w:p w14:paraId="7B79A653" w14:textId="77777777" w:rsidR="00CD29F9" w:rsidRPr="005C2A01" w:rsidRDefault="00CD29F9"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Over time, the Social Model has evolved and influenced wider approaches to disability, particularly through the development of rights-based and inclusive policies. The model has contributed to greater recognition of accessibility, reasonable adjustments and the involvement of disabled people in decisions affecting their lives. In the UK, these principles can be seen in legislation such as the Equality Act 2010, which places duties on organisations to prevent discrimination and make reasonable adjustments for disabled individuals (Equality Act, 2010).</w:t>
      </w:r>
    </w:p>
    <w:p w14:paraId="04EEC853" w14:textId="77777777" w:rsidR="00CD29F9" w:rsidRPr="005C2A01" w:rsidRDefault="00CD29F9"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 xml:space="preserve">However, the development of the Social Model does not suggest that impairment or medical support are irrelevant. Contemporary disability scholars have argued that disability should be understood through a more complex interaction between individual experiences and social environments. Shakespeare (2018) suggests that while the Social Model successfully challenged discrimination, a purely social </w:t>
      </w:r>
      <w:r w:rsidRPr="005C2A01">
        <w:rPr>
          <w:rFonts w:asciiTheme="minorBidi" w:hAnsiTheme="minorBidi" w:cstheme="minorBidi"/>
          <w:color w:val="000000"/>
        </w:rPr>
        <w:lastRenderedPageBreak/>
        <w:t>explanation may overlook the personal realities of pain, illness and impairment. In response, more recent approaches have attempted to integrate social and medical perspectives, recognising that person-centred care requires both the removal of social barriers and appropriate support for individual health needs.</w:t>
      </w:r>
    </w:p>
    <w:p w14:paraId="5787C987" w14:textId="77777777" w:rsidR="00CD29F9" w:rsidRPr="005C2A01" w:rsidRDefault="00CD29F9" w:rsidP="005C2A01">
      <w:pPr>
        <w:pStyle w:val="NormalWeb"/>
        <w:spacing w:line="360" w:lineRule="auto"/>
        <w:rPr>
          <w:rFonts w:asciiTheme="minorBidi" w:hAnsiTheme="minorBidi" w:cstheme="minorBidi"/>
          <w:color w:val="000000"/>
        </w:rPr>
      </w:pPr>
      <w:r w:rsidRPr="005C2A01">
        <w:rPr>
          <w:rFonts w:asciiTheme="minorBidi" w:hAnsiTheme="minorBidi" w:cstheme="minorBidi"/>
          <w:color w:val="000000"/>
        </w:rPr>
        <w:t>Overall, the Social Model of Disability has significantly transformed understandings of disability by shifting attention from individual limitations towards social responsibility and inclusion. Despite ongoing debate regarding its limitations, its influence remains central to promoting equality, empowerment and person-centred approaches within contemporary health and social care practice.</w:t>
      </w:r>
    </w:p>
    <w:p w14:paraId="1641A261" w14:textId="77777777" w:rsidR="00E1322C" w:rsidRPr="005C2A01" w:rsidRDefault="00E1322C"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Although the Social Model of Disability has significantly influenced understandings of disability and promoted person-centred approaches, it has also received criticism from disability scholars. A key strength of the model is that it challenges the idea that disability is caused only by individual impairment. Instead, it highlights how social, environmental and organisational barriers can restrict participation and create inequality (Oliver, 1990). This has contributed to greater emphasis on empowerment, independence and the rights of disabled people within health and social care.</w:t>
      </w:r>
    </w:p>
    <w:p w14:paraId="6EFF16DD" w14:textId="77777777" w:rsidR="00E1322C" w:rsidRPr="005C2A01" w:rsidRDefault="00E1322C"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However, critics argue that the model may not fully recognise the personal experience of impairment. Shakespeare (2018) suggests that focusing mainly on social barriers can overlook important aspects of disabled people's lives, including pain, fatigue, illness and the need for medical interventions. For example, removing physical barriers may improve accessibility, but it may not eliminate the challenges experienced by individuals living with complex health conditions.</w:t>
      </w:r>
    </w:p>
    <w:p w14:paraId="4B1CFBE5" w14:textId="77777777" w:rsidR="00E1322C" w:rsidRPr="005C2A01" w:rsidRDefault="00E1322C"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A further criticism is that the separation between impairment and disability may be too simplified. Thomas (2007) argues that disability is shaped by the interaction between individual experiences, social attitudes and wider structural inequalities. Therefore, disability cannot always be explained only through social oppression or environmental barriers.</w:t>
      </w:r>
    </w:p>
    <w:p w14:paraId="31F85157" w14:textId="7A3AD449" w:rsidR="00E1322C" w:rsidRPr="005C2A01" w:rsidRDefault="00E1322C"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 xml:space="preserve">In response to these criticisms, supporters of the Social Model argue that the model was not intended to reject medical care but to challenge discrimination and promote equality (Barnes, 2012). Contemporary approaches increasingly recognise the </w:t>
      </w:r>
      <w:r w:rsidRPr="005C2A01">
        <w:rPr>
          <w:rFonts w:asciiTheme="minorBidi" w:hAnsiTheme="minorBidi" w:cstheme="minorBidi"/>
          <w:color w:val="000000"/>
        </w:rPr>
        <w:lastRenderedPageBreak/>
        <w:t>importance of combining social and medical perspectives. The World Health Organization’s International Classification of Functioning, Disability and Health (</w:t>
      </w:r>
      <w:proofErr w:type="spellStart"/>
      <w:r w:rsidRPr="005C2A01">
        <w:rPr>
          <w:rFonts w:asciiTheme="minorBidi" w:hAnsiTheme="minorBidi" w:cstheme="minorBidi"/>
          <w:color w:val="000000"/>
        </w:rPr>
        <w:t>ICF</w:t>
      </w:r>
      <w:proofErr w:type="spellEnd"/>
      <w:r w:rsidRPr="005C2A01">
        <w:rPr>
          <w:rFonts w:asciiTheme="minorBidi" w:hAnsiTheme="minorBidi" w:cstheme="minorBidi"/>
          <w:color w:val="000000"/>
        </w:rPr>
        <w:t xml:space="preserve">) </w:t>
      </w:r>
      <w:r w:rsidR="00CE7439" w:rsidRPr="005C2A01">
        <w:rPr>
          <w:rFonts w:asciiTheme="minorBidi" w:hAnsiTheme="minorBidi" w:cstheme="minorBidi"/>
          <w:color w:val="000000"/>
        </w:rPr>
        <w:t>acknowledge</w:t>
      </w:r>
      <w:r w:rsidRPr="005C2A01">
        <w:rPr>
          <w:rFonts w:asciiTheme="minorBidi" w:hAnsiTheme="minorBidi" w:cstheme="minorBidi"/>
          <w:color w:val="000000"/>
        </w:rPr>
        <w:t xml:space="preserve"> that disability results from an interaction between health conditions, personal factors and environmental influences (WHO, 2001).</w:t>
      </w:r>
    </w:p>
    <w:p w14:paraId="1E554595" w14:textId="77777777" w:rsidR="00E1322C" w:rsidRPr="005C2A01" w:rsidRDefault="00E1322C" w:rsidP="005C2A01">
      <w:pPr>
        <w:pStyle w:val="NormalWeb"/>
        <w:spacing w:line="360" w:lineRule="auto"/>
        <w:rPr>
          <w:rFonts w:asciiTheme="minorBidi" w:hAnsiTheme="minorBidi" w:cstheme="minorBidi"/>
          <w:color w:val="000000"/>
        </w:rPr>
      </w:pPr>
      <w:r w:rsidRPr="005C2A01">
        <w:rPr>
          <w:rFonts w:asciiTheme="minorBidi" w:hAnsiTheme="minorBidi" w:cstheme="minorBidi"/>
          <w:color w:val="000000"/>
        </w:rPr>
        <w:t>Overall, while the Social Model has limitations, it remains valuable in promoting person-centred care by encouraging services to remove barriers, respect individual choices and support inclusion. However, effective practice requires a balanced approach that recognises both social inequalities and the individual health needs of disabled people.</w:t>
      </w:r>
    </w:p>
    <w:p w14:paraId="581B6AF8" w14:textId="77777777" w:rsidR="00E1322C" w:rsidRPr="005C2A01" w:rsidRDefault="00E1322C" w:rsidP="005C2A01">
      <w:pPr>
        <w:pStyle w:val="NormalWeb"/>
        <w:spacing w:line="360" w:lineRule="auto"/>
        <w:rPr>
          <w:rFonts w:asciiTheme="minorBidi" w:hAnsiTheme="minorBidi" w:cstheme="minorBidi"/>
          <w:color w:val="000000"/>
        </w:rPr>
      </w:pPr>
    </w:p>
    <w:p w14:paraId="6D46818E" w14:textId="3B0CDC22" w:rsidR="006D2F2D" w:rsidRPr="005C2A01" w:rsidRDefault="006D2F2D" w:rsidP="005C2A01">
      <w:pPr>
        <w:spacing w:line="360" w:lineRule="auto"/>
        <w:rPr>
          <w:rFonts w:asciiTheme="minorBidi" w:hAnsiTheme="minorBidi"/>
          <w:b/>
          <w:bCs/>
          <w:szCs w:val="24"/>
        </w:rPr>
      </w:pPr>
      <w:r w:rsidRPr="005C2A01">
        <w:rPr>
          <w:rFonts w:asciiTheme="minorBidi" w:hAnsiTheme="minorBidi"/>
          <w:b/>
          <w:bCs/>
          <w:szCs w:val="24"/>
        </w:rPr>
        <w:t xml:space="preserve">Application of the </w:t>
      </w:r>
      <w:r w:rsidR="00A14675" w:rsidRPr="005C2A01">
        <w:rPr>
          <w:rFonts w:asciiTheme="minorBidi" w:hAnsiTheme="minorBidi"/>
          <w:b/>
          <w:bCs/>
          <w:szCs w:val="24"/>
        </w:rPr>
        <w:t>concept</w:t>
      </w:r>
      <w:r w:rsidRPr="005C2A01">
        <w:rPr>
          <w:rFonts w:asciiTheme="minorBidi" w:hAnsiTheme="minorBidi"/>
          <w:b/>
          <w:bCs/>
          <w:szCs w:val="24"/>
        </w:rPr>
        <w:t xml:space="preserve"> in practice</w:t>
      </w:r>
    </w:p>
    <w:p w14:paraId="7A77547C" w14:textId="77777777" w:rsidR="00965F40" w:rsidRPr="005C2A01" w:rsidRDefault="00965F40"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The Social Model of Disability has had a significant influence on the development of UK health and social care policy by shifting attention away from individual limitations towards the social, environmental and organisational barriers that prevent disabled people from participating fully in society. This approach aligns closely with person-centred care because it emphasises autonomy, inclusion, choice and involvement in decisions about care and support. Rather than viewing disabled individuals as passive recipients of services, the model encourages professionals to recognise individuals as experts in their own experiences and needs (Oliver, 1990).</w:t>
      </w:r>
    </w:p>
    <w:p w14:paraId="4EF11EA5" w14:textId="576DE173" w:rsidR="00965F40" w:rsidRPr="005C2A01" w:rsidRDefault="00965F40"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 xml:space="preserve">One important area where the Social Model has influenced practice is through anti-discrimination legislation. The Equality Act 2010 introduced a legal responsibility for organisations to prevent discrimination and provide reasonable adjustments for disabled people (Equality Act, 2010). Within health and social care settings, this may include adapting communication methods, </w:t>
      </w:r>
      <w:r w:rsidR="00CE7439" w:rsidRPr="005C2A01">
        <w:rPr>
          <w:rFonts w:asciiTheme="minorBidi" w:hAnsiTheme="minorBidi" w:cstheme="minorBidi"/>
          <w:color w:val="000000"/>
        </w:rPr>
        <w:t>improve</w:t>
      </w:r>
      <w:r w:rsidRPr="005C2A01">
        <w:rPr>
          <w:rFonts w:asciiTheme="minorBidi" w:hAnsiTheme="minorBidi" w:cstheme="minorBidi"/>
          <w:color w:val="000000"/>
        </w:rPr>
        <w:t xml:space="preserve"> physical accessibility, or </w:t>
      </w:r>
      <w:r w:rsidR="000530A7" w:rsidRPr="005C2A01">
        <w:rPr>
          <w:rFonts w:asciiTheme="minorBidi" w:hAnsiTheme="minorBidi" w:cstheme="minorBidi"/>
          <w:color w:val="000000"/>
        </w:rPr>
        <w:t>modify</w:t>
      </w:r>
      <w:r w:rsidRPr="005C2A01">
        <w:rPr>
          <w:rFonts w:asciiTheme="minorBidi" w:hAnsiTheme="minorBidi" w:cstheme="minorBidi"/>
          <w:color w:val="000000"/>
        </w:rPr>
        <w:t xml:space="preserve"> services to ensure equal access. These principles support person-centred practice by enabling individuals to receive care that is responsive to their circumstances.</w:t>
      </w:r>
    </w:p>
    <w:p w14:paraId="133174B0" w14:textId="77777777" w:rsidR="00965F40" w:rsidRPr="005C2A01" w:rsidRDefault="00965F40"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 xml:space="preserve">The Social Model has also contributed to the development of personalised care approaches within the NHS. Policies such as the NHS Long Term Plan promote shared decision-making, personalised support and greater involvement of individuals </w:t>
      </w:r>
      <w:r w:rsidRPr="005C2A01">
        <w:rPr>
          <w:rFonts w:asciiTheme="minorBidi" w:hAnsiTheme="minorBidi" w:cstheme="minorBidi"/>
          <w:color w:val="000000"/>
        </w:rPr>
        <w:lastRenderedPageBreak/>
        <w:t>in managing their own health (NHS England, 2019). This reflects the model’s emphasis on empowerment and challenges traditional professional-led approaches where decisions are made without meaningful involvement from service users.</w:t>
      </w:r>
    </w:p>
    <w:p w14:paraId="6B56481F" w14:textId="77777777" w:rsidR="00965F40" w:rsidRPr="005C2A01" w:rsidRDefault="00965F40"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However, applying the Social Model within health and social care practice presents challenges. Although policies promote inclusion and equality, implementation can be inconsistent due to factors such as limited resources, staff training gaps and organisational pressures. Additionally, healthcare professionals must balance the removal of social barriers with the need to provide appropriate medical treatment and clinical support. This highlights the importance of integrating social and medical perspectives rather than relying on one approach alone (Shakespeare, 2018).</w:t>
      </w:r>
    </w:p>
    <w:p w14:paraId="6819B256" w14:textId="77777777" w:rsidR="00965F40" w:rsidRPr="005C2A01" w:rsidRDefault="00965F40"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Furthermore, person-centred practice requires more than policy changes; it depends on organisational culture and professional attitudes. Negative assumptions about disability may continue to influence interactions between professionals and service users, creating barriers even when formal policies exist (Barnes, 2012). Therefore, effective implementation of the Social Model requires ongoing disability awareness training, involvement of disabled people in service development and commitment to equality across health and social care organisations.</w:t>
      </w:r>
    </w:p>
    <w:p w14:paraId="3CDB8ECB" w14:textId="77777777" w:rsidR="00965F40" w:rsidRPr="005C2A01" w:rsidRDefault="00965F40" w:rsidP="005C2A01">
      <w:pPr>
        <w:pStyle w:val="NormalWeb"/>
        <w:spacing w:line="360" w:lineRule="auto"/>
        <w:rPr>
          <w:rFonts w:asciiTheme="minorBidi" w:hAnsiTheme="minorBidi" w:cstheme="minorBidi"/>
          <w:color w:val="000000"/>
        </w:rPr>
      </w:pPr>
      <w:r w:rsidRPr="005C2A01">
        <w:rPr>
          <w:rFonts w:asciiTheme="minorBidi" w:hAnsiTheme="minorBidi" w:cstheme="minorBidi"/>
          <w:color w:val="000000"/>
        </w:rPr>
        <w:t>Overall, the Social Model has provided an important foundation for more inclusive and person-centred health and social care practice in the UK. Nevertheless, its successful application depends on addressing practical barriers and combining social inclusion principles with recognition of individual health needs.</w:t>
      </w:r>
    </w:p>
    <w:p w14:paraId="72FFECFB" w14:textId="1B09A3F7" w:rsidR="006D2F2D" w:rsidRPr="005C2A01" w:rsidRDefault="006D2F2D" w:rsidP="005C2A01">
      <w:pPr>
        <w:spacing w:line="360" w:lineRule="auto"/>
        <w:rPr>
          <w:rFonts w:asciiTheme="minorBidi" w:hAnsiTheme="minorBidi"/>
          <w:b/>
          <w:bCs/>
          <w:szCs w:val="24"/>
        </w:rPr>
      </w:pPr>
      <w:r w:rsidRPr="005C2A01">
        <w:rPr>
          <w:rFonts w:asciiTheme="minorBidi" w:hAnsiTheme="minorBidi"/>
          <w:b/>
          <w:bCs/>
          <w:szCs w:val="24"/>
        </w:rPr>
        <w:t>Recommendations for</w:t>
      </w:r>
      <w:r w:rsidR="003E4ED4" w:rsidRPr="005C2A01">
        <w:rPr>
          <w:rFonts w:asciiTheme="minorBidi" w:hAnsiTheme="minorBidi"/>
          <w:b/>
          <w:bCs/>
          <w:szCs w:val="24"/>
        </w:rPr>
        <w:t xml:space="preserve"> policy</w:t>
      </w:r>
      <w:r w:rsidRPr="005C2A01">
        <w:rPr>
          <w:rFonts w:asciiTheme="minorBidi" w:hAnsiTheme="minorBidi"/>
          <w:b/>
          <w:bCs/>
          <w:szCs w:val="24"/>
        </w:rPr>
        <w:t xml:space="preserve"> and practice</w:t>
      </w:r>
    </w:p>
    <w:p w14:paraId="74DA6B1D" w14:textId="77777777" w:rsidR="00F9219B" w:rsidRPr="005C2A01" w:rsidRDefault="00F9219B"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To strengthen the application of the Social Model of Disability within UK health and social care practice, several improvements are required. Firstly, organisations should increase disability awareness training for healthcare professionals to challenge negative attitudes and promote more inclusive, person-centred interactions. Secondly, disabled people should be actively involved in the design, delivery and evaluation of services through co-production approaches, ensuring that policies reflect their lived experiences and needs (NHS England, 2019).</w:t>
      </w:r>
    </w:p>
    <w:p w14:paraId="7A4C32B7" w14:textId="77777777" w:rsidR="00F9219B" w:rsidRPr="005C2A01" w:rsidRDefault="00F9219B" w:rsidP="005C2A01">
      <w:pPr>
        <w:pStyle w:val="NormalWeb"/>
        <w:spacing w:line="360" w:lineRule="auto"/>
        <w:rPr>
          <w:rFonts w:asciiTheme="minorBidi" w:hAnsiTheme="minorBidi" w:cstheme="minorBidi"/>
          <w:color w:val="000000"/>
        </w:rPr>
      </w:pPr>
      <w:r w:rsidRPr="005C2A01">
        <w:rPr>
          <w:rFonts w:asciiTheme="minorBidi" w:hAnsiTheme="minorBidi" w:cstheme="minorBidi"/>
          <w:color w:val="000000"/>
        </w:rPr>
        <w:lastRenderedPageBreak/>
        <w:t>Health and social care organisations should also improve the consistent implementation of reasonable adjustments, including accessible communication, physical accessibility and flexible support options in line with the Equality Act 2010. Furthermore, services should adopt a balanced approach that combines the strengths of the Social Model with appropriate medical support, recognising that individuals may experience both social barriers and health-related challenges (Shakespeare, 2018). These actions would help create more equitable services that promote dignity, independence and meaningful participation for disabled people.</w:t>
      </w:r>
    </w:p>
    <w:p w14:paraId="5A4D465C" w14:textId="77777777" w:rsidR="006524ED" w:rsidRPr="005C2A01" w:rsidRDefault="006D2F2D" w:rsidP="005C2A01">
      <w:pPr>
        <w:spacing w:line="360" w:lineRule="auto"/>
        <w:rPr>
          <w:rFonts w:asciiTheme="minorBidi" w:hAnsiTheme="minorBidi"/>
          <w:b/>
          <w:bCs/>
          <w:szCs w:val="24"/>
        </w:rPr>
      </w:pPr>
      <w:r w:rsidRPr="005C2A01">
        <w:rPr>
          <w:rFonts w:asciiTheme="minorBidi" w:hAnsiTheme="minorBidi"/>
          <w:b/>
          <w:bCs/>
          <w:szCs w:val="24"/>
        </w:rPr>
        <w:t>Conclusion</w:t>
      </w:r>
    </w:p>
    <w:p w14:paraId="6191299C" w14:textId="7B9CFA6C" w:rsidR="006524ED" w:rsidRPr="005C2A01" w:rsidRDefault="00CE7439" w:rsidP="005C2A01">
      <w:pPr>
        <w:pStyle w:val="ListParagraph"/>
        <w:spacing w:line="360" w:lineRule="auto"/>
        <w:ind w:left="0"/>
        <w:rPr>
          <w:rFonts w:asciiTheme="minorBidi" w:hAnsiTheme="minorBidi"/>
          <w:szCs w:val="24"/>
        </w:rPr>
      </w:pPr>
      <w:r w:rsidRPr="005C2A01">
        <w:rPr>
          <w:rFonts w:asciiTheme="minorBidi" w:hAnsiTheme="minorBidi"/>
          <w:color w:val="000000"/>
          <w:szCs w:val="24"/>
        </w:rPr>
        <w:t>The Social Model of Disability has significantly changed the understanding of disability by challenging traditional medical perspectives and highlighting the role of social, environmental and organisational barriers in creating exclusion. This essay has demonstrated that the model has made an important contribution to person-centred care by promoting equality, empowerment, independence and the involvement of disabled people in decisions about their lives. However, critical discussion has shown that the model has limitations, particularly when considering the personal experiences of impairment, illness and the need for medical support. Its application within UK health and social care policy has influenced legislation, accessibility and personalised approaches, although challenges remain in achieving consistent implementation. Therefore, a balanced approach that combines the principles of the Social Model with recognition of individual health needs is essential for delivering inclusive, respectful and effective person-centred care.</w:t>
      </w:r>
    </w:p>
    <w:p w14:paraId="3C5AC4C5" w14:textId="77777777" w:rsidR="003E4ED4" w:rsidRPr="005C2A01" w:rsidRDefault="003E4ED4" w:rsidP="005C2A01">
      <w:pPr>
        <w:spacing w:line="360" w:lineRule="auto"/>
        <w:rPr>
          <w:rFonts w:asciiTheme="minorBidi" w:hAnsiTheme="minorBidi"/>
          <w:b/>
          <w:bCs/>
          <w:szCs w:val="24"/>
        </w:rPr>
      </w:pPr>
    </w:p>
    <w:p w14:paraId="62A1B056" w14:textId="77777777" w:rsidR="003E4ED4" w:rsidRPr="005C2A01" w:rsidRDefault="003E4ED4" w:rsidP="005C2A01">
      <w:pPr>
        <w:spacing w:line="360" w:lineRule="auto"/>
        <w:rPr>
          <w:rFonts w:asciiTheme="minorBidi" w:hAnsiTheme="minorBidi"/>
          <w:b/>
          <w:bCs/>
          <w:szCs w:val="24"/>
        </w:rPr>
      </w:pPr>
    </w:p>
    <w:p w14:paraId="5B855950" w14:textId="77777777" w:rsidR="003E4ED4" w:rsidRPr="005C2A01" w:rsidRDefault="003E4ED4" w:rsidP="005C2A01">
      <w:pPr>
        <w:spacing w:line="360" w:lineRule="auto"/>
        <w:rPr>
          <w:rFonts w:asciiTheme="minorBidi" w:hAnsiTheme="minorBidi"/>
          <w:b/>
          <w:bCs/>
          <w:szCs w:val="24"/>
        </w:rPr>
      </w:pPr>
    </w:p>
    <w:p w14:paraId="5A789721" w14:textId="6FF6B22D" w:rsidR="006D2F2D" w:rsidRPr="005C2A01" w:rsidRDefault="006D2F2D" w:rsidP="005C2A01">
      <w:pPr>
        <w:spacing w:line="360" w:lineRule="auto"/>
        <w:rPr>
          <w:rFonts w:asciiTheme="minorBidi" w:hAnsiTheme="minorBidi"/>
          <w:b/>
          <w:bCs/>
          <w:szCs w:val="24"/>
        </w:rPr>
      </w:pPr>
      <w:r w:rsidRPr="005C2A01">
        <w:rPr>
          <w:rFonts w:asciiTheme="minorBidi" w:hAnsiTheme="minorBidi"/>
          <w:b/>
          <w:bCs/>
          <w:szCs w:val="24"/>
        </w:rPr>
        <w:t>Reference</w:t>
      </w:r>
      <w:r w:rsidR="003E4ED4" w:rsidRPr="005C2A01">
        <w:rPr>
          <w:rFonts w:asciiTheme="minorBidi" w:hAnsiTheme="minorBidi"/>
          <w:b/>
          <w:bCs/>
          <w:szCs w:val="24"/>
        </w:rPr>
        <w:t>s</w:t>
      </w:r>
    </w:p>
    <w:p w14:paraId="11FD1584" w14:textId="77777777" w:rsidR="00022184" w:rsidRPr="005C2A01" w:rsidRDefault="00022184"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 xml:space="preserve">Barnes, C. (2012) ‘Understanding the social model of disability: Past, present and future’, in Watson, N., </w:t>
      </w:r>
      <w:proofErr w:type="spellStart"/>
      <w:r w:rsidRPr="005C2A01">
        <w:rPr>
          <w:rFonts w:asciiTheme="minorBidi" w:hAnsiTheme="minorBidi" w:cstheme="minorBidi"/>
          <w:color w:val="000000"/>
        </w:rPr>
        <w:t>Roulstone</w:t>
      </w:r>
      <w:proofErr w:type="spellEnd"/>
      <w:r w:rsidRPr="005C2A01">
        <w:rPr>
          <w:rFonts w:asciiTheme="minorBidi" w:hAnsiTheme="minorBidi" w:cstheme="minorBidi"/>
          <w:color w:val="000000"/>
        </w:rPr>
        <w:t>, A. and Thomas, C. (eds.)</w:t>
      </w:r>
      <w:r w:rsidRPr="005C2A01">
        <w:rPr>
          <w:rStyle w:val="apple-converted-space"/>
          <w:rFonts w:asciiTheme="minorBidi" w:hAnsiTheme="minorBidi" w:cstheme="minorBidi"/>
          <w:color w:val="000000"/>
        </w:rPr>
        <w:t> </w:t>
      </w:r>
      <w:r w:rsidRPr="005C2A01">
        <w:rPr>
          <w:rStyle w:val="Emphasis"/>
          <w:rFonts w:asciiTheme="minorBidi" w:hAnsiTheme="minorBidi" w:cstheme="minorBidi"/>
          <w:color w:val="000000"/>
        </w:rPr>
        <w:t>Routledge Handbook of Disability Studies</w:t>
      </w:r>
      <w:r w:rsidRPr="005C2A01">
        <w:rPr>
          <w:rFonts w:asciiTheme="minorBidi" w:hAnsiTheme="minorBidi" w:cstheme="minorBidi"/>
          <w:color w:val="000000"/>
        </w:rPr>
        <w:t>. London: Routledge, pp. 12–29.</w:t>
      </w:r>
    </w:p>
    <w:p w14:paraId="352F27E5" w14:textId="20253FDE" w:rsidR="00022184" w:rsidRPr="005C2A01" w:rsidRDefault="00022184"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lastRenderedPageBreak/>
        <w:t>Equality Act (2010)</w:t>
      </w:r>
      <w:r w:rsidRPr="005C2A01">
        <w:rPr>
          <w:rStyle w:val="apple-converted-space"/>
          <w:rFonts w:asciiTheme="minorBidi" w:hAnsiTheme="minorBidi" w:cstheme="minorBidi"/>
          <w:color w:val="000000"/>
        </w:rPr>
        <w:t> </w:t>
      </w:r>
      <w:r w:rsidRPr="005C2A01">
        <w:rPr>
          <w:rStyle w:val="Emphasis"/>
          <w:rFonts w:asciiTheme="minorBidi" w:hAnsiTheme="minorBidi" w:cstheme="minorBidi"/>
          <w:color w:val="000000"/>
        </w:rPr>
        <w:t>Equality Act 2010</w:t>
      </w:r>
      <w:r w:rsidRPr="005C2A01">
        <w:rPr>
          <w:rFonts w:asciiTheme="minorBidi" w:hAnsiTheme="minorBidi" w:cstheme="minorBidi"/>
          <w:color w:val="000000"/>
        </w:rPr>
        <w:t>. Available at:</w:t>
      </w:r>
      <w:r w:rsidRPr="005C2A01">
        <w:rPr>
          <w:rStyle w:val="apple-converted-space"/>
          <w:rFonts w:asciiTheme="minorBidi" w:hAnsiTheme="minorBidi" w:cstheme="minorBidi"/>
          <w:color w:val="000000"/>
        </w:rPr>
        <w:t> </w:t>
      </w:r>
      <w:hyperlink r:id="rId9" w:history="1">
        <w:r w:rsidRPr="005C2A01">
          <w:rPr>
            <w:rStyle w:val="Hyperlink"/>
            <w:rFonts w:asciiTheme="minorBidi" w:hAnsiTheme="minorBidi" w:cstheme="minorBidi"/>
          </w:rPr>
          <w:t>https://www.legislation.gov.uk/ukpga/2010/15/contents</w:t>
        </w:r>
      </w:hyperlink>
      <w:r w:rsidRPr="005C2A01">
        <w:rPr>
          <w:rStyle w:val="apple-converted-space"/>
          <w:rFonts w:asciiTheme="minorBidi" w:hAnsiTheme="minorBidi" w:cstheme="minorBidi"/>
          <w:color w:val="000000"/>
        </w:rPr>
        <w:t> </w:t>
      </w:r>
      <w:r w:rsidRPr="005C2A01">
        <w:rPr>
          <w:rFonts w:asciiTheme="minorBidi" w:hAnsiTheme="minorBidi" w:cstheme="minorBidi"/>
          <w:color w:val="000000"/>
        </w:rPr>
        <w:t xml:space="preserve">(Accessed: </w:t>
      </w:r>
      <w:r w:rsidRPr="005C2A01">
        <w:rPr>
          <w:rFonts w:asciiTheme="minorBidi" w:hAnsiTheme="minorBidi" w:cstheme="minorBidi"/>
          <w:color w:val="000000"/>
        </w:rPr>
        <w:t>1</w:t>
      </w:r>
      <w:r w:rsidRPr="005C2A01">
        <w:rPr>
          <w:rFonts w:asciiTheme="minorBidi" w:hAnsiTheme="minorBidi" w:cstheme="minorBidi"/>
          <w:color w:val="000000"/>
        </w:rPr>
        <w:t>August 2026).</w:t>
      </w:r>
    </w:p>
    <w:p w14:paraId="6D1A45D8" w14:textId="0831E1D0" w:rsidR="00022184" w:rsidRPr="005C2A01" w:rsidRDefault="00022184"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Health Foundation (2016)</w:t>
      </w:r>
      <w:r w:rsidRPr="005C2A01">
        <w:rPr>
          <w:rStyle w:val="apple-converted-space"/>
          <w:rFonts w:asciiTheme="minorBidi" w:hAnsiTheme="minorBidi" w:cstheme="minorBidi"/>
          <w:color w:val="000000"/>
        </w:rPr>
        <w:t> </w:t>
      </w:r>
      <w:r w:rsidRPr="005C2A01">
        <w:rPr>
          <w:rStyle w:val="Emphasis"/>
          <w:rFonts w:asciiTheme="minorBidi" w:hAnsiTheme="minorBidi" w:cstheme="minorBidi"/>
          <w:color w:val="000000"/>
        </w:rPr>
        <w:t>Person-centred care made simple: What everyone should know about person-centred care</w:t>
      </w:r>
      <w:r w:rsidRPr="005C2A01">
        <w:rPr>
          <w:rFonts w:asciiTheme="minorBidi" w:hAnsiTheme="minorBidi" w:cstheme="minorBidi"/>
          <w:color w:val="000000"/>
        </w:rPr>
        <w:t>. Available at:</w:t>
      </w:r>
      <w:r w:rsidRPr="005C2A01">
        <w:rPr>
          <w:rStyle w:val="apple-converted-space"/>
          <w:rFonts w:asciiTheme="minorBidi" w:hAnsiTheme="minorBidi" w:cstheme="minorBidi"/>
          <w:color w:val="000000"/>
        </w:rPr>
        <w:t> </w:t>
      </w:r>
      <w:hyperlink r:id="rId10" w:history="1">
        <w:r w:rsidRPr="005C2A01">
          <w:rPr>
            <w:rStyle w:val="Hyperlink"/>
            <w:rFonts w:asciiTheme="minorBidi" w:hAnsiTheme="minorBidi" w:cstheme="minorBidi"/>
          </w:rPr>
          <w:t>https://www.health.org.uk/publications/person-centred-care-made-simple</w:t>
        </w:r>
      </w:hyperlink>
      <w:r w:rsidRPr="005C2A01">
        <w:rPr>
          <w:rStyle w:val="apple-converted-space"/>
          <w:rFonts w:asciiTheme="minorBidi" w:hAnsiTheme="minorBidi" w:cstheme="minorBidi"/>
          <w:color w:val="000000"/>
        </w:rPr>
        <w:t> </w:t>
      </w:r>
      <w:r w:rsidRPr="005C2A01">
        <w:rPr>
          <w:rFonts w:asciiTheme="minorBidi" w:hAnsiTheme="minorBidi" w:cstheme="minorBidi"/>
          <w:color w:val="000000"/>
        </w:rPr>
        <w:t xml:space="preserve">(Accessed: </w:t>
      </w:r>
      <w:r w:rsidRPr="005C2A01">
        <w:rPr>
          <w:rFonts w:asciiTheme="minorBidi" w:hAnsiTheme="minorBidi" w:cstheme="minorBidi"/>
          <w:color w:val="000000"/>
        </w:rPr>
        <w:t>1</w:t>
      </w:r>
      <w:r w:rsidRPr="005C2A01">
        <w:rPr>
          <w:rFonts w:asciiTheme="minorBidi" w:hAnsiTheme="minorBidi" w:cstheme="minorBidi"/>
          <w:color w:val="000000"/>
        </w:rPr>
        <w:t xml:space="preserve"> August 2026).</w:t>
      </w:r>
    </w:p>
    <w:p w14:paraId="23F65E84" w14:textId="13676E88" w:rsidR="00022184" w:rsidRPr="005C2A01" w:rsidRDefault="00022184"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NHS England (2019)</w:t>
      </w:r>
      <w:r w:rsidRPr="005C2A01">
        <w:rPr>
          <w:rStyle w:val="apple-converted-space"/>
          <w:rFonts w:asciiTheme="minorBidi" w:hAnsiTheme="minorBidi" w:cstheme="minorBidi"/>
          <w:color w:val="000000"/>
        </w:rPr>
        <w:t> </w:t>
      </w:r>
      <w:r w:rsidRPr="005C2A01">
        <w:rPr>
          <w:rStyle w:val="Emphasis"/>
          <w:rFonts w:asciiTheme="minorBidi" w:hAnsiTheme="minorBidi" w:cstheme="minorBidi"/>
          <w:color w:val="000000"/>
        </w:rPr>
        <w:t>The NHS Long Term Plan</w:t>
      </w:r>
      <w:r w:rsidRPr="005C2A01">
        <w:rPr>
          <w:rFonts w:asciiTheme="minorBidi" w:hAnsiTheme="minorBidi" w:cstheme="minorBidi"/>
          <w:color w:val="000000"/>
        </w:rPr>
        <w:t>. Available at:</w:t>
      </w:r>
      <w:r w:rsidRPr="005C2A01">
        <w:rPr>
          <w:rStyle w:val="apple-converted-space"/>
          <w:rFonts w:asciiTheme="minorBidi" w:hAnsiTheme="minorBidi" w:cstheme="minorBidi"/>
          <w:color w:val="000000"/>
        </w:rPr>
        <w:t> </w:t>
      </w:r>
      <w:hyperlink r:id="rId11" w:history="1">
        <w:r w:rsidRPr="005C2A01">
          <w:rPr>
            <w:rStyle w:val="Hyperlink"/>
            <w:rFonts w:asciiTheme="minorBidi" w:hAnsiTheme="minorBidi" w:cstheme="minorBidi"/>
          </w:rPr>
          <w:t>https://www.longtermplan.nhs.uk/</w:t>
        </w:r>
      </w:hyperlink>
      <w:r w:rsidRPr="005C2A01">
        <w:rPr>
          <w:rStyle w:val="apple-converted-space"/>
          <w:rFonts w:asciiTheme="minorBidi" w:hAnsiTheme="minorBidi" w:cstheme="minorBidi"/>
          <w:color w:val="000000"/>
        </w:rPr>
        <w:t> </w:t>
      </w:r>
      <w:r w:rsidRPr="005C2A01">
        <w:rPr>
          <w:rFonts w:asciiTheme="minorBidi" w:hAnsiTheme="minorBidi" w:cstheme="minorBidi"/>
          <w:color w:val="000000"/>
        </w:rPr>
        <w:t xml:space="preserve">(Accessed: </w:t>
      </w:r>
      <w:r w:rsidRPr="005C2A01">
        <w:rPr>
          <w:rFonts w:asciiTheme="minorBidi" w:hAnsiTheme="minorBidi" w:cstheme="minorBidi"/>
          <w:color w:val="000000"/>
        </w:rPr>
        <w:t>1</w:t>
      </w:r>
      <w:r w:rsidRPr="005C2A01">
        <w:rPr>
          <w:rFonts w:asciiTheme="minorBidi" w:hAnsiTheme="minorBidi" w:cstheme="minorBidi"/>
          <w:color w:val="000000"/>
        </w:rPr>
        <w:t xml:space="preserve"> August 2026).</w:t>
      </w:r>
    </w:p>
    <w:p w14:paraId="3D94A8EC" w14:textId="77777777" w:rsidR="00022184" w:rsidRPr="005C2A01" w:rsidRDefault="00022184"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Oliver, M. (1990)</w:t>
      </w:r>
      <w:r w:rsidRPr="005C2A01">
        <w:rPr>
          <w:rStyle w:val="apple-converted-space"/>
          <w:rFonts w:asciiTheme="minorBidi" w:hAnsiTheme="minorBidi" w:cstheme="minorBidi"/>
          <w:color w:val="000000"/>
        </w:rPr>
        <w:t> </w:t>
      </w:r>
      <w:r w:rsidRPr="005C2A01">
        <w:rPr>
          <w:rStyle w:val="Emphasis"/>
          <w:rFonts w:asciiTheme="minorBidi" w:hAnsiTheme="minorBidi" w:cstheme="minorBidi"/>
          <w:color w:val="000000"/>
        </w:rPr>
        <w:t>The Politics of Disablement</w:t>
      </w:r>
      <w:r w:rsidRPr="005C2A01">
        <w:rPr>
          <w:rFonts w:asciiTheme="minorBidi" w:hAnsiTheme="minorBidi" w:cstheme="minorBidi"/>
          <w:color w:val="000000"/>
        </w:rPr>
        <w:t>. Basingstoke: Macmillan.</w:t>
      </w:r>
    </w:p>
    <w:p w14:paraId="0B213DB4" w14:textId="77777777" w:rsidR="00022184" w:rsidRPr="005C2A01" w:rsidRDefault="00022184"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Oliver, M. (2013) ‘The social model of disability: Thirty years on’,</w:t>
      </w:r>
      <w:r w:rsidRPr="005C2A01">
        <w:rPr>
          <w:rStyle w:val="apple-converted-space"/>
          <w:rFonts w:asciiTheme="minorBidi" w:hAnsiTheme="minorBidi" w:cstheme="minorBidi"/>
          <w:color w:val="000000"/>
        </w:rPr>
        <w:t> </w:t>
      </w:r>
      <w:r w:rsidRPr="005C2A01">
        <w:rPr>
          <w:rStyle w:val="Emphasis"/>
          <w:rFonts w:asciiTheme="minorBidi" w:hAnsiTheme="minorBidi" w:cstheme="minorBidi"/>
          <w:color w:val="000000"/>
        </w:rPr>
        <w:t>Disability &amp; Society</w:t>
      </w:r>
      <w:r w:rsidRPr="005C2A01">
        <w:rPr>
          <w:rFonts w:asciiTheme="minorBidi" w:hAnsiTheme="minorBidi" w:cstheme="minorBidi"/>
          <w:color w:val="000000"/>
        </w:rPr>
        <w:t>, 28(7), pp. 1024–1026.</w:t>
      </w:r>
    </w:p>
    <w:p w14:paraId="1548DF4F" w14:textId="77777777" w:rsidR="00022184" w:rsidRPr="005C2A01" w:rsidRDefault="00022184"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Shakespeare, T. (2018)</w:t>
      </w:r>
      <w:r w:rsidRPr="005C2A01">
        <w:rPr>
          <w:rStyle w:val="apple-converted-space"/>
          <w:rFonts w:asciiTheme="minorBidi" w:hAnsiTheme="minorBidi" w:cstheme="minorBidi"/>
          <w:color w:val="000000"/>
        </w:rPr>
        <w:t> </w:t>
      </w:r>
      <w:r w:rsidRPr="005C2A01">
        <w:rPr>
          <w:rStyle w:val="Emphasis"/>
          <w:rFonts w:asciiTheme="minorBidi" w:hAnsiTheme="minorBidi" w:cstheme="minorBidi"/>
          <w:color w:val="000000"/>
        </w:rPr>
        <w:t>Disability: The Basics</w:t>
      </w:r>
      <w:r w:rsidRPr="005C2A01">
        <w:rPr>
          <w:rFonts w:asciiTheme="minorBidi" w:hAnsiTheme="minorBidi" w:cstheme="minorBidi"/>
          <w:color w:val="000000"/>
        </w:rPr>
        <w:t>. London: Routledge.</w:t>
      </w:r>
    </w:p>
    <w:p w14:paraId="27ABA707" w14:textId="77777777" w:rsidR="00022184" w:rsidRPr="005C2A01" w:rsidRDefault="00022184"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Thomas, C. (2007)</w:t>
      </w:r>
      <w:r w:rsidRPr="005C2A01">
        <w:rPr>
          <w:rStyle w:val="apple-converted-space"/>
          <w:rFonts w:asciiTheme="minorBidi" w:hAnsiTheme="minorBidi" w:cstheme="minorBidi"/>
          <w:color w:val="000000"/>
        </w:rPr>
        <w:t> </w:t>
      </w:r>
      <w:r w:rsidRPr="005C2A01">
        <w:rPr>
          <w:rStyle w:val="Emphasis"/>
          <w:rFonts w:asciiTheme="minorBidi" w:hAnsiTheme="minorBidi" w:cstheme="minorBidi"/>
          <w:color w:val="000000"/>
        </w:rPr>
        <w:t>Sociologies of Disability and Illness: Contested Ideas in Disability Studies and Medical Sociology</w:t>
      </w:r>
      <w:r w:rsidRPr="005C2A01">
        <w:rPr>
          <w:rFonts w:asciiTheme="minorBidi" w:hAnsiTheme="minorBidi" w:cstheme="minorBidi"/>
          <w:color w:val="000000"/>
        </w:rPr>
        <w:t>. Basingstoke: Palgrave Macmillan.</w:t>
      </w:r>
    </w:p>
    <w:p w14:paraId="7F337C66" w14:textId="77777777" w:rsidR="00022184" w:rsidRPr="005C2A01" w:rsidRDefault="00022184" w:rsidP="005C2A01">
      <w:pPr>
        <w:pStyle w:val="isselectedend"/>
        <w:spacing w:line="360" w:lineRule="auto"/>
        <w:rPr>
          <w:rFonts w:asciiTheme="minorBidi" w:hAnsiTheme="minorBidi" w:cstheme="minorBidi"/>
          <w:color w:val="000000"/>
        </w:rPr>
      </w:pPr>
      <w:r w:rsidRPr="005C2A01">
        <w:rPr>
          <w:rFonts w:asciiTheme="minorBidi" w:hAnsiTheme="minorBidi" w:cstheme="minorBidi"/>
          <w:color w:val="000000"/>
        </w:rPr>
        <w:t>Union of the Physically Impaired Against Segregation (</w:t>
      </w:r>
      <w:proofErr w:type="spellStart"/>
      <w:r w:rsidRPr="005C2A01">
        <w:rPr>
          <w:rFonts w:asciiTheme="minorBidi" w:hAnsiTheme="minorBidi" w:cstheme="minorBidi"/>
          <w:color w:val="000000"/>
        </w:rPr>
        <w:t>UPIAS</w:t>
      </w:r>
      <w:proofErr w:type="spellEnd"/>
      <w:r w:rsidRPr="005C2A01">
        <w:rPr>
          <w:rFonts w:asciiTheme="minorBidi" w:hAnsiTheme="minorBidi" w:cstheme="minorBidi"/>
          <w:color w:val="000000"/>
        </w:rPr>
        <w:t>) (1976)</w:t>
      </w:r>
      <w:r w:rsidRPr="005C2A01">
        <w:rPr>
          <w:rStyle w:val="apple-converted-space"/>
          <w:rFonts w:asciiTheme="minorBidi" w:hAnsiTheme="minorBidi" w:cstheme="minorBidi"/>
          <w:color w:val="000000"/>
        </w:rPr>
        <w:t> </w:t>
      </w:r>
      <w:r w:rsidRPr="005C2A01">
        <w:rPr>
          <w:rStyle w:val="Emphasis"/>
          <w:rFonts w:asciiTheme="minorBidi" w:hAnsiTheme="minorBidi" w:cstheme="minorBidi"/>
          <w:color w:val="000000"/>
        </w:rPr>
        <w:t>Fundamental Principles of Disability</w:t>
      </w:r>
      <w:r w:rsidRPr="005C2A01">
        <w:rPr>
          <w:rFonts w:asciiTheme="minorBidi" w:hAnsiTheme="minorBidi" w:cstheme="minorBidi"/>
          <w:color w:val="000000"/>
        </w:rPr>
        <w:t>. Available at:</w:t>
      </w:r>
      <w:r w:rsidRPr="005C2A01">
        <w:rPr>
          <w:rStyle w:val="apple-converted-space"/>
          <w:rFonts w:asciiTheme="minorBidi" w:hAnsiTheme="minorBidi" w:cstheme="minorBidi"/>
          <w:color w:val="000000"/>
        </w:rPr>
        <w:t> </w:t>
      </w:r>
      <w:hyperlink r:id="rId12" w:history="1">
        <w:r w:rsidRPr="005C2A01">
          <w:rPr>
            <w:rStyle w:val="Hyperlink"/>
            <w:rFonts w:asciiTheme="minorBidi" w:hAnsiTheme="minorBidi" w:cstheme="minorBidi"/>
          </w:rPr>
          <w:t>https://disability-studies.leeds.ac.uk/wp-content/uploads/sites/40/library/UPIAS-fundamental-principles.pdf</w:t>
        </w:r>
      </w:hyperlink>
      <w:r w:rsidRPr="005C2A01">
        <w:rPr>
          <w:rStyle w:val="apple-converted-space"/>
          <w:rFonts w:asciiTheme="minorBidi" w:hAnsiTheme="minorBidi" w:cstheme="minorBidi"/>
          <w:color w:val="000000"/>
        </w:rPr>
        <w:t> </w:t>
      </w:r>
      <w:r w:rsidRPr="005C2A01">
        <w:rPr>
          <w:rFonts w:asciiTheme="minorBidi" w:hAnsiTheme="minorBidi" w:cstheme="minorBidi"/>
          <w:color w:val="000000"/>
        </w:rPr>
        <w:t>(Accessed: 3 August 2026).</w:t>
      </w:r>
    </w:p>
    <w:p w14:paraId="7538527B" w14:textId="77777777" w:rsidR="00022184" w:rsidRPr="005C2A01" w:rsidRDefault="00022184" w:rsidP="005C2A01">
      <w:pPr>
        <w:pStyle w:val="NormalWeb"/>
        <w:spacing w:line="360" w:lineRule="auto"/>
        <w:rPr>
          <w:rFonts w:asciiTheme="minorBidi" w:hAnsiTheme="minorBidi" w:cstheme="minorBidi"/>
          <w:color w:val="000000"/>
        </w:rPr>
      </w:pPr>
      <w:r w:rsidRPr="005C2A01">
        <w:rPr>
          <w:rFonts w:asciiTheme="minorBidi" w:hAnsiTheme="minorBidi" w:cstheme="minorBidi"/>
          <w:color w:val="000000"/>
        </w:rPr>
        <w:t>World Health Organization (2001)</w:t>
      </w:r>
      <w:r w:rsidRPr="005C2A01">
        <w:rPr>
          <w:rStyle w:val="apple-converted-space"/>
          <w:rFonts w:asciiTheme="minorBidi" w:hAnsiTheme="minorBidi" w:cstheme="minorBidi"/>
          <w:color w:val="000000"/>
        </w:rPr>
        <w:t> </w:t>
      </w:r>
      <w:r w:rsidRPr="005C2A01">
        <w:rPr>
          <w:rStyle w:val="Emphasis"/>
          <w:rFonts w:asciiTheme="minorBidi" w:hAnsiTheme="minorBidi" w:cstheme="minorBidi"/>
          <w:color w:val="000000"/>
        </w:rPr>
        <w:t>International Classification of Functioning, Disability and Health (</w:t>
      </w:r>
      <w:proofErr w:type="spellStart"/>
      <w:r w:rsidRPr="005C2A01">
        <w:rPr>
          <w:rStyle w:val="Emphasis"/>
          <w:rFonts w:asciiTheme="minorBidi" w:hAnsiTheme="minorBidi" w:cstheme="minorBidi"/>
          <w:color w:val="000000"/>
        </w:rPr>
        <w:t>ICF</w:t>
      </w:r>
      <w:proofErr w:type="spellEnd"/>
      <w:r w:rsidRPr="005C2A01">
        <w:rPr>
          <w:rStyle w:val="Emphasis"/>
          <w:rFonts w:asciiTheme="minorBidi" w:hAnsiTheme="minorBidi" w:cstheme="minorBidi"/>
          <w:color w:val="000000"/>
        </w:rPr>
        <w:t>)</w:t>
      </w:r>
      <w:r w:rsidRPr="005C2A01">
        <w:rPr>
          <w:rFonts w:asciiTheme="minorBidi" w:hAnsiTheme="minorBidi" w:cstheme="minorBidi"/>
          <w:color w:val="000000"/>
        </w:rPr>
        <w:t>. Available at:</w:t>
      </w:r>
      <w:r w:rsidRPr="005C2A01">
        <w:rPr>
          <w:rStyle w:val="apple-converted-space"/>
          <w:rFonts w:asciiTheme="minorBidi" w:hAnsiTheme="minorBidi" w:cstheme="minorBidi"/>
          <w:color w:val="000000"/>
        </w:rPr>
        <w:t> </w:t>
      </w:r>
      <w:hyperlink r:id="rId13" w:history="1">
        <w:r w:rsidRPr="005C2A01">
          <w:rPr>
            <w:rStyle w:val="Hyperlink"/>
            <w:rFonts w:asciiTheme="minorBidi" w:hAnsiTheme="minorBidi" w:cstheme="minorBidi"/>
          </w:rPr>
          <w:t>https://www.who.int/standards/classifications/international-classification-of-functioning-disability-and-health</w:t>
        </w:r>
      </w:hyperlink>
      <w:r w:rsidRPr="005C2A01">
        <w:rPr>
          <w:rStyle w:val="apple-converted-space"/>
          <w:rFonts w:asciiTheme="minorBidi" w:hAnsiTheme="minorBidi" w:cstheme="minorBidi"/>
          <w:color w:val="000000"/>
        </w:rPr>
        <w:t> </w:t>
      </w:r>
      <w:r w:rsidRPr="005C2A01">
        <w:rPr>
          <w:rFonts w:asciiTheme="minorBidi" w:hAnsiTheme="minorBidi" w:cstheme="minorBidi"/>
          <w:color w:val="000000"/>
        </w:rPr>
        <w:t>(Accessed: 3 August 2026).</w:t>
      </w:r>
    </w:p>
    <w:p w14:paraId="3F511BB0" w14:textId="77777777" w:rsidR="005A3E25" w:rsidRDefault="005A3E25" w:rsidP="00441F6C">
      <w:pPr>
        <w:pStyle w:val="NormalWeb"/>
        <w:rPr>
          <w:color w:val="000000"/>
        </w:rPr>
      </w:pPr>
    </w:p>
    <w:p w14:paraId="7F43C4A5" w14:textId="77777777" w:rsidR="00441F6C" w:rsidRDefault="00441F6C" w:rsidP="003E3D9F">
      <w:pPr>
        <w:pStyle w:val="NormalWeb"/>
        <w:rPr>
          <w:color w:val="000000"/>
        </w:rPr>
      </w:pPr>
    </w:p>
    <w:p w14:paraId="3F1FD9A8" w14:textId="22F0BC67" w:rsidR="004A5A64" w:rsidRPr="004A5A64" w:rsidRDefault="004A5A64" w:rsidP="004A5A64">
      <w:pPr>
        <w:spacing w:line="360" w:lineRule="auto"/>
        <w:rPr>
          <w:rFonts w:ascii="Arial" w:hAnsi="Arial" w:cs="Arial"/>
          <w:color w:val="00B0F0"/>
          <w:sz w:val="23"/>
          <w:szCs w:val="23"/>
        </w:rPr>
      </w:pPr>
    </w:p>
    <w:sectPr w:rsidR="004A5A64" w:rsidRPr="004A5A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6E1F4" w14:textId="77777777" w:rsidR="006B1D31" w:rsidRDefault="006B1D31" w:rsidP="00032A5B">
      <w:pPr>
        <w:spacing w:after="0" w:line="240" w:lineRule="auto"/>
      </w:pPr>
      <w:r>
        <w:separator/>
      </w:r>
    </w:p>
  </w:endnote>
  <w:endnote w:type="continuationSeparator" w:id="0">
    <w:p w14:paraId="361205AF" w14:textId="77777777" w:rsidR="006B1D31" w:rsidRDefault="006B1D31"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41E2F" w14:textId="77777777" w:rsidR="006B1D31" w:rsidRDefault="006B1D31" w:rsidP="00032A5B">
      <w:pPr>
        <w:spacing w:after="0" w:line="240" w:lineRule="auto"/>
      </w:pPr>
      <w:r>
        <w:separator/>
      </w:r>
    </w:p>
  </w:footnote>
  <w:footnote w:type="continuationSeparator" w:id="0">
    <w:p w14:paraId="7290350B" w14:textId="77777777" w:rsidR="006B1D31" w:rsidRDefault="006B1D31"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22184"/>
    <w:rsid w:val="00032A5B"/>
    <w:rsid w:val="000530A7"/>
    <w:rsid w:val="001333C2"/>
    <w:rsid w:val="001B0710"/>
    <w:rsid w:val="001C12B5"/>
    <w:rsid w:val="002D03CC"/>
    <w:rsid w:val="00317E3D"/>
    <w:rsid w:val="0032791E"/>
    <w:rsid w:val="003E3D9F"/>
    <w:rsid w:val="003E4ED4"/>
    <w:rsid w:val="00407082"/>
    <w:rsid w:val="00422229"/>
    <w:rsid w:val="00441F6C"/>
    <w:rsid w:val="004574DA"/>
    <w:rsid w:val="004A5A64"/>
    <w:rsid w:val="005621E3"/>
    <w:rsid w:val="0058218C"/>
    <w:rsid w:val="005A3E25"/>
    <w:rsid w:val="005C2A01"/>
    <w:rsid w:val="00637442"/>
    <w:rsid w:val="00645FB4"/>
    <w:rsid w:val="00650FB7"/>
    <w:rsid w:val="006524ED"/>
    <w:rsid w:val="006A3E63"/>
    <w:rsid w:val="006B1D31"/>
    <w:rsid w:val="006C47A9"/>
    <w:rsid w:val="006D2F2D"/>
    <w:rsid w:val="006E1FF9"/>
    <w:rsid w:val="00785886"/>
    <w:rsid w:val="007F3A6A"/>
    <w:rsid w:val="008C32AE"/>
    <w:rsid w:val="00965F40"/>
    <w:rsid w:val="009721FF"/>
    <w:rsid w:val="00991BE1"/>
    <w:rsid w:val="009E71F3"/>
    <w:rsid w:val="00A14675"/>
    <w:rsid w:val="00B3184E"/>
    <w:rsid w:val="00BC79FE"/>
    <w:rsid w:val="00C558B0"/>
    <w:rsid w:val="00C70932"/>
    <w:rsid w:val="00CD29F9"/>
    <w:rsid w:val="00CE7439"/>
    <w:rsid w:val="00CF2DE5"/>
    <w:rsid w:val="00D545BA"/>
    <w:rsid w:val="00D74D6A"/>
    <w:rsid w:val="00D94929"/>
    <w:rsid w:val="00DE4439"/>
    <w:rsid w:val="00DE641F"/>
    <w:rsid w:val="00E1322C"/>
    <w:rsid w:val="00E81204"/>
    <w:rsid w:val="00E9668F"/>
    <w:rsid w:val="00F53D5A"/>
    <w:rsid w:val="00F81510"/>
    <w:rsid w:val="00F9219B"/>
    <w:rsid w:val="00FA1054"/>
    <w:rsid w:val="00FA2DAE"/>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link w:val="Heading1Char"/>
    <w:uiPriority w:val="9"/>
    <w:qFormat/>
    <w:rsid w:val="004574DA"/>
    <w:pPr>
      <w:spacing w:before="100" w:beforeAutospacing="1" w:after="100" w:afterAutospacing="1" w:line="240" w:lineRule="auto"/>
      <w:outlineLvl w:val="0"/>
    </w:pPr>
    <w:rPr>
      <w:rFonts w:eastAsia="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character" w:customStyle="1" w:styleId="Heading1Char">
    <w:name w:val="Heading 1 Char"/>
    <w:basedOn w:val="DefaultParagraphFont"/>
    <w:link w:val="Heading1"/>
    <w:uiPriority w:val="9"/>
    <w:rsid w:val="004574DA"/>
    <w:rPr>
      <w:rFonts w:ascii="Times New Roman" w:eastAsia="Times New Roman" w:hAnsi="Times New Roman" w:cs="Times New Roman"/>
      <w:b/>
      <w:bCs/>
      <w:kern w:val="36"/>
      <w:sz w:val="48"/>
      <w:szCs w:val="48"/>
      <w:lang w:eastAsia="en-GB"/>
    </w:rPr>
  </w:style>
  <w:style w:type="paragraph" w:customStyle="1" w:styleId="pdq2pgselectionanchorcontainer">
    <w:name w:val="pdq2pg_selectionanchorcontainer"/>
    <w:basedOn w:val="Normal"/>
    <w:rsid w:val="003E3D9F"/>
    <w:pPr>
      <w:spacing w:before="100" w:beforeAutospacing="1" w:after="100" w:afterAutospacing="1" w:line="240" w:lineRule="auto"/>
    </w:pPr>
    <w:rPr>
      <w:rFonts w:eastAsia="Times New Roman" w:cs="Times New Roman"/>
      <w:szCs w:val="24"/>
      <w:lang w:eastAsia="en-GB"/>
    </w:rPr>
  </w:style>
  <w:style w:type="character" w:customStyle="1" w:styleId="apple-converted-space">
    <w:name w:val="apple-converted-space"/>
    <w:basedOn w:val="DefaultParagraphFont"/>
    <w:rsid w:val="003E3D9F"/>
  </w:style>
  <w:style w:type="character" w:styleId="Emphasis">
    <w:name w:val="Emphasis"/>
    <w:basedOn w:val="DefaultParagraphFont"/>
    <w:uiPriority w:val="20"/>
    <w:qFormat/>
    <w:rsid w:val="003E3D9F"/>
    <w:rPr>
      <w:i/>
      <w:iCs/>
    </w:rPr>
  </w:style>
  <w:style w:type="paragraph" w:styleId="NormalWeb">
    <w:name w:val="Normal (Web)"/>
    <w:basedOn w:val="Normal"/>
    <w:uiPriority w:val="99"/>
    <w:semiHidden/>
    <w:unhideWhenUsed/>
    <w:rsid w:val="003E3D9F"/>
    <w:pPr>
      <w:spacing w:before="100" w:beforeAutospacing="1" w:after="100" w:afterAutospacing="1" w:line="240" w:lineRule="auto"/>
    </w:pPr>
    <w:rPr>
      <w:rFonts w:eastAsia="Times New Roman" w:cs="Times New Roman"/>
      <w:szCs w:val="24"/>
      <w:lang w:eastAsia="en-GB"/>
    </w:rPr>
  </w:style>
  <w:style w:type="paragraph" w:customStyle="1" w:styleId="isselectedend">
    <w:name w:val="isselectedend"/>
    <w:basedOn w:val="Normal"/>
    <w:rsid w:val="00407082"/>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semiHidden/>
    <w:unhideWhenUsed/>
    <w:rsid w:val="00991BE1"/>
    <w:rPr>
      <w:color w:val="0000FF"/>
      <w:u w:val="single"/>
    </w:rPr>
  </w:style>
  <w:style w:type="character" w:styleId="FollowedHyperlink">
    <w:name w:val="FollowedHyperlink"/>
    <w:basedOn w:val="DefaultParagraphFont"/>
    <w:uiPriority w:val="99"/>
    <w:semiHidden/>
    <w:unhideWhenUsed/>
    <w:rsid w:val="00991B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who.int/standards/classifications/international-classification-of-functioning-disability-and-health"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isability-studies.leeds.ac.uk/wp-content/uploads/sites/40/library/UPIAS-fundamental-principle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ongtermplan.nhs.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ealth.org.uk/publications/person-centred-care-made-simple" TargetMode="External"/><Relationship Id="rId4" Type="http://schemas.openxmlformats.org/officeDocument/2006/relationships/webSettings" Target="webSettings.xml"/><Relationship Id="rId9" Type="http://schemas.openxmlformats.org/officeDocument/2006/relationships/hyperlink" Target="https://www.legislation.gov.uk/ukpga/2010/15/conten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2410</TotalTime>
  <Pages>8</Pages>
  <Words>2295</Words>
  <Characters>13086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Souhib Alhassan (2438046)</cp:lastModifiedBy>
  <cp:revision>33</cp:revision>
  <dcterms:created xsi:type="dcterms:W3CDTF">2026-08-03T08:42:00Z</dcterms:created>
  <dcterms:modified xsi:type="dcterms:W3CDTF">2026-08-07T07:52:00Z</dcterms:modified>
</cp:coreProperties>
</file>