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54385" w:rsidRDefault="00454385" w:rsidP="006E6C21">
      <w:pPr>
        <w:pStyle w:val="NoSpacing"/>
      </w:pPr>
      <w:bookmarkStart w:id="0" w:name="_Hlk497835518"/>
      <w:r>
        <w:t>Discuss if the Delian league turned into an Athenian empire</w:t>
      </w:r>
    </w:p>
    <w:p w:rsidR="00454385" w:rsidRDefault="00454385" w:rsidP="006E6C21">
      <w:pPr>
        <w:pStyle w:val="NoSpacing"/>
      </w:pPr>
      <w:r>
        <w:t>Charlotte Smith (1702307)</w:t>
      </w:r>
    </w:p>
    <w:p w:rsidR="00454385" w:rsidRDefault="00454385" w:rsidP="006E6C21">
      <w:pPr>
        <w:pStyle w:val="NoSpacing"/>
      </w:pPr>
      <w:r>
        <w:t xml:space="preserve">Word count: 1482 </w:t>
      </w:r>
    </w:p>
    <w:p w:rsidR="00454385" w:rsidRDefault="00454385" w:rsidP="006E6C21">
      <w:pPr>
        <w:pStyle w:val="NoSpacing"/>
      </w:pPr>
    </w:p>
    <w:p w:rsidR="002E2F5A" w:rsidRDefault="00923601" w:rsidP="006E6C21">
      <w:pPr>
        <w:pStyle w:val="NoSpacing"/>
      </w:pPr>
      <w:r>
        <w:t xml:space="preserve">The Delian league was founded in </w:t>
      </w:r>
      <w:r w:rsidR="003E07B0">
        <w:t>478</w:t>
      </w:r>
      <w:r w:rsidR="005B3AC4">
        <w:t xml:space="preserve">BC as a voluntary alliance between the </w:t>
      </w:r>
      <w:r w:rsidR="00B32B1F">
        <w:t>Greek</w:t>
      </w:r>
      <w:r w:rsidR="005B3AC4">
        <w:t xml:space="preserve"> city states </w:t>
      </w:r>
      <w:r w:rsidR="00B32B1F">
        <w:t>against the Persians.</w:t>
      </w:r>
      <w:r w:rsidR="00B32B1F">
        <w:rPr>
          <w:rStyle w:val="FootnoteReference"/>
        </w:rPr>
        <w:footnoteReference w:id="1"/>
      </w:r>
      <w:r w:rsidR="00B32B1F">
        <w:t xml:space="preserve"> The Delian league founded the beginnings of an Athenian empire with Sparta refusing to lead the Delian league therefore making way for the Athenian position of power.</w:t>
      </w:r>
      <w:r w:rsidR="0043604C">
        <w:t xml:space="preserve"> The most notable turning point in which the Delian league became an Athenian empire was in</w:t>
      </w:r>
      <w:r w:rsidR="00C959D7">
        <w:t xml:space="preserve"> </w:t>
      </w:r>
      <w:r w:rsidR="0043604C">
        <w:t>454 BC when the treasury was moved from delos.</w:t>
      </w:r>
      <w:r w:rsidR="00C959D7">
        <w:t xml:space="preserve"> However, it could be argued that the Delian league became an Athenian empire after the end of the Persian wars as Athens could no longer use the Persian threat to control the Greek city states in the league. This was in 449BC</w:t>
      </w:r>
      <w:r w:rsidR="003B6EB3">
        <w:t>.</w:t>
      </w:r>
      <w:r w:rsidR="00914F39">
        <w:t xml:space="preserve"> </w:t>
      </w:r>
      <w:r w:rsidR="0051204E">
        <w:t>Nevertheless,</w:t>
      </w:r>
      <w:r w:rsidR="00914F39">
        <w:t xml:space="preserve"> the building of the long walls showed a transformation from the Delian league to the Athenian empire in 4</w:t>
      </w:r>
      <w:r w:rsidR="0051204E">
        <w:t xml:space="preserve">61BC that was also a turning point. </w:t>
      </w:r>
    </w:p>
    <w:bookmarkEnd w:id="0"/>
    <w:p w:rsidR="00532D70" w:rsidRPr="002A173A" w:rsidRDefault="006E6C21" w:rsidP="00532D70">
      <w:pPr>
        <w:pStyle w:val="NoSpacing"/>
      </w:pPr>
      <w:r>
        <w:t xml:space="preserve">    </w:t>
      </w:r>
      <w:r w:rsidR="00532D70">
        <w:t xml:space="preserve">    </w:t>
      </w:r>
      <w:r w:rsidR="00532D70" w:rsidRPr="002A173A">
        <w:t xml:space="preserve">The movement of the treasury from </w:t>
      </w:r>
      <w:r w:rsidR="00914F39">
        <w:t>D</w:t>
      </w:r>
      <w:r w:rsidR="00532D70" w:rsidRPr="002A173A">
        <w:t>elos to Athens was one of the biggest indentations of the change from the Delian league to an Athenian empire. It showed that the Athenians had begun to shift their power as by moving the treasury it implied that the Athenians had begun to take control over the whole of the Delian league.</w:t>
      </w:r>
      <w:r w:rsidR="00FB64C6">
        <w:t xml:space="preserve"> It was the clearest sign that the power had </w:t>
      </w:r>
      <w:r w:rsidR="00F566E2">
        <w:t>begun</w:t>
      </w:r>
      <w:r w:rsidR="00FB64C6">
        <w:t xml:space="preserve"> to shift </w:t>
      </w:r>
      <w:r w:rsidR="00504C4D">
        <w:t>as it was</w:t>
      </w:r>
      <w:r w:rsidR="00F566E2">
        <w:t xml:space="preserve"> basically decided that the </w:t>
      </w:r>
      <w:r w:rsidR="00504C4D">
        <w:t>Hellenontamiae</w:t>
      </w:r>
      <w:r w:rsidR="00F566E2">
        <w:t xml:space="preserve"> no longer had any authority and Athens was about</w:t>
      </w:r>
      <w:r w:rsidR="00504C4D">
        <w:t xml:space="preserve"> to make all the decisions regarding the treasury. However according to </w:t>
      </w:r>
      <w:r w:rsidR="00846FEC">
        <w:t>Thucydides,</w:t>
      </w:r>
      <w:r w:rsidR="00504C4D">
        <w:t xml:space="preserve"> the hellenomatiae were always Athenian officials</w:t>
      </w:r>
      <w:r w:rsidR="00504C4D">
        <w:rPr>
          <w:rStyle w:val="FootnoteReference"/>
        </w:rPr>
        <w:footnoteReference w:id="2"/>
      </w:r>
      <w:r w:rsidR="00504C4D">
        <w:t xml:space="preserve"> showing that Athens was always in control of the treasury but the change in location showed that Athens was no longer being subtle in their power and showed in openly.</w:t>
      </w:r>
      <w:r w:rsidR="007932E1">
        <w:t xml:space="preserve"> Consequently, the Delian league did become an Athenian </w:t>
      </w:r>
      <w:r w:rsidR="00914F39">
        <w:t>empire through the movement of the treasury from Delos to Athens.</w:t>
      </w:r>
    </w:p>
    <w:p w:rsidR="006C4196" w:rsidRDefault="009860B9" w:rsidP="00532D70">
      <w:pPr>
        <w:pStyle w:val="NoSpacing"/>
      </w:pPr>
      <w:r>
        <w:t xml:space="preserve">       </w:t>
      </w:r>
      <w:r w:rsidR="00532D70">
        <w:t xml:space="preserve"> </w:t>
      </w:r>
      <w:bookmarkStart w:id="1" w:name="_Hlk498427933"/>
      <w:r w:rsidR="00532D70">
        <w:t>The spread of Athenian democracy across the Delian league also showed growing Athenian imperialism</w:t>
      </w:r>
      <w:r w:rsidR="00923601">
        <w:t>.</w:t>
      </w:r>
      <w:r w:rsidR="00C959D7">
        <w:t xml:space="preserve"> Democracy was seen as a key part of the Athenian empire especially as it was enforced on to allied city states that had been subdued. Although some of the city states did embrace democracy without it being forced upon them.</w:t>
      </w:r>
      <w:r w:rsidR="006751B4">
        <w:t xml:space="preserve"> The common influence of Athenian democracy was cleruchy’s which spread democracy as many Athenians went to live in theses colonies and therefore spread Athenian ideals. Athenian democracy was a great way to control the allies as major trials had to take place in Athens and therefore Athens had control of the laws in these cleruchy’s.</w:t>
      </w:r>
      <w:r w:rsidR="00F65349">
        <w:t xml:space="preserve"> Democracy involves the citizens having the right to appoint offices holders.</w:t>
      </w:r>
      <w:r w:rsidR="006E6C21">
        <w:rPr>
          <w:rStyle w:val="FootnoteReference"/>
        </w:rPr>
        <w:footnoteReference w:id="3"/>
      </w:r>
      <w:r w:rsidR="00F65349">
        <w:t xml:space="preserve"> Although the Athenian empire uses democracy on Greek states to enforce their own will, democracy was used to show the idea that the polis had a degree of autonomy and were free to make decisions on the day to day running of their polis. However not all offices were open to all citizens which enforces the idea that Athens were still in fact controlling that city states providing an illusion of freedom. Therefore, the Delian league did transform into an Athenian empire but involving democracy was a subtle shift.</w:t>
      </w:r>
      <w:bookmarkEnd w:id="1"/>
    </w:p>
    <w:p w:rsidR="00561758" w:rsidRDefault="006E6C21" w:rsidP="00532D70">
      <w:pPr>
        <w:pStyle w:val="NoSpacing"/>
      </w:pPr>
      <w:r>
        <w:t xml:space="preserve">    </w:t>
      </w:r>
      <w:r w:rsidR="00561758">
        <w:t xml:space="preserve">  </w:t>
      </w:r>
      <w:bookmarkStart w:id="2" w:name="_Hlk498427916"/>
      <w:r w:rsidR="00561758">
        <w:t>The subduing of the members of the Delian league showed a growing Athenian empire as it showed the Athenians beginning to take control and exercising their power over the Delian league.</w:t>
      </w:r>
      <w:r w:rsidR="00FB64C6">
        <w:t xml:space="preserve"> It showed they believed no one else had the power to oppose them and they were free to exercise their own control over the city states without any consequences. For example, the </w:t>
      </w:r>
      <w:r w:rsidR="00F566E2">
        <w:t>subduing of</w:t>
      </w:r>
      <w:r w:rsidR="007930CC">
        <w:t xml:space="preserve"> Mytilene </w:t>
      </w:r>
      <w:r w:rsidR="00FB64C6">
        <w:t>showed Athenian power of the other city states a</w:t>
      </w:r>
      <w:bookmarkEnd w:id="2"/>
      <w:r w:rsidR="00FF6330">
        <w:t>s they not only defeated Mytilene but had the power to decide the fate of the city state as shown by Thucydides in the Mytilene debate. Thucydides wrote that the Athenians ‘</w:t>
      </w:r>
      <w:r w:rsidR="00FF6330" w:rsidRPr="00827E0B">
        <w:rPr>
          <w:rFonts w:cstheme="minorHAnsi"/>
          <w:color w:val="000000"/>
          <w:szCs w:val="32"/>
          <w:shd w:val="clear" w:color="auto" w:fill="FFFFFF"/>
        </w:rPr>
        <w:t xml:space="preserve">determined to put to death not only the prisoners at Athens, </w:t>
      </w:r>
      <w:r w:rsidR="00FF6330" w:rsidRPr="00827E0B">
        <w:rPr>
          <w:rFonts w:cstheme="minorHAnsi"/>
          <w:color w:val="000000"/>
          <w:szCs w:val="32"/>
          <w:shd w:val="clear" w:color="auto" w:fill="FFFFFF"/>
        </w:rPr>
        <w:lastRenderedPageBreak/>
        <w:t>but the whole adult male population of Mitylene, and to make slaves of the women and children</w:t>
      </w:r>
      <w:r w:rsidR="00FF6330">
        <w:rPr>
          <w:rFonts w:cstheme="minorHAnsi"/>
          <w:color w:val="000000"/>
          <w:szCs w:val="32"/>
          <w:shd w:val="clear" w:color="auto" w:fill="FFFFFF"/>
        </w:rPr>
        <w:t>’.</w:t>
      </w:r>
      <w:r w:rsidR="00167222">
        <w:rPr>
          <w:rStyle w:val="FootnoteReference"/>
          <w:rFonts w:cstheme="minorHAnsi"/>
          <w:color w:val="000000"/>
          <w:szCs w:val="32"/>
          <w:shd w:val="clear" w:color="auto" w:fill="FFFFFF"/>
        </w:rPr>
        <w:footnoteReference w:id="4"/>
      </w:r>
      <w:r w:rsidR="00FF6330">
        <w:rPr>
          <w:rFonts w:cstheme="minorHAnsi"/>
          <w:color w:val="000000"/>
          <w:szCs w:val="32"/>
          <w:shd w:val="clear" w:color="auto" w:fill="FFFFFF"/>
        </w:rPr>
        <w:t xml:space="preserve"> However, the Athenian council changed their minds about the mass execution of the male population of Mytilene and only the main figures in the revolt was executed and the rest of the city was spared. This showed Athens as merciful but still as powerful as it showed that Athens was able to control every city state in the Delian league and they had no choice but to obey it therefore showing that the Delian league had become an Athenian empire.</w:t>
      </w:r>
    </w:p>
    <w:p w:rsidR="0035546B" w:rsidRPr="0035546B" w:rsidRDefault="00532D70" w:rsidP="0035546B">
      <w:pPr>
        <w:pStyle w:val="NoSpacing"/>
      </w:pPr>
      <w:r>
        <w:t xml:space="preserve">         </w:t>
      </w:r>
      <w:r w:rsidR="002E2F5A">
        <w:t>The Delian league became an Athenian empire</w:t>
      </w:r>
      <w:r w:rsidR="00846FEC">
        <w:t xml:space="preserve"> when it was seen that Athens was constructing defences</w:t>
      </w:r>
      <w:r w:rsidR="002E2F5A">
        <w:t xml:space="preserve">. The </w:t>
      </w:r>
      <w:r w:rsidR="00953457">
        <w:t xml:space="preserve">building of the walls from Athens to the ports </w:t>
      </w:r>
      <w:r w:rsidR="005C27E1">
        <w:t xml:space="preserve">at </w:t>
      </w:r>
      <w:r w:rsidR="003E62A1">
        <w:t xml:space="preserve">Piraeus and Phalerum </w:t>
      </w:r>
      <w:r w:rsidR="00953457">
        <w:t>showed the beginning of an Athenian empire as the need to fortify the city of Athens meant they either felt threatened or preparing for war.</w:t>
      </w:r>
      <w:r w:rsidR="0043604C">
        <w:t xml:space="preserve"> The building of the long walls was also important is showing the beginnings of an Athenian empire as they delayed the spartan envoy until the long walls were already built. </w:t>
      </w:r>
      <w:r w:rsidR="0035546B" w:rsidRPr="0035546B">
        <w:t>These showed that the Athenians had the power as they are demonstrating that they don’t answer to anyone but instead that Athens is in charge of the city states of Greece. The long walls were a key part in building an Athenian empire as they allowed the safe passage of supplies into the city even when the country of Attica</w:t>
      </w:r>
      <w:r w:rsidR="0035546B">
        <w:t xml:space="preserve"> was under threat.</w:t>
      </w:r>
      <w:r w:rsidR="0035546B">
        <w:rPr>
          <w:rStyle w:val="FootnoteReference"/>
        </w:rPr>
        <w:footnoteReference w:id="5"/>
      </w:r>
      <w:r w:rsidR="00437B1F">
        <w:t xml:space="preserve"> These defences meant that Athens sought a way to fortify the city and that they were interested in building up an Athenian empire instead of being part of the Delian league.</w:t>
      </w:r>
    </w:p>
    <w:p w:rsidR="00CC6052" w:rsidRDefault="006E6C21" w:rsidP="00561758">
      <w:pPr>
        <w:pStyle w:val="NoSpacing"/>
        <w:pBdr>
          <w:bottom w:val="single" w:sz="6" w:space="1" w:color="auto"/>
        </w:pBdr>
      </w:pPr>
      <w:r>
        <w:t xml:space="preserve">         </w:t>
      </w:r>
      <w:r w:rsidR="00532D70">
        <w:t xml:space="preserve"> </w:t>
      </w:r>
      <w:r w:rsidR="004966E0">
        <w:t xml:space="preserve">Furthermore, the building of the </w:t>
      </w:r>
      <w:r w:rsidR="00304E09">
        <w:t>Parthenon</w:t>
      </w:r>
      <w:r w:rsidR="004966E0">
        <w:t xml:space="preserve"> reinforced the idea of an Athenian empire as the money from the treasury </w:t>
      </w:r>
      <w:r w:rsidR="00304E09">
        <w:t>formerly</w:t>
      </w:r>
      <w:r w:rsidR="004966E0">
        <w:t xml:space="preserve"> at delos was used to turn Athens i</w:t>
      </w:r>
      <w:r w:rsidR="00304E09">
        <w:t xml:space="preserve">nto a golden </w:t>
      </w:r>
      <w:r w:rsidR="00561758">
        <w:t>city</w:t>
      </w:r>
      <w:r w:rsidR="00655E4E">
        <w:t xml:space="preserve">. According to Plutarch, Athens was giving the allies the security they wanted in return for the payment of the many building works including the Parthenon constructed under Pericles.  </w:t>
      </w:r>
      <w:r w:rsidR="00676EE8">
        <w:rPr>
          <w:rStyle w:val="FootnoteReference"/>
        </w:rPr>
        <w:footnoteReference w:id="6"/>
      </w:r>
      <w:r w:rsidR="00676EE8">
        <w:t>Additionally,</w:t>
      </w:r>
      <w:r w:rsidR="00655E4E">
        <w:t xml:space="preserve"> the phrase ‘everlasting glory’ was used to describe what these building works would bring especially as t</w:t>
      </w:r>
      <w:r w:rsidR="00676EE8">
        <w:t xml:space="preserve">hey commemorate the achievements won by Athens. As the word glory is used to describe Athens it does reinforce the idea of an Athenian empire as </w:t>
      </w:r>
      <w:r w:rsidR="00756AE3">
        <w:t>the centre of the Greek world.</w:t>
      </w:r>
      <w:r w:rsidR="005374C8">
        <w:t xml:space="preserve"> </w:t>
      </w:r>
      <w:r w:rsidR="00437B1F">
        <w:t>Therefore,</w:t>
      </w:r>
      <w:r w:rsidR="005374C8">
        <w:t xml:space="preserve"> showing that there was now an Athenian empire in place of the Delian league.</w:t>
      </w:r>
    </w:p>
    <w:p w:rsidR="00C23ABA" w:rsidRDefault="006D315D" w:rsidP="00561758">
      <w:pPr>
        <w:pStyle w:val="NoSpacing"/>
        <w:pBdr>
          <w:bottom w:val="single" w:sz="6" w:space="1" w:color="auto"/>
        </w:pBdr>
      </w:pPr>
      <w:r>
        <w:t xml:space="preserve">         </w:t>
      </w:r>
      <w:r w:rsidR="00C23ABA">
        <w:t xml:space="preserve">  </w:t>
      </w:r>
      <w:bookmarkStart w:id="3" w:name="_Hlk498427951"/>
      <w:r w:rsidR="00C23ABA">
        <w:t>The change of the Delian league into</w:t>
      </w:r>
      <w:r w:rsidR="00543324">
        <w:t xml:space="preserve"> an Athenian empire was down to Athens great naval power as the sea was Athens </w:t>
      </w:r>
      <w:r w:rsidR="00730BC7">
        <w:t>domain. This</w:t>
      </w:r>
      <w:r w:rsidR="006C4196">
        <w:t xml:space="preserve"> was shown by Athens ability to subdue polis through their nava</w:t>
      </w:r>
      <w:r w:rsidR="00543324">
        <w:t>l fleet and the city states could not compete against them ensuring Athens power by being the strongest naval state. Furthermore,</w:t>
      </w:r>
      <w:r w:rsidR="006C4196">
        <w:t xml:space="preserve"> the Athenian empire was shown through there naval power by their ability to control trade.</w:t>
      </w:r>
      <w:r w:rsidR="00551586">
        <w:t xml:space="preserve"> The need for grain </w:t>
      </w:r>
      <w:bookmarkEnd w:id="3"/>
      <w:r w:rsidR="006751B4">
        <w:t xml:space="preserve">meant that Athens needed to control the </w:t>
      </w:r>
      <w:r w:rsidR="00730BC7">
        <w:t>sea trade and t</w:t>
      </w:r>
      <w:r w:rsidR="006751B4">
        <w:t>heir great navy meant they were able to do this and control the city states as they possessed many triremes.</w:t>
      </w:r>
      <w:r w:rsidR="0019432B">
        <w:t xml:space="preserve"> Their highly trained sailor</w:t>
      </w:r>
      <w:r>
        <w:t>s</w:t>
      </w:r>
      <w:r>
        <w:rPr>
          <w:rStyle w:val="FootnoteReference"/>
        </w:rPr>
        <w:footnoteReference w:id="7"/>
      </w:r>
      <w:r>
        <w:t xml:space="preserve"> meant </w:t>
      </w:r>
      <w:r w:rsidR="0019432B">
        <w:t>that they not only had a large navy but also that they knew what they were doing as well as they weren’t ordinary citizens of Athens.</w:t>
      </w:r>
      <w:r w:rsidR="00F505EF">
        <w:t xml:space="preserve"> Therefore</w:t>
      </w:r>
      <w:r w:rsidR="00437B1F">
        <w:t>,</w:t>
      </w:r>
      <w:r w:rsidR="00F505EF">
        <w:t xml:space="preserve"> by having a great naval power the Athenians was no longer interested in being part of the Delian league but rather an Athenian empire.</w:t>
      </w:r>
    </w:p>
    <w:p w:rsidR="00561758" w:rsidRDefault="00561758" w:rsidP="00561758">
      <w:pPr>
        <w:pStyle w:val="NoSpacing"/>
        <w:pBdr>
          <w:bottom w:val="single" w:sz="6" w:space="1" w:color="auto"/>
        </w:pBdr>
      </w:pPr>
      <w:r>
        <w:t xml:space="preserve">           </w:t>
      </w:r>
      <w:bookmarkStart w:id="4" w:name="_Hlk498443988"/>
      <w:r w:rsidR="00527FE9">
        <w:t>After the peace of Callias</w:t>
      </w:r>
      <w:r w:rsidR="009A6489">
        <w:t xml:space="preserve"> </w:t>
      </w:r>
      <w:r w:rsidR="00527FE9">
        <w:t>was signed</w:t>
      </w:r>
      <w:r w:rsidR="009A6489">
        <w:t xml:space="preserve"> in 449</w:t>
      </w:r>
      <w:r w:rsidR="006C4196">
        <w:t>BC</w:t>
      </w:r>
      <w:r w:rsidR="00756AE3">
        <w:rPr>
          <w:rStyle w:val="FootnoteReference"/>
        </w:rPr>
        <w:footnoteReference w:id="8"/>
      </w:r>
      <w:r w:rsidR="006C4196">
        <w:t xml:space="preserve"> it was hard for Athens to justify the need t</w:t>
      </w:r>
      <w:r w:rsidR="00527FE9">
        <w:t xml:space="preserve">o keep the Delian league formed as </w:t>
      </w:r>
      <w:r w:rsidR="00756AE3">
        <w:t>Persia and mainland Greece had made peace and were no longer at war.</w:t>
      </w:r>
      <w:r w:rsidR="006C4196">
        <w:t xml:space="preserve"> Athens fuelled by the power they gained did not want to give up the control over </w:t>
      </w:r>
      <w:r w:rsidR="00756AE3">
        <w:t>the other polis in the league and t</w:t>
      </w:r>
      <w:r w:rsidR="006C4196">
        <w:t>herefore, it showed Athens as an Athenian empire as they began to force the states to stay in the league</w:t>
      </w:r>
      <w:r w:rsidR="00756AE3">
        <w:t>,</w:t>
      </w:r>
      <w:r w:rsidR="006C4196">
        <w:t xml:space="preserve"> under the control of Athens. </w:t>
      </w:r>
      <w:bookmarkEnd w:id="4"/>
      <w:r w:rsidR="00A3516D">
        <w:t xml:space="preserve">The change from a Delian league to Athenian empire meant Athens still needed an army and a navy in order to show that it was the most powerful and therefore needed the members of the Delian league to continue paying tithes of </w:t>
      </w:r>
      <w:r w:rsidR="00A3516D">
        <w:lastRenderedPageBreak/>
        <w:t>talents (money) and ships. It is also arguable that the Athenian empire became rather like the Persian empire as they both wanted to control the Hellespont. This clearly showed that the Delian league became an Athenian empire as they became feared by the members of the Delian league in their search for power.</w:t>
      </w:r>
    </w:p>
    <w:p w:rsidR="00561758" w:rsidRDefault="003122DF" w:rsidP="0043604C">
      <w:pPr>
        <w:pStyle w:val="NoSpacing"/>
        <w:pBdr>
          <w:bottom w:val="single" w:sz="6" w:space="1" w:color="auto"/>
        </w:pBdr>
      </w:pPr>
      <w:r>
        <w:t xml:space="preserve">  </w:t>
      </w:r>
      <w:r w:rsidR="00923601">
        <w:t xml:space="preserve">   In conclusion, the Delian league did turn into an Athenian empire </w:t>
      </w:r>
      <w:r w:rsidR="00C959D7">
        <w:t xml:space="preserve">as shown by the Athenian control over the allies. </w:t>
      </w:r>
      <w:r w:rsidR="00551586">
        <w:t xml:space="preserve">The moving of the treasury from delos to Athens was the first main indication of Athenian empire but the </w:t>
      </w:r>
      <w:r w:rsidR="00660DD4">
        <w:t>subjugation</w:t>
      </w:r>
      <w:r w:rsidR="00551586">
        <w:t xml:space="preserve"> of the allies definitely showed an Athenian empire rather than a Delian league. </w:t>
      </w:r>
      <w:r>
        <w:t xml:space="preserve">The building works endorsed by Pericles was another indication of Athenian imperialism that showed they were interested in building an Athenian empire rather than looking out for the Delian league. The </w:t>
      </w:r>
      <w:r w:rsidR="00B53159">
        <w:t>subduing</w:t>
      </w:r>
      <w:r>
        <w:t xml:space="preserve"> of the members of the Delian league was the last big reason showing that the Delian league had become an Athenian empire as it was no longer voluntary. </w:t>
      </w:r>
      <w:r w:rsidR="00171048">
        <w:t>Therefore,</w:t>
      </w:r>
      <w:r w:rsidR="00551586">
        <w:t xml:space="preserve"> </w:t>
      </w:r>
      <w:r w:rsidR="00B53159">
        <w:t>the Delian league had turned into an Athenian empire.</w:t>
      </w:r>
    </w:p>
    <w:p w:rsidR="006A1852" w:rsidRDefault="006A1852" w:rsidP="0043604C">
      <w:pPr>
        <w:pStyle w:val="NoSpacing"/>
        <w:pBdr>
          <w:bottom w:val="single" w:sz="6" w:space="1" w:color="auto"/>
        </w:pBdr>
      </w:pPr>
    </w:p>
    <w:p w:rsidR="006A1852" w:rsidRDefault="006A1852" w:rsidP="0043604C">
      <w:pPr>
        <w:pStyle w:val="NoSpacing"/>
        <w:pBdr>
          <w:bottom w:val="single" w:sz="6" w:space="1" w:color="auto"/>
        </w:pBdr>
      </w:pPr>
    </w:p>
    <w:p w:rsidR="00171048" w:rsidRDefault="00171048" w:rsidP="00171048">
      <w:pPr>
        <w:pStyle w:val="FootnoteText"/>
        <w:rPr>
          <w:sz w:val="22"/>
          <w:szCs w:val="22"/>
        </w:rPr>
      </w:pPr>
    </w:p>
    <w:p w:rsidR="00171048" w:rsidRPr="00171048" w:rsidRDefault="00171048" w:rsidP="00171048">
      <w:pPr>
        <w:pStyle w:val="FootnoteText"/>
        <w:rPr>
          <w:i/>
        </w:rPr>
      </w:pPr>
      <w:r w:rsidRPr="00171048">
        <w:rPr>
          <w:sz w:val="24"/>
        </w:rPr>
        <w:t>Bibliography</w:t>
      </w:r>
    </w:p>
    <w:p w:rsidR="00171048" w:rsidRPr="00B32B1F" w:rsidRDefault="00171048" w:rsidP="005A7498">
      <w:pPr>
        <w:pStyle w:val="FootnoteText"/>
        <w:numPr>
          <w:ilvl w:val="0"/>
          <w:numId w:val="1"/>
        </w:numPr>
        <w:rPr>
          <w:i/>
        </w:rPr>
      </w:pPr>
      <w:r>
        <w:rPr>
          <w:rStyle w:val="FootnoteReference"/>
        </w:rPr>
        <w:footnoteRef/>
      </w:r>
      <w:r>
        <w:t xml:space="preserve"> </w:t>
      </w:r>
      <w:r w:rsidR="005A7498">
        <w:t xml:space="preserve">oxford, </w:t>
      </w:r>
      <w:r w:rsidRPr="005A7498">
        <w:t xml:space="preserve">A Dictionary of World </w:t>
      </w:r>
      <w:r w:rsidR="005A7498">
        <w:t xml:space="preserve">History, </w:t>
      </w:r>
      <w:r w:rsidRPr="005A7498">
        <w:t xml:space="preserve">oxford </w:t>
      </w:r>
      <w:r w:rsidR="00EF08C8">
        <w:t>reference</w:t>
      </w:r>
      <w:r w:rsidR="005A7498">
        <w:t>, 2015</w:t>
      </w:r>
      <w:r w:rsidRPr="005A7498">
        <w:t>,</w:t>
      </w:r>
      <w:r w:rsidR="005A7498" w:rsidRPr="005A7498">
        <w:t xml:space="preserve"> </w:t>
      </w:r>
      <w:r w:rsidR="005A7498">
        <w:t>&lt;</w:t>
      </w:r>
      <w:hyperlink r:id="rId8" w:history="1">
        <w:r w:rsidR="005A7498" w:rsidRPr="00D50F77">
          <w:rPr>
            <w:rStyle w:val="Hyperlink"/>
          </w:rPr>
          <w:t>http://www.oxfordreference.com.ezproxy.uwtsd.ac.uk/view/10.1093/acref/9780199685691.001.0001/acref-9780199685691-e-1043?rskey=sEKh8N&amp;result=1</w:t>
        </w:r>
      </w:hyperlink>
      <w:r w:rsidR="005A7498">
        <w:t xml:space="preserve"> &gt;[</w:t>
      </w:r>
      <w:r w:rsidRPr="005A7498">
        <w:t xml:space="preserve"> </w:t>
      </w:r>
      <w:r w:rsidR="00D3725E" w:rsidRPr="005A7498">
        <w:t>8</w:t>
      </w:r>
      <w:r w:rsidR="00D3725E" w:rsidRPr="005A7498">
        <w:rPr>
          <w:vertAlign w:val="superscript"/>
        </w:rPr>
        <w:t>th</w:t>
      </w:r>
      <w:r w:rsidR="00D3725E" w:rsidRPr="005A7498">
        <w:t xml:space="preserve"> November 2017</w:t>
      </w:r>
      <w:r w:rsidR="005A7498">
        <w:t>]</w:t>
      </w:r>
    </w:p>
    <w:p w:rsidR="00171048" w:rsidRDefault="00171048" w:rsidP="00EF08C8">
      <w:pPr>
        <w:pStyle w:val="FootnoteText"/>
        <w:numPr>
          <w:ilvl w:val="0"/>
          <w:numId w:val="1"/>
        </w:numPr>
      </w:pPr>
      <w:r>
        <w:rPr>
          <w:rStyle w:val="FootnoteReference"/>
        </w:rPr>
        <w:footnoteRef/>
      </w:r>
      <w:r>
        <w:t xml:space="preserve"> Andocides, ’on the peace’, Perseus digital library, 1968,</w:t>
      </w:r>
      <w:r w:rsidR="00EF08C8" w:rsidRPr="00EF08C8">
        <w:t xml:space="preserve"> </w:t>
      </w:r>
      <w:r w:rsidR="00EF08C8">
        <w:t>&lt;</w:t>
      </w:r>
      <w:hyperlink r:id="rId9" w:history="1">
        <w:r w:rsidR="00EF08C8" w:rsidRPr="00D50F77">
          <w:rPr>
            <w:rStyle w:val="Hyperlink"/>
          </w:rPr>
          <w:t>http://www.perseus.tufts.edu/hopper/text?doc=Perseus:text:1999.01.0018:speech=3:section=38&amp;highlight=delos</w:t>
        </w:r>
      </w:hyperlink>
      <w:r w:rsidR="00EF08C8">
        <w:t xml:space="preserve"> &gt;</w:t>
      </w:r>
      <w:r>
        <w:t>[</w:t>
      </w:r>
      <w:r w:rsidR="00D3725E">
        <w:t xml:space="preserve"> 8</w:t>
      </w:r>
      <w:r w:rsidR="00D3725E" w:rsidRPr="00D3725E">
        <w:rPr>
          <w:vertAlign w:val="superscript"/>
        </w:rPr>
        <w:t>th</w:t>
      </w:r>
      <w:r w:rsidR="00D3725E">
        <w:t xml:space="preserve"> November 2017</w:t>
      </w:r>
      <w:r w:rsidR="00EF08C8">
        <w:t>]</w:t>
      </w:r>
    </w:p>
    <w:p w:rsidR="00171048" w:rsidRPr="006E6C21" w:rsidRDefault="00171048" w:rsidP="00171048">
      <w:pPr>
        <w:pStyle w:val="FootnoteText"/>
        <w:numPr>
          <w:ilvl w:val="0"/>
          <w:numId w:val="1"/>
        </w:numPr>
        <w:rPr>
          <w:i/>
        </w:rPr>
      </w:pPr>
      <w:r>
        <w:rPr>
          <w:rStyle w:val="FootnoteReference"/>
        </w:rPr>
        <w:footnoteRef/>
      </w:r>
      <w:r>
        <w:t xml:space="preserve"> </w:t>
      </w:r>
      <w:r w:rsidR="007057E5">
        <w:t xml:space="preserve">p. </w:t>
      </w:r>
      <w:proofErr w:type="gramStart"/>
      <w:r w:rsidR="007057E5">
        <w:t>J .Rhodes</w:t>
      </w:r>
      <w:proofErr w:type="gramEnd"/>
      <w:r w:rsidR="007057E5">
        <w:t xml:space="preserve"> and David Lewis, </w:t>
      </w:r>
      <w:r>
        <w:rPr>
          <w:i/>
        </w:rPr>
        <w:t>The Decrees of the Greek State</w:t>
      </w:r>
      <w:r w:rsidR="007057E5">
        <w:rPr>
          <w:i/>
        </w:rPr>
        <w:t xml:space="preserve"> </w:t>
      </w:r>
      <w:r w:rsidR="007057E5">
        <w:t>(Clarendon press; oxford)</w:t>
      </w:r>
      <w:r>
        <w:rPr>
          <w:i/>
        </w:rPr>
        <w:t xml:space="preserve"> </w:t>
      </w:r>
      <w:r w:rsidR="007057E5">
        <w:rPr>
          <w:i/>
        </w:rPr>
        <w:t>,p.</w:t>
      </w:r>
      <w:r>
        <w:rPr>
          <w:i/>
        </w:rPr>
        <w:t>528</w:t>
      </w:r>
      <w:r w:rsidR="007057E5">
        <w:rPr>
          <w:i/>
        </w:rPr>
        <w:t>.</w:t>
      </w:r>
    </w:p>
    <w:p w:rsidR="00171048" w:rsidRDefault="00171048" w:rsidP="00171048">
      <w:pPr>
        <w:pStyle w:val="NoSpacing"/>
        <w:numPr>
          <w:ilvl w:val="0"/>
          <w:numId w:val="1"/>
        </w:numPr>
        <w:pBdr>
          <w:bottom w:val="single" w:sz="6" w:space="1" w:color="auto"/>
        </w:pBdr>
      </w:pPr>
      <w:r>
        <w:rPr>
          <w:rStyle w:val="FootnoteReference"/>
        </w:rPr>
        <w:footnoteRef/>
      </w:r>
      <w:r>
        <w:t xml:space="preserve"> Thucydides, </w:t>
      </w:r>
      <w:r w:rsidR="00E97649">
        <w:t>‘the Mytilen</w:t>
      </w:r>
      <w:r w:rsidR="000041F1">
        <w:t xml:space="preserve">ean Debate </w:t>
      </w:r>
      <w:r w:rsidR="00E97649">
        <w:t>427B.C’</w:t>
      </w:r>
      <w:r w:rsidR="000041F1">
        <w:t xml:space="preserve"> &lt;</w:t>
      </w:r>
      <w:hyperlink r:id="rId10" w:history="1">
        <w:r w:rsidRPr="00033039">
          <w:rPr>
            <w:rStyle w:val="Hyperlink"/>
          </w:rPr>
          <w:t>http://www.thelatinlibrary.com/imperialism/readings/thucydides6.html</w:t>
        </w:r>
      </w:hyperlink>
      <w:r w:rsidR="000041F1">
        <w:t xml:space="preserve"> </w:t>
      </w:r>
      <w:proofErr w:type="gramStart"/>
      <w:r w:rsidR="000041F1">
        <w:t>&gt;[</w:t>
      </w:r>
      <w:proofErr w:type="gramEnd"/>
      <w:r w:rsidR="000041F1">
        <w:t xml:space="preserve"> 12 November 2017].</w:t>
      </w:r>
    </w:p>
    <w:p w:rsidR="00986A78" w:rsidRDefault="00171048" w:rsidP="005A7498">
      <w:pPr>
        <w:pStyle w:val="NoSpacing"/>
        <w:numPr>
          <w:ilvl w:val="0"/>
          <w:numId w:val="1"/>
        </w:numPr>
        <w:pBdr>
          <w:bottom w:val="single" w:sz="6" w:space="1" w:color="auto"/>
        </w:pBdr>
      </w:pPr>
      <w:r>
        <w:rPr>
          <w:rStyle w:val="FootnoteReference"/>
        </w:rPr>
        <w:footnoteRef/>
      </w:r>
      <w:r>
        <w:t xml:space="preserve"> </w:t>
      </w:r>
      <w:r w:rsidR="00986A78">
        <w:t xml:space="preserve">‘Athens-history, Athens at its zenith’, </w:t>
      </w:r>
      <w:r>
        <w:t>Britannica</w:t>
      </w:r>
      <w:r w:rsidR="00986A78">
        <w:t>, &lt;</w:t>
      </w:r>
      <w:hyperlink r:id="rId11" w:history="1">
        <w:r w:rsidR="00986A78" w:rsidRPr="00D50F77">
          <w:rPr>
            <w:rStyle w:val="Hyperlink"/>
          </w:rPr>
          <w:t>https://www.britannica.com/place/Athens/History#ref390405</w:t>
        </w:r>
      </w:hyperlink>
      <w:r w:rsidR="00986A78">
        <w:t xml:space="preserve"> </w:t>
      </w:r>
      <w:proofErr w:type="gramStart"/>
      <w:r w:rsidR="00986A78">
        <w:t>&gt;[</w:t>
      </w:r>
      <w:proofErr w:type="gramEnd"/>
      <w:r>
        <w:t xml:space="preserve"> </w:t>
      </w:r>
      <w:r w:rsidR="00D3725E">
        <w:t>9</w:t>
      </w:r>
      <w:r w:rsidR="00D3725E" w:rsidRPr="00D3725E">
        <w:rPr>
          <w:vertAlign w:val="superscript"/>
        </w:rPr>
        <w:t>th</w:t>
      </w:r>
      <w:r w:rsidR="00D3725E">
        <w:t xml:space="preserve"> November 2017</w:t>
      </w:r>
      <w:r w:rsidR="00986A78">
        <w:t>]</w:t>
      </w:r>
    </w:p>
    <w:p w:rsidR="00171048" w:rsidRDefault="00171048" w:rsidP="00171048">
      <w:pPr>
        <w:pStyle w:val="NoSpacing"/>
        <w:numPr>
          <w:ilvl w:val="0"/>
          <w:numId w:val="1"/>
        </w:numPr>
        <w:pBdr>
          <w:bottom w:val="single" w:sz="6" w:space="1" w:color="auto"/>
        </w:pBdr>
        <w:rPr>
          <w:i/>
        </w:rPr>
      </w:pPr>
      <w:r>
        <w:rPr>
          <w:rStyle w:val="FootnoteReference"/>
        </w:rPr>
        <w:footnoteRef/>
      </w:r>
      <w:r>
        <w:t xml:space="preserve"> P. J. Rhodes, </w:t>
      </w:r>
      <w:r>
        <w:rPr>
          <w:i/>
        </w:rPr>
        <w:t>a Histo</w:t>
      </w:r>
      <w:r w:rsidR="00170428">
        <w:rPr>
          <w:i/>
        </w:rPr>
        <w:t>ry of the Classical Greek World:</w:t>
      </w:r>
      <w:r>
        <w:rPr>
          <w:i/>
        </w:rPr>
        <w:t xml:space="preserve"> 478-323BC (</w:t>
      </w:r>
      <w:r w:rsidR="0034025C">
        <w:rPr>
          <w:i/>
        </w:rPr>
        <w:t>Wiley-Blackwell</w:t>
      </w:r>
      <w:r>
        <w:rPr>
          <w:i/>
        </w:rPr>
        <w:t>), p.69.</w:t>
      </w:r>
    </w:p>
    <w:p w:rsidR="00171048" w:rsidRPr="00171048" w:rsidRDefault="00171048" w:rsidP="00171048">
      <w:pPr>
        <w:pStyle w:val="NoSpacing"/>
        <w:numPr>
          <w:ilvl w:val="0"/>
          <w:numId w:val="1"/>
        </w:numPr>
        <w:pBdr>
          <w:bottom w:val="single" w:sz="6" w:space="1" w:color="auto"/>
        </w:pBdr>
      </w:pPr>
      <w:r>
        <w:rPr>
          <w:rStyle w:val="FootnoteReference"/>
        </w:rPr>
        <w:footnoteRef/>
      </w:r>
      <w:r>
        <w:t xml:space="preserve"> Simon Hornblower,</w:t>
      </w:r>
      <w:r>
        <w:rPr>
          <w:i/>
        </w:rPr>
        <w:t xml:space="preserve"> the Greek world,479-323BC </w:t>
      </w:r>
      <w:r w:rsidR="007057E5">
        <w:rPr>
          <w:i/>
        </w:rPr>
        <w:t xml:space="preserve">‘ed by Routledge’ revised </w:t>
      </w:r>
      <w:proofErr w:type="gramStart"/>
      <w:r w:rsidR="007057E5">
        <w:rPr>
          <w:i/>
        </w:rPr>
        <w:t>edition,p.</w:t>
      </w:r>
      <w:proofErr w:type="gramEnd"/>
      <w:r w:rsidR="007057E5">
        <w:rPr>
          <w:i/>
        </w:rPr>
        <w:t>157.</w:t>
      </w:r>
    </w:p>
    <w:p w:rsidR="00171048" w:rsidRDefault="00171048" w:rsidP="005A7498">
      <w:pPr>
        <w:pStyle w:val="NoSpacing"/>
        <w:numPr>
          <w:ilvl w:val="0"/>
          <w:numId w:val="1"/>
        </w:numPr>
        <w:pBdr>
          <w:bottom w:val="single" w:sz="6" w:space="1" w:color="auto"/>
        </w:pBdr>
      </w:pPr>
      <w:r>
        <w:rPr>
          <w:rStyle w:val="FootnoteReference"/>
        </w:rPr>
        <w:footnoteRef/>
      </w:r>
      <w:r>
        <w:t xml:space="preserve"> </w:t>
      </w:r>
      <w:r w:rsidR="00E97649">
        <w:t>M</w:t>
      </w:r>
      <w:r w:rsidR="00D3725E">
        <w:t xml:space="preserve">ark </w:t>
      </w:r>
      <w:r w:rsidR="00E97649">
        <w:t>Cartwright, ’Persian</w:t>
      </w:r>
      <w:r>
        <w:t xml:space="preserve"> war</w:t>
      </w:r>
      <w:r w:rsidR="00E97649">
        <w:t>’</w:t>
      </w:r>
      <w:r>
        <w:t>s</w:t>
      </w:r>
      <w:r w:rsidR="00E97649">
        <w:t>, ancient history encyclopedia,</w:t>
      </w:r>
      <w:r w:rsidR="00D3725E">
        <w:t xml:space="preserve">06 </w:t>
      </w:r>
      <w:r w:rsidR="00E97649">
        <w:t>April</w:t>
      </w:r>
      <w:r w:rsidR="00D3725E">
        <w:t xml:space="preserve"> 2016</w:t>
      </w:r>
      <w:r>
        <w:t xml:space="preserve"> </w:t>
      </w:r>
      <w:r w:rsidR="00E97649">
        <w:t>&lt;</w:t>
      </w:r>
      <w:hyperlink r:id="rId12" w:history="1">
        <w:r w:rsidR="00D3725E" w:rsidRPr="00D50F77">
          <w:rPr>
            <w:rStyle w:val="Hyperlink"/>
          </w:rPr>
          <w:t>https://www.ancient.eu/Persian_Wars/</w:t>
        </w:r>
      </w:hyperlink>
      <w:proofErr w:type="gramStart"/>
      <w:r w:rsidR="00E97649">
        <w:t>&gt;[</w:t>
      </w:r>
      <w:proofErr w:type="gramEnd"/>
      <w:r w:rsidR="00436890">
        <w:t>12 November 2017</w:t>
      </w:r>
      <w:r w:rsidR="00E97649">
        <w:t>]</w:t>
      </w:r>
    </w:p>
    <w:sectPr w:rsidR="001710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E6B14" w:rsidRDefault="002E6B14" w:rsidP="003E62A1">
      <w:pPr>
        <w:spacing w:after="0" w:line="240" w:lineRule="auto"/>
      </w:pPr>
      <w:r>
        <w:separator/>
      </w:r>
    </w:p>
  </w:endnote>
  <w:endnote w:type="continuationSeparator" w:id="0">
    <w:p w:rsidR="002E6B14" w:rsidRDefault="002E6B14" w:rsidP="003E62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E6B14" w:rsidRDefault="002E6B14" w:rsidP="003E62A1">
      <w:pPr>
        <w:spacing w:after="0" w:line="240" w:lineRule="auto"/>
      </w:pPr>
      <w:r>
        <w:separator/>
      </w:r>
    </w:p>
  </w:footnote>
  <w:footnote w:type="continuationSeparator" w:id="0">
    <w:p w:rsidR="002E6B14" w:rsidRDefault="002E6B14" w:rsidP="003E62A1">
      <w:pPr>
        <w:spacing w:after="0" w:line="240" w:lineRule="auto"/>
      </w:pPr>
      <w:r>
        <w:continuationSeparator/>
      </w:r>
    </w:p>
  </w:footnote>
  <w:footnote w:id="1">
    <w:p w:rsidR="00B32B1F" w:rsidRPr="00EF08C8" w:rsidRDefault="00B32B1F">
      <w:pPr>
        <w:pStyle w:val="FootnoteText"/>
      </w:pPr>
      <w:r w:rsidRPr="00EF08C8">
        <w:rPr>
          <w:rStyle w:val="FootnoteReference"/>
        </w:rPr>
        <w:footnoteRef/>
      </w:r>
      <w:r w:rsidRPr="00EF08C8">
        <w:t xml:space="preserve"> </w:t>
      </w:r>
      <w:r w:rsidR="00EF08C8">
        <w:t>Oxford,</w:t>
      </w:r>
      <w:r w:rsidR="00EF08C8" w:rsidRPr="00EF08C8">
        <w:t xml:space="preserve"> A</w:t>
      </w:r>
      <w:r w:rsidRPr="00EF08C8">
        <w:t xml:space="preserve"> Dictionary of World </w:t>
      </w:r>
      <w:r w:rsidR="00EF08C8">
        <w:t xml:space="preserve">History, </w:t>
      </w:r>
      <w:r w:rsidRPr="00EF08C8">
        <w:t xml:space="preserve">oxford </w:t>
      </w:r>
      <w:r w:rsidR="00EF08C8">
        <w:t>reference,2015</w:t>
      </w:r>
      <w:r w:rsidRPr="00EF08C8">
        <w:t xml:space="preserve">, </w:t>
      </w:r>
      <w:r w:rsidR="005A7498" w:rsidRPr="00EF08C8">
        <w:t>&lt;</w:t>
      </w:r>
      <w:hyperlink r:id="rId1" w:history="1">
        <w:r w:rsidR="005A7498" w:rsidRPr="00EF08C8">
          <w:rPr>
            <w:rStyle w:val="Hyperlink"/>
          </w:rPr>
          <w:t>http://www.oxfordreference.com.ezproxy.uwtsd.ac.uk/view/10.1093/acref/9780199685691.001.0001/acref-9780199685691-e-1043?rskey=sEKh8N&amp;result=1</w:t>
        </w:r>
      </w:hyperlink>
      <w:r w:rsidR="005A7498" w:rsidRPr="00EF08C8">
        <w:t xml:space="preserve"> &gt;{</w:t>
      </w:r>
      <w:r w:rsidR="00EF08C8">
        <w:t>8</w:t>
      </w:r>
      <w:r w:rsidR="00EF08C8" w:rsidRPr="00EF08C8">
        <w:rPr>
          <w:vertAlign w:val="superscript"/>
        </w:rPr>
        <w:t>th</w:t>
      </w:r>
      <w:r w:rsidR="00EF08C8">
        <w:t xml:space="preserve"> </w:t>
      </w:r>
      <w:r w:rsidR="005A7498" w:rsidRPr="00EF08C8">
        <w:t>November 2017]</w:t>
      </w:r>
    </w:p>
  </w:footnote>
  <w:footnote w:id="2">
    <w:p w:rsidR="00504C4D" w:rsidRDefault="00504C4D">
      <w:pPr>
        <w:pStyle w:val="FootnoteText"/>
      </w:pPr>
      <w:r>
        <w:rPr>
          <w:rStyle w:val="FootnoteReference"/>
        </w:rPr>
        <w:footnoteRef/>
      </w:r>
      <w:r>
        <w:t xml:space="preserve"> </w:t>
      </w:r>
      <w:r w:rsidR="00EA76D3">
        <w:t>Andocides, ’on the peace’, Perseus digital library, 1968</w:t>
      </w:r>
      <w:r w:rsidR="00EF08C8">
        <w:t xml:space="preserve"> &lt;</w:t>
      </w:r>
      <w:hyperlink r:id="rId2" w:history="1">
        <w:r w:rsidR="00EF08C8" w:rsidRPr="00D50F77">
          <w:rPr>
            <w:rStyle w:val="Hyperlink"/>
          </w:rPr>
          <w:t>http://www.perseus.tufts.edu/hopper/text?doc=Perseus:text:1999.01.0018:speech=3:section=38&amp;highlight=delos</w:t>
        </w:r>
      </w:hyperlink>
      <w:r w:rsidR="00EF08C8">
        <w:t xml:space="preserve"> &gt;</w:t>
      </w:r>
      <w:r w:rsidR="00846FEC">
        <w:t>,[</w:t>
      </w:r>
      <w:r w:rsidR="00EF08C8">
        <w:t>8</w:t>
      </w:r>
      <w:r w:rsidR="00EF08C8" w:rsidRPr="00EF08C8">
        <w:rPr>
          <w:vertAlign w:val="superscript"/>
        </w:rPr>
        <w:t>th</w:t>
      </w:r>
      <w:r w:rsidR="00EF08C8">
        <w:t xml:space="preserve"> November 2017]</w:t>
      </w:r>
    </w:p>
  </w:footnote>
  <w:footnote w:id="3">
    <w:p w:rsidR="006E6C21" w:rsidRPr="006E6C21" w:rsidRDefault="006E6C21">
      <w:pPr>
        <w:pStyle w:val="FootnoteText"/>
        <w:rPr>
          <w:i/>
        </w:rPr>
      </w:pPr>
      <w:r>
        <w:rPr>
          <w:rStyle w:val="FootnoteReference"/>
        </w:rPr>
        <w:footnoteRef/>
      </w:r>
      <w:r>
        <w:t xml:space="preserve"> </w:t>
      </w:r>
      <w:r w:rsidR="007057E5">
        <w:t xml:space="preserve">p. </w:t>
      </w:r>
      <w:proofErr w:type="gramStart"/>
      <w:r w:rsidR="007057E5">
        <w:t>J .Rhodes</w:t>
      </w:r>
      <w:proofErr w:type="gramEnd"/>
      <w:r w:rsidR="007057E5">
        <w:t xml:space="preserve"> and David Lewis</w:t>
      </w:r>
      <w:r w:rsidR="007057E5">
        <w:t>,</w:t>
      </w:r>
      <w:r w:rsidR="007057E5">
        <w:rPr>
          <w:i/>
        </w:rPr>
        <w:t xml:space="preserve"> </w:t>
      </w:r>
      <w:r>
        <w:rPr>
          <w:i/>
        </w:rPr>
        <w:t xml:space="preserve">The Decrees of the Greek State </w:t>
      </w:r>
      <w:r w:rsidR="0034025C">
        <w:t>(Clarendon press; oxford</w:t>
      </w:r>
      <w:r w:rsidR="0034025C">
        <w:rPr>
          <w:i/>
        </w:rPr>
        <w:t xml:space="preserve"> p. 528.</w:t>
      </w:r>
    </w:p>
  </w:footnote>
  <w:footnote w:id="4">
    <w:p w:rsidR="00167222" w:rsidRDefault="00167222">
      <w:pPr>
        <w:pStyle w:val="FootnoteText"/>
      </w:pPr>
      <w:r>
        <w:rPr>
          <w:rStyle w:val="FootnoteReference"/>
        </w:rPr>
        <w:footnoteRef/>
      </w:r>
      <w:r>
        <w:t xml:space="preserve"> Thu</w:t>
      </w:r>
      <w:r w:rsidR="000041F1">
        <w:t>cydides, the Mytilenean Debate 427B.C, &lt;</w:t>
      </w:r>
      <w:hyperlink r:id="rId3" w:history="1">
        <w:r w:rsidRPr="00033039">
          <w:rPr>
            <w:rStyle w:val="Hyperlink"/>
          </w:rPr>
          <w:t>http://www.thelatinlibrary.com/imperialism/readings/thucydides6.html</w:t>
        </w:r>
      </w:hyperlink>
      <w:proofErr w:type="gramStart"/>
      <w:r w:rsidR="000041F1">
        <w:t>&gt;[</w:t>
      </w:r>
      <w:proofErr w:type="gramEnd"/>
      <w:r>
        <w:t xml:space="preserve"> 12 November 2017.</w:t>
      </w:r>
      <w:r w:rsidR="000041F1">
        <w:t>]</w:t>
      </w:r>
    </w:p>
  </w:footnote>
  <w:footnote w:id="5">
    <w:p w:rsidR="0035546B" w:rsidRDefault="0035546B">
      <w:pPr>
        <w:pStyle w:val="FootnoteText"/>
      </w:pPr>
      <w:r>
        <w:rPr>
          <w:rStyle w:val="FootnoteReference"/>
        </w:rPr>
        <w:footnoteRef/>
      </w:r>
      <w:r>
        <w:t xml:space="preserve"> </w:t>
      </w:r>
      <w:r w:rsidR="005A7498">
        <w:t>‘Athens-history, Athens at its zenith’, Britannica,</w:t>
      </w:r>
      <w:r w:rsidR="005A7498" w:rsidRPr="005A7498">
        <w:t xml:space="preserve"> </w:t>
      </w:r>
      <w:r w:rsidR="005A7498">
        <w:t>&lt;</w:t>
      </w:r>
      <w:hyperlink r:id="rId4" w:history="1">
        <w:r w:rsidR="005A7498" w:rsidRPr="00D50F77">
          <w:rPr>
            <w:rStyle w:val="Hyperlink"/>
          </w:rPr>
          <w:t>https://www.britannica.com/place/Athens/History#ref390405</w:t>
        </w:r>
      </w:hyperlink>
      <w:r w:rsidR="005A7498">
        <w:t xml:space="preserve"> </w:t>
      </w:r>
      <w:proofErr w:type="gramStart"/>
      <w:r w:rsidR="005A7498">
        <w:t>&gt;[</w:t>
      </w:r>
      <w:proofErr w:type="gramEnd"/>
      <w:r w:rsidR="005A7498">
        <w:t>9</w:t>
      </w:r>
      <w:r w:rsidR="005A7498" w:rsidRPr="005A7498">
        <w:rPr>
          <w:vertAlign w:val="superscript"/>
        </w:rPr>
        <w:t>th</w:t>
      </w:r>
      <w:r w:rsidR="005A7498">
        <w:t xml:space="preserve"> November 2017]</w:t>
      </w:r>
    </w:p>
  </w:footnote>
  <w:footnote w:id="6">
    <w:p w:rsidR="00923601" w:rsidRDefault="00923601">
      <w:pPr>
        <w:pStyle w:val="FootnoteText"/>
      </w:pPr>
    </w:p>
    <w:p w:rsidR="00676EE8" w:rsidRPr="00676EE8" w:rsidRDefault="00676EE8">
      <w:pPr>
        <w:pStyle w:val="FootnoteText"/>
        <w:rPr>
          <w:i/>
        </w:rPr>
      </w:pPr>
      <w:r>
        <w:rPr>
          <w:rStyle w:val="FootnoteReference"/>
        </w:rPr>
        <w:footnoteRef/>
      </w:r>
      <w:r>
        <w:t xml:space="preserve"> P. J. Rhodes, </w:t>
      </w:r>
      <w:r>
        <w:rPr>
          <w:i/>
        </w:rPr>
        <w:t>a History of the Classical Greek World; 478-323BC (</w:t>
      </w:r>
      <w:r w:rsidR="0034025C">
        <w:rPr>
          <w:i/>
        </w:rPr>
        <w:t>Wiley-Blackwell</w:t>
      </w:r>
      <w:r>
        <w:rPr>
          <w:i/>
        </w:rPr>
        <w:t>), p.69.</w:t>
      </w:r>
    </w:p>
  </w:footnote>
  <w:footnote w:id="7">
    <w:p w:rsidR="006D315D" w:rsidRPr="00A14E89" w:rsidRDefault="006D315D">
      <w:pPr>
        <w:pStyle w:val="FootnoteText"/>
        <w:rPr>
          <w:i/>
        </w:rPr>
      </w:pPr>
      <w:r>
        <w:rPr>
          <w:rStyle w:val="FootnoteReference"/>
        </w:rPr>
        <w:footnoteRef/>
      </w:r>
      <w:r>
        <w:t xml:space="preserve"> </w:t>
      </w:r>
      <w:r w:rsidR="00A14E89">
        <w:t>Simon Hornblower,</w:t>
      </w:r>
      <w:r w:rsidR="00A14E89">
        <w:rPr>
          <w:i/>
        </w:rPr>
        <w:t xml:space="preserve"> the Greek world,479-323BC </w:t>
      </w:r>
      <w:r w:rsidR="007057E5">
        <w:rPr>
          <w:i/>
        </w:rPr>
        <w:t xml:space="preserve">‘ed by Routledge’ </w:t>
      </w:r>
      <w:r w:rsidR="007057E5">
        <w:rPr>
          <w:i/>
        </w:rPr>
        <w:t>revised edition, pg.157.</w:t>
      </w:r>
    </w:p>
  </w:footnote>
  <w:footnote w:id="8">
    <w:p w:rsidR="00756AE3" w:rsidRDefault="00756AE3">
      <w:pPr>
        <w:pStyle w:val="FootnoteText"/>
      </w:pPr>
      <w:r>
        <w:rPr>
          <w:rStyle w:val="FootnoteReference"/>
        </w:rPr>
        <w:footnoteRef/>
      </w:r>
      <w:r>
        <w:t xml:space="preserve"> </w:t>
      </w:r>
      <w:r w:rsidR="00E97649">
        <w:t>Mark Cartwright, ’Persian war’s, ancient history encyclopedia,06 April 2016 &lt;</w:t>
      </w:r>
      <w:hyperlink r:id="rId5" w:history="1">
        <w:r w:rsidR="00E97649" w:rsidRPr="00D50F77">
          <w:rPr>
            <w:rStyle w:val="Hyperlink"/>
          </w:rPr>
          <w:t>https://www.ancient.eu/Persian_Wars/</w:t>
        </w:r>
      </w:hyperlink>
      <w:proofErr w:type="gramStart"/>
      <w:r w:rsidR="00E97649">
        <w:t>&gt;[</w:t>
      </w:r>
      <w:proofErr w:type="gramEnd"/>
      <w:r w:rsidR="00E97649">
        <w:t>12 November 2017]</w:t>
      </w:r>
      <w:bookmarkStart w:id="5" w:name="_GoBack"/>
      <w:bookmarkEnd w:id="5"/>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00D8A"/>
    <w:multiLevelType w:val="hybridMultilevel"/>
    <w:tmpl w:val="94866D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F5A"/>
    <w:rsid w:val="000041F1"/>
    <w:rsid w:val="00041030"/>
    <w:rsid w:val="00041812"/>
    <w:rsid w:val="00041FC1"/>
    <w:rsid w:val="00163FCA"/>
    <w:rsid w:val="00167222"/>
    <w:rsid w:val="00170428"/>
    <w:rsid w:val="00171048"/>
    <w:rsid w:val="0019432B"/>
    <w:rsid w:val="002E2F5A"/>
    <w:rsid w:val="002E6B14"/>
    <w:rsid w:val="00304E09"/>
    <w:rsid w:val="003122DF"/>
    <w:rsid w:val="0034025C"/>
    <w:rsid w:val="0035546B"/>
    <w:rsid w:val="003B6EB3"/>
    <w:rsid w:val="003E07B0"/>
    <w:rsid w:val="003E62A1"/>
    <w:rsid w:val="0043604C"/>
    <w:rsid w:val="00436890"/>
    <w:rsid w:val="00437B1F"/>
    <w:rsid w:val="00453AA2"/>
    <w:rsid w:val="00454385"/>
    <w:rsid w:val="004966E0"/>
    <w:rsid w:val="00504C4D"/>
    <w:rsid w:val="0051204E"/>
    <w:rsid w:val="00527FE9"/>
    <w:rsid w:val="00532D70"/>
    <w:rsid w:val="005374C8"/>
    <w:rsid w:val="00543324"/>
    <w:rsid w:val="00551586"/>
    <w:rsid w:val="00561758"/>
    <w:rsid w:val="005631EF"/>
    <w:rsid w:val="005A7498"/>
    <w:rsid w:val="005B3AC4"/>
    <w:rsid w:val="005C27E1"/>
    <w:rsid w:val="00627C3A"/>
    <w:rsid w:val="00632458"/>
    <w:rsid w:val="00655E4E"/>
    <w:rsid w:val="00660DD4"/>
    <w:rsid w:val="006740A8"/>
    <w:rsid w:val="006751B4"/>
    <w:rsid w:val="00676EE8"/>
    <w:rsid w:val="006A1852"/>
    <w:rsid w:val="006A5662"/>
    <w:rsid w:val="006C06F9"/>
    <w:rsid w:val="006C4196"/>
    <w:rsid w:val="006D315D"/>
    <w:rsid w:val="006E6C21"/>
    <w:rsid w:val="007057E5"/>
    <w:rsid w:val="00730BC7"/>
    <w:rsid w:val="00756AE3"/>
    <w:rsid w:val="00761BF6"/>
    <w:rsid w:val="00785560"/>
    <w:rsid w:val="007930CC"/>
    <w:rsid w:val="007932E1"/>
    <w:rsid w:val="007B7ECD"/>
    <w:rsid w:val="007F423F"/>
    <w:rsid w:val="00846FEC"/>
    <w:rsid w:val="00914F39"/>
    <w:rsid w:val="00923601"/>
    <w:rsid w:val="00953457"/>
    <w:rsid w:val="00973D65"/>
    <w:rsid w:val="009860B9"/>
    <w:rsid w:val="00986A78"/>
    <w:rsid w:val="00994092"/>
    <w:rsid w:val="009A6489"/>
    <w:rsid w:val="00A06BE5"/>
    <w:rsid w:val="00A14E89"/>
    <w:rsid w:val="00A3516D"/>
    <w:rsid w:val="00AE6F16"/>
    <w:rsid w:val="00B0266C"/>
    <w:rsid w:val="00B32B1F"/>
    <w:rsid w:val="00B53159"/>
    <w:rsid w:val="00BF2EBD"/>
    <w:rsid w:val="00BF6EFB"/>
    <w:rsid w:val="00C23ABA"/>
    <w:rsid w:val="00C266CB"/>
    <w:rsid w:val="00C41647"/>
    <w:rsid w:val="00C84B8F"/>
    <w:rsid w:val="00C959D7"/>
    <w:rsid w:val="00C96B02"/>
    <w:rsid w:val="00CC6052"/>
    <w:rsid w:val="00D3725E"/>
    <w:rsid w:val="00E53C48"/>
    <w:rsid w:val="00E55A40"/>
    <w:rsid w:val="00E77CBA"/>
    <w:rsid w:val="00E97649"/>
    <w:rsid w:val="00EA3DD0"/>
    <w:rsid w:val="00EA76D3"/>
    <w:rsid w:val="00ED0884"/>
    <w:rsid w:val="00EF08C8"/>
    <w:rsid w:val="00F505EF"/>
    <w:rsid w:val="00F566E2"/>
    <w:rsid w:val="00F65349"/>
    <w:rsid w:val="00FB64C6"/>
    <w:rsid w:val="00FF63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3463C9"/>
  <w15:chartTrackingRefBased/>
  <w15:docId w15:val="{BEDA9AAF-2927-48B3-9AC2-4C5055235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E2F5A"/>
    <w:pPr>
      <w:spacing w:after="0" w:line="240" w:lineRule="auto"/>
    </w:pPr>
  </w:style>
  <w:style w:type="paragraph" w:styleId="FootnoteText">
    <w:name w:val="footnote text"/>
    <w:basedOn w:val="Normal"/>
    <w:link w:val="FootnoteTextChar"/>
    <w:uiPriority w:val="99"/>
    <w:semiHidden/>
    <w:unhideWhenUsed/>
    <w:rsid w:val="003E62A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E62A1"/>
    <w:rPr>
      <w:sz w:val="20"/>
      <w:szCs w:val="20"/>
    </w:rPr>
  </w:style>
  <w:style w:type="character" w:styleId="FootnoteReference">
    <w:name w:val="footnote reference"/>
    <w:basedOn w:val="DefaultParagraphFont"/>
    <w:uiPriority w:val="99"/>
    <w:semiHidden/>
    <w:unhideWhenUsed/>
    <w:rsid w:val="003E62A1"/>
    <w:rPr>
      <w:vertAlign w:val="superscript"/>
    </w:rPr>
  </w:style>
  <w:style w:type="character" w:styleId="Hyperlink">
    <w:name w:val="Hyperlink"/>
    <w:basedOn w:val="DefaultParagraphFont"/>
    <w:uiPriority w:val="99"/>
    <w:unhideWhenUsed/>
    <w:rsid w:val="00167222"/>
    <w:rPr>
      <w:color w:val="0563C1" w:themeColor="hyperlink"/>
      <w:u w:val="single"/>
    </w:rPr>
  </w:style>
  <w:style w:type="character" w:styleId="UnresolvedMention">
    <w:name w:val="Unresolved Mention"/>
    <w:basedOn w:val="DefaultParagraphFont"/>
    <w:uiPriority w:val="99"/>
    <w:semiHidden/>
    <w:unhideWhenUsed/>
    <w:rsid w:val="0016722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7753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xfordreference.com.ezproxy.uwtsd.ac.uk/view/10.1093/acref/9780199685691.001.0001/acref-9780199685691-e-1043?rskey=sEKh8N&amp;result=1"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ncient.eu/Persian_War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itannica.com/place/Athens/History#ref390405" TargetMode="External"/><Relationship Id="rId5" Type="http://schemas.openxmlformats.org/officeDocument/2006/relationships/webSettings" Target="webSettings.xml"/><Relationship Id="rId10" Type="http://schemas.openxmlformats.org/officeDocument/2006/relationships/hyperlink" Target="http://www.thelatinlibrary.com/imperialism/readings/thucydides6.html" TargetMode="External"/><Relationship Id="rId4" Type="http://schemas.openxmlformats.org/officeDocument/2006/relationships/settings" Target="settings.xml"/><Relationship Id="rId9" Type="http://schemas.openxmlformats.org/officeDocument/2006/relationships/hyperlink" Target="http://www.perseus.tufts.edu/hopper/text?doc=Perseus:text:1999.01.0018:speech=3:section=38&amp;highlight=delos"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thelatinlibrary.com/imperialism/readings/thucydides6.html" TargetMode="External"/><Relationship Id="rId2" Type="http://schemas.openxmlformats.org/officeDocument/2006/relationships/hyperlink" Target="http://www.perseus.tufts.edu/hopper/text?doc=Perseus:text:1999.01.0018:speech=3:section=38&amp;highlight=delos" TargetMode="External"/><Relationship Id="rId1" Type="http://schemas.openxmlformats.org/officeDocument/2006/relationships/hyperlink" Target="http://www.oxfordreference.com.ezproxy.uwtsd.ac.uk/view/10.1093/acref/9780199685691.001.0001/acref-9780199685691-e-1043?rskey=sEKh8N&amp;result=1" TargetMode="External"/><Relationship Id="rId5" Type="http://schemas.openxmlformats.org/officeDocument/2006/relationships/hyperlink" Target="https://www.ancient.eu/Persian_Wars/" TargetMode="External"/><Relationship Id="rId4" Type="http://schemas.openxmlformats.org/officeDocument/2006/relationships/hyperlink" Target="https://www.britannica.com/place/Athens/History#ref3904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D2C564-A2DB-4756-9CB1-2374533A3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929</TotalTime>
  <Pages>3</Pages>
  <Words>1789</Words>
  <Characters>8557</Characters>
  <Application>Microsoft Office Word</Application>
  <DocSecurity>0</DocSecurity>
  <Lines>122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Smith</dc:creator>
  <cp:keywords/>
  <dc:description/>
  <cp:lastModifiedBy>Charlotte Smith</cp:lastModifiedBy>
  <cp:revision>7</cp:revision>
  <dcterms:created xsi:type="dcterms:W3CDTF">2017-11-06T15:44:00Z</dcterms:created>
  <dcterms:modified xsi:type="dcterms:W3CDTF">2017-11-14T23:55:00Z</dcterms:modified>
</cp:coreProperties>
</file>