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83371" w14:textId="77777777" w:rsidR="004F1818" w:rsidRDefault="004F1818"/>
    <w:p w14:paraId="78FA6517" w14:textId="77777777" w:rsidR="004F1818" w:rsidRDefault="004F1818" w:rsidP="004F1818">
      <w:pPr>
        <w:jc w:val="center"/>
      </w:pPr>
    </w:p>
    <w:p w14:paraId="39052AE7" w14:textId="77777777" w:rsidR="004F1818" w:rsidRDefault="004F1818" w:rsidP="004F1818">
      <w:pPr>
        <w:jc w:val="center"/>
      </w:pPr>
    </w:p>
    <w:p w14:paraId="164BAA06" w14:textId="77777777" w:rsidR="004F1818" w:rsidRPr="004F1818" w:rsidRDefault="004F1818" w:rsidP="004F1818">
      <w:pPr>
        <w:jc w:val="center"/>
        <w:rPr>
          <w:rFonts w:ascii="Arial" w:hAnsi="Arial" w:cs="Arial"/>
          <w:sz w:val="40"/>
          <w:szCs w:val="40"/>
        </w:rPr>
      </w:pPr>
      <w:r w:rsidRPr="004F1818">
        <w:rPr>
          <w:rFonts w:ascii="Arial" w:hAnsi="Arial" w:cs="Arial"/>
          <w:sz w:val="40"/>
          <w:szCs w:val="40"/>
        </w:rPr>
        <w:t>Course: BSc (Hons) Health and Social Care</w:t>
      </w:r>
    </w:p>
    <w:p w14:paraId="6FC6744E" w14:textId="77777777" w:rsidR="004F1818" w:rsidRPr="004F1818" w:rsidRDefault="004F1818" w:rsidP="004F1818">
      <w:pPr>
        <w:jc w:val="center"/>
        <w:rPr>
          <w:rFonts w:ascii="Arial" w:hAnsi="Arial" w:cs="Arial"/>
          <w:sz w:val="40"/>
          <w:szCs w:val="40"/>
        </w:rPr>
      </w:pPr>
      <w:r w:rsidRPr="004F1818">
        <w:rPr>
          <w:rFonts w:ascii="Arial" w:hAnsi="Arial" w:cs="Arial"/>
          <w:sz w:val="40"/>
          <w:szCs w:val="40"/>
        </w:rPr>
        <w:t xml:space="preserve">Module: Independent Project </w:t>
      </w:r>
    </w:p>
    <w:p w14:paraId="2B68C328" w14:textId="77777777" w:rsidR="004F1818" w:rsidRPr="004F1818" w:rsidRDefault="004F1818" w:rsidP="004F1818">
      <w:pPr>
        <w:jc w:val="center"/>
        <w:rPr>
          <w:rFonts w:ascii="Arial" w:hAnsi="Arial" w:cs="Arial"/>
          <w:sz w:val="40"/>
          <w:szCs w:val="40"/>
        </w:rPr>
      </w:pPr>
      <w:r w:rsidRPr="004F1818">
        <w:rPr>
          <w:rFonts w:ascii="Arial" w:hAnsi="Arial" w:cs="Arial"/>
          <w:sz w:val="40"/>
          <w:szCs w:val="40"/>
        </w:rPr>
        <w:t>(BMHP6020_BIRM</w:t>
      </w:r>
    </w:p>
    <w:p w14:paraId="6D13A1E1" w14:textId="77777777" w:rsidR="004F1818" w:rsidRPr="004F1818" w:rsidRDefault="004F1818" w:rsidP="004F1818">
      <w:pPr>
        <w:jc w:val="center"/>
        <w:rPr>
          <w:rFonts w:ascii="Arial" w:hAnsi="Arial" w:cs="Arial"/>
          <w:sz w:val="40"/>
          <w:szCs w:val="40"/>
        </w:rPr>
      </w:pPr>
      <w:r w:rsidRPr="004F1818">
        <w:rPr>
          <w:rFonts w:ascii="Arial" w:hAnsi="Arial" w:cs="Arial"/>
          <w:sz w:val="40"/>
          <w:szCs w:val="40"/>
        </w:rPr>
        <w:t>Student Name: Saira Arif</w:t>
      </w:r>
    </w:p>
    <w:p w14:paraId="25363877" w14:textId="77777777" w:rsidR="004F1818" w:rsidRPr="004F1818" w:rsidRDefault="004F1818" w:rsidP="004F1818">
      <w:pPr>
        <w:jc w:val="center"/>
        <w:rPr>
          <w:rFonts w:ascii="Arial" w:hAnsi="Arial" w:cs="Arial"/>
          <w:sz w:val="40"/>
          <w:szCs w:val="40"/>
        </w:rPr>
      </w:pPr>
      <w:r w:rsidRPr="004F1818">
        <w:rPr>
          <w:rFonts w:ascii="Arial" w:hAnsi="Arial" w:cs="Arial"/>
          <w:sz w:val="40"/>
          <w:szCs w:val="40"/>
        </w:rPr>
        <w:t>Student ID: 2220569</w:t>
      </w:r>
    </w:p>
    <w:p w14:paraId="2C20ED4C" w14:textId="77777777" w:rsidR="004F1818" w:rsidRDefault="004F1818" w:rsidP="004F1818">
      <w:pPr>
        <w:jc w:val="center"/>
      </w:pPr>
    </w:p>
    <w:p w14:paraId="063C3BB4" w14:textId="77777777" w:rsidR="004F1818" w:rsidRDefault="004F1818" w:rsidP="004F1818">
      <w:pPr>
        <w:jc w:val="center"/>
      </w:pPr>
    </w:p>
    <w:p w14:paraId="4FCB199E" w14:textId="77777777" w:rsidR="004F1818" w:rsidRDefault="004F1818" w:rsidP="004F1818">
      <w:pPr>
        <w:spacing w:after="200" w:line="360" w:lineRule="auto"/>
        <w:jc w:val="both"/>
        <w:rPr>
          <w:rFonts w:ascii="Arial" w:eastAsia="Arial" w:hAnsi="Arial" w:cs="Arial"/>
          <w:b/>
          <w:sz w:val="32"/>
          <w:szCs w:val="32"/>
        </w:rPr>
      </w:pPr>
      <w:r>
        <w:rPr>
          <w:rFonts w:ascii="Arial" w:eastAsia="Arial" w:hAnsi="Arial" w:cs="Arial"/>
          <w:b/>
          <w:sz w:val="32"/>
          <w:szCs w:val="32"/>
        </w:rPr>
        <w:t>Title: The impact of the COVID-19 pandemic on Mental Health coping strategies among Healthcare Workers.</w:t>
      </w:r>
    </w:p>
    <w:p w14:paraId="3DA2A933" w14:textId="77777777" w:rsidR="004F1818" w:rsidRDefault="004F1818" w:rsidP="004F1818"/>
    <w:p w14:paraId="2441EB76" w14:textId="77777777" w:rsidR="004F1818" w:rsidRDefault="004F1818" w:rsidP="004F1818">
      <w:pPr>
        <w:rPr>
          <w:b/>
          <w:sz w:val="32"/>
          <w:szCs w:val="32"/>
        </w:rPr>
      </w:pPr>
    </w:p>
    <w:p w14:paraId="0FF2D0DB" w14:textId="77777777" w:rsidR="004F1818" w:rsidRDefault="004F1818" w:rsidP="004F1818">
      <w:pPr>
        <w:rPr>
          <w:b/>
          <w:sz w:val="32"/>
          <w:szCs w:val="32"/>
        </w:rPr>
      </w:pPr>
    </w:p>
    <w:p w14:paraId="714323DE" w14:textId="77777777" w:rsidR="004F1818" w:rsidRDefault="004F1818" w:rsidP="004F1818">
      <w:pPr>
        <w:rPr>
          <w:b/>
          <w:sz w:val="32"/>
          <w:szCs w:val="32"/>
        </w:rPr>
      </w:pPr>
    </w:p>
    <w:p w14:paraId="37C3F256" w14:textId="77777777" w:rsidR="004F1818" w:rsidRDefault="004F1818" w:rsidP="004F1818">
      <w:pPr>
        <w:rPr>
          <w:b/>
          <w:sz w:val="32"/>
          <w:szCs w:val="32"/>
        </w:rPr>
      </w:pPr>
    </w:p>
    <w:p w14:paraId="73349C4A" w14:textId="77777777" w:rsidR="004F1818" w:rsidRDefault="004F1818" w:rsidP="004F1818">
      <w:pPr>
        <w:jc w:val="center"/>
      </w:pPr>
      <w:r>
        <w:br w:type="page"/>
      </w:r>
    </w:p>
    <w:p w14:paraId="445CB4EC" w14:textId="77777777" w:rsidR="004F1818" w:rsidRPr="009E0C2E" w:rsidRDefault="004F1818" w:rsidP="004F1818">
      <w:pPr>
        <w:pStyle w:val="Heading1"/>
        <w:spacing w:line="480" w:lineRule="auto"/>
        <w:ind w:left="0"/>
        <w:rPr>
          <w:rFonts w:cs="Arial"/>
          <w:b w:val="0"/>
          <w:color w:val="000000" w:themeColor="text1"/>
          <w:sz w:val="22"/>
          <w:szCs w:val="22"/>
        </w:rPr>
      </w:pPr>
      <w:r w:rsidRPr="00F916AC">
        <w:rPr>
          <w:rFonts w:cs="Arial"/>
          <w:color w:val="000000" w:themeColor="text1"/>
          <w:sz w:val="22"/>
          <w:szCs w:val="22"/>
        </w:rPr>
        <w:lastRenderedPageBreak/>
        <w:t>CHAPTER 1: Introduction (1,000 words approx.)</w:t>
      </w:r>
    </w:p>
    <w:p w14:paraId="3395AD42" w14:textId="77777777" w:rsidR="004F1818" w:rsidRPr="008D11CD" w:rsidRDefault="004F1818" w:rsidP="004F1818">
      <w:pPr>
        <w:pStyle w:val="Heading2"/>
        <w:rPr>
          <w:b/>
        </w:rPr>
      </w:pPr>
      <w:r w:rsidRPr="008D11CD">
        <w:rPr>
          <w:rStyle w:val="normaltextrun"/>
          <w:rFonts w:ascii="Arial" w:hAnsi="Arial" w:cs="Arial"/>
          <w:b/>
          <w:color w:val="000000" w:themeColor="text1"/>
          <w:sz w:val="22"/>
          <w:szCs w:val="22"/>
        </w:rPr>
        <w:t>1.1 Introduction (250 words approx.)</w:t>
      </w:r>
      <w:r w:rsidRPr="008D11CD">
        <w:rPr>
          <w:rStyle w:val="eop"/>
          <w:rFonts w:ascii="Arial" w:hAnsi="Arial" w:cs="Arial"/>
          <w:b/>
          <w:color w:val="000000" w:themeColor="text1"/>
          <w:sz w:val="22"/>
          <w:szCs w:val="22"/>
        </w:rPr>
        <w:t> </w:t>
      </w:r>
    </w:p>
    <w:p w14:paraId="1024898E" w14:textId="77777777" w:rsidR="004F1818" w:rsidRPr="00F916AC" w:rsidRDefault="004F1818" w:rsidP="004F1818">
      <w:pPr>
        <w:pStyle w:val="NormalWeb"/>
        <w:spacing w:line="480" w:lineRule="auto"/>
        <w:rPr>
          <w:rFonts w:ascii="Arial" w:hAnsi="Arial" w:cs="Arial"/>
          <w:color w:val="000000" w:themeColor="text1"/>
          <w:sz w:val="22"/>
          <w:szCs w:val="22"/>
        </w:rPr>
      </w:pPr>
      <w:r w:rsidRPr="00F916AC">
        <w:rPr>
          <w:rStyle w:val="eop"/>
          <w:rFonts w:ascii="Arial" w:hAnsi="Arial" w:cs="Arial"/>
          <w:color w:val="000000" w:themeColor="text1"/>
          <w:sz w:val="22"/>
          <w:szCs w:val="22"/>
        </w:rPr>
        <w:t> </w:t>
      </w:r>
      <w:r w:rsidRPr="00F916AC">
        <w:rPr>
          <w:rFonts w:ascii="Arial" w:hAnsi="Arial" w:cs="Arial"/>
          <w:color w:val="000000" w:themeColor="text1"/>
          <w:sz w:val="22"/>
          <w:szCs w:val="22"/>
        </w:rPr>
        <w:t>The COVID-19 pandemic has had a strong and lasting effect on health systems around the world, creating heavy mental and emotional pressure on healthcare workers. Since early 2020, Health care workers have faced extremely challenging conditions, such as caring for many seriously ill patients, experiencing high patient deaths, dealing with fast-changing guidelines, and working without enough protective equipment. These difficulties were made worse by long hours and increased workloads (</w:t>
      </w:r>
      <w:proofErr w:type="spellStart"/>
      <w:r w:rsidRPr="00F916AC">
        <w:rPr>
          <w:rFonts w:ascii="Arial" w:hAnsi="Arial" w:cs="Arial"/>
          <w:color w:val="000000" w:themeColor="text1"/>
          <w:sz w:val="22"/>
          <w:szCs w:val="22"/>
        </w:rPr>
        <w:t>Shanafelt</w:t>
      </w:r>
      <w:proofErr w:type="spellEnd"/>
      <w:r w:rsidRPr="00F916AC">
        <w:rPr>
          <w:rFonts w:ascii="Arial" w:hAnsi="Arial" w:cs="Arial"/>
          <w:color w:val="000000" w:themeColor="text1"/>
          <w:sz w:val="22"/>
          <w:szCs w:val="22"/>
        </w:rPr>
        <w:t xml:space="preserve"> et al., 2020). As a result, many Health care workers have experienced high levels of anxiety, burnout, emotional exhaustion, and post-traumatic stress symptoms (</w:t>
      </w:r>
      <w:proofErr w:type="spellStart"/>
      <w:r w:rsidRPr="00F916AC">
        <w:rPr>
          <w:rFonts w:ascii="Arial" w:hAnsi="Arial" w:cs="Arial"/>
          <w:color w:val="000000" w:themeColor="text1"/>
          <w:sz w:val="22"/>
          <w:szCs w:val="22"/>
        </w:rPr>
        <w:t>Mokaya</w:t>
      </w:r>
      <w:proofErr w:type="spellEnd"/>
      <w:r w:rsidRPr="00F916AC">
        <w:rPr>
          <w:rFonts w:ascii="Arial" w:hAnsi="Arial" w:cs="Arial"/>
          <w:color w:val="000000" w:themeColor="text1"/>
          <w:sz w:val="22"/>
          <w:szCs w:val="22"/>
        </w:rPr>
        <w:t xml:space="preserve"> et al., 2025; Rossi et al., 2023).</w:t>
      </w:r>
    </w:p>
    <w:p w14:paraId="64BDD87D" w14:textId="77777777" w:rsidR="004F1818" w:rsidRPr="00F916AC" w:rsidRDefault="004F1818" w:rsidP="004F1818">
      <w:pPr>
        <w:pStyle w:val="NormalWeb"/>
        <w:spacing w:line="480" w:lineRule="auto"/>
        <w:rPr>
          <w:rFonts w:ascii="Arial" w:hAnsi="Arial" w:cs="Arial"/>
          <w:color w:val="000000" w:themeColor="text1"/>
          <w:sz w:val="22"/>
          <w:szCs w:val="22"/>
        </w:rPr>
      </w:pPr>
      <w:r w:rsidRPr="00F916AC">
        <w:rPr>
          <w:rFonts w:ascii="Arial" w:hAnsi="Arial" w:cs="Arial"/>
          <w:color w:val="000000" w:themeColor="text1"/>
          <w:sz w:val="22"/>
          <w:szCs w:val="22"/>
        </w:rPr>
        <w:t>Although many studies have shown how much the pandemic affected Health care workers mental health, there is less clear evidence about the coping strategies they used during different stages of the pandemic. Early research suggests that Health care workers relied on task-focused coping, social support, resilience practices, and organisational programmes to manage stress. However, it is still uncertain how effective these coping strategies were in reducing psychological distress (Frias et al., 2025).</w:t>
      </w:r>
    </w:p>
    <w:p w14:paraId="62270D53" w14:textId="77777777" w:rsidR="004F1818" w:rsidRPr="00F916AC" w:rsidRDefault="004F1818" w:rsidP="004F1818">
      <w:pPr>
        <w:pStyle w:val="NormalWeb"/>
        <w:spacing w:line="480" w:lineRule="auto"/>
        <w:rPr>
          <w:rFonts w:ascii="Arial" w:hAnsi="Arial" w:cs="Arial"/>
          <w:color w:val="000000" w:themeColor="text1"/>
          <w:sz w:val="22"/>
          <w:szCs w:val="22"/>
        </w:rPr>
      </w:pPr>
      <w:r w:rsidRPr="00F916AC">
        <w:rPr>
          <w:rFonts w:ascii="Arial" w:hAnsi="Arial" w:cs="Arial"/>
          <w:color w:val="000000" w:themeColor="text1"/>
          <w:sz w:val="22"/>
          <w:szCs w:val="22"/>
        </w:rPr>
        <w:t>This research is important because many Healthcare workers continue to experience stress and mental health problems, even years after the most intense period of the pandemic. Recent long-term studies show that these symptoms have continued well beyond the early stages of COVID-19 (Maunder et al., 2024). Understanding which coping strategies helped and which did not can guide future planning, public health preparedness, and workplace policies.</w:t>
      </w:r>
    </w:p>
    <w:p w14:paraId="0F3701CC" w14:textId="77777777" w:rsidR="004F1818" w:rsidRPr="00F916AC" w:rsidRDefault="004F1818" w:rsidP="004F1818">
      <w:pPr>
        <w:pStyle w:val="NormalWeb"/>
        <w:spacing w:line="480" w:lineRule="auto"/>
        <w:rPr>
          <w:rFonts w:ascii="Arial" w:hAnsi="Arial" w:cs="Arial"/>
          <w:color w:val="000000" w:themeColor="text1"/>
          <w:sz w:val="22"/>
          <w:szCs w:val="22"/>
        </w:rPr>
      </w:pPr>
      <w:r w:rsidRPr="00F916AC">
        <w:rPr>
          <w:rFonts w:ascii="Arial" w:hAnsi="Arial" w:cs="Arial"/>
          <w:color w:val="000000" w:themeColor="text1"/>
          <w:sz w:val="22"/>
          <w:szCs w:val="22"/>
        </w:rPr>
        <w:t xml:space="preserve">This dissertation is organised into five chapters. Chapter 1 introduces the topic and explains the background and reasons for the study. Chapter 2 presents historical and theoretical context. Chapter 3 outlines the research methods. Chapter 4 reports the findings from the </w:t>
      </w:r>
      <w:r w:rsidRPr="00F916AC">
        <w:rPr>
          <w:rFonts w:ascii="Arial" w:hAnsi="Arial" w:cs="Arial"/>
          <w:color w:val="000000" w:themeColor="text1"/>
          <w:sz w:val="22"/>
          <w:szCs w:val="22"/>
        </w:rPr>
        <w:lastRenderedPageBreak/>
        <w:t>thematic synthesis. Chapter 5 discusses the conclusions and gives recommendations for practice, policy, and future research.</w:t>
      </w:r>
    </w:p>
    <w:p w14:paraId="4C4C9E04" w14:textId="77777777" w:rsidR="004F1818" w:rsidRPr="009E0C2E" w:rsidRDefault="004F1818" w:rsidP="004F1818">
      <w:pPr>
        <w:pStyle w:val="Heading2"/>
        <w:rPr>
          <w:rFonts w:ascii="Arial" w:hAnsi="Arial" w:cs="Arial"/>
          <w:b/>
          <w:color w:val="000000" w:themeColor="text1"/>
        </w:rPr>
      </w:pPr>
    </w:p>
    <w:p w14:paraId="3256CE0E" w14:textId="77777777" w:rsidR="004F1818" w:rsidRPr="008D11CD" w:rsidRDefault="004F1818" w:rsidP="004F1818">
      <w:pPr>
        <w:pStyle w:val="Heading2"/>
        <w:rPr>
          <w:rFonts w:ascii="Arial" w:hAnsi="Arial" w:cs="Arial"/>
          <w:b/>
          <w:color w:val="000000" w:themeColor="text1"/>
        </w:rPr>
      </w:pPr>
      <w:r w:rsidRPr="008D11CD">
        <w:rPr>
          <w:rStyle w:val="normaltextrun"/>
          <w:rFonts w:ascii="Arial" w:hAnsi="Arial" w:cs="Arial"/>
          <w:b/>
          <w:color w:val="000000" w:themeColor="text1"/>
        </w:rPr>
        <w:t>1.2 Definitions and Terminology (250 words approx.)</w:t>
      </w:r>
      <w:r w:rsidRPr="008D11CD">
        <w:rPr>
          <w:rStyle w:val="eop"/>
          <w:rFonts w:ascii="Arial" w:hAnsi="Arial" w:cs="Arial"/>
          <w:b/>
          <w:color w:val="000000" w:themeColor="text1"/>
        </w:rPr>
        <w:t> </w:t>
      </w:r>
    </w:p>
    <w:p w14:paraId="472BB751" w14:textId="77777777" w:rsidR="004F1818" w:rsidRPr="00F916AC" w:rsidRDefault="004F1818" w:rsidP="004F1818">
      <w:pPr>
        <w:pStyle w:val="NormalWeb"/>
        <w:spacing w:line="480" w:lineRule="auto"/>
        <w:rPr>
          <w:rFonts w:ascii="Arial" w:hAnsi="Arial" w:cs="Arial"/>
          <w:color w:val="000000" w:themeColor="text1"/>
          <w:sz w:val="22"/>
          <w:szCs w:val="22"/>
        </w:rPr>
      </w:pPr>
      <w:r w:rsidRPr="00F916AC">
        <w:rPr>
          <w:rFonts w:ascii="Arial" w:hAnsi="Arial" w:cs="Arial"/>
          <w:color w:val="000000" w:themeColor="text1"/>
          <w:sz w:val="22"/>
          <w:szCs w:val="22"/>
        </w:rPr>
        <w:t>To support clear understanding, this dissertation explains the key terms used throughout the research</w:t>
      </w:r>
      <w:r w:rsidRPr="00A20CDF">
        <w:rPr>
          <w:rFonts w:ascii="Arial" w:hAnsi="Arial" w:cs="Arial"/>
          <w:b/>
          <w:color w:val="000000" w:themeColor="text1"/>
          <w:sz w:val="22"/>
          <w:szCs w:val="22"/>
        </w:rPr>
        <w:t xml:space="preserve">. </w:t>
      </w:r>
      <w:r w:rsidRPr="00A20CDF">
        <w:rPr>
          <w:rStyle w:val="Strong"/>
          <w:rFonts w:ascii="Arial" w:eastAsia="Calibri Light" w:hAnsi="Arial" w:cs="Arial"/>
          <w:color w:val="000000" w:themeColor="text1"/>
          <w:sz w:val="22"/>
          <w:szCs w:val="22"/>
        </w:rPr>
        <w:t>Healthcare Workers</w:t>
      </w:r>
      <w:r w:rsidRPr="00F916AC">
        <w:rPr>
          <w:rFonts w:ascii="Arial" w:hAnsi="Arial" w:cs="Arial"/>
          <w:color w:val="000000" w:themeColor="text1"/>
          <w:sz w:val="22"/>
          <w:szCs w:val="22"/>
        </w:rPr>
        <w:t xml:space="preserve"> refers to all individuals who provide health or social care services. This includes nurses, doctors, allied health professionals, community health workers, and support staff who assist in patient care (World Health Organization, 2022). </w:t>
      </w:r>
      <w:r w:rsidRPr="00A20CDF">
        <w:rPr>
          <w:rStyle w:val="Strong"/>
          <w:rFonts w:ascii="Arial" w:eastAsia="Calibri Light" w:hAnsi="Arial" w:cs="Arial"/>
          <w:color w:val="000000" w:themeColor="text1"/>
          <w:sz w:val="22"/>
          <w:szCs w:val="22"/>
        </w:rPr>
        <w:t>Mental Health</w:t>
      </w:r>
      <w:r w:rsidRPr="00F916AC">
        <w:rPr>
          <w:rFonts w:ascii="Arial" w:hAnsi="Arial" w:cs="Arial"/>
          <w:color w:val="000000" w:themeColor="text1"/>
          <w:sz w:val="22"/>
          <w:szCs w:val="22"/>
        </w:rPr>
        <w:t xml:space="preserve"> is understood as a state in which a person can manage daily pressures, work effectively, and contribute positively to their community (WHO, 2022).</w:t>
      </w:r>
    </w:p>
    <w:p w14:paraId="73247C29" w14:textId="77777777" w:rsidR="004F1818" w:rsidRPr="00F916AC" w:rsidRDefault="004F1818" w:rsidP="004F1818">
      <w:pPr>
        <w:pStyle w:val="NormalWeb"/>
        <w:numPr>
          <w:ilvl w:val="0"/>
          <w:numId w:val="1"/>
        </w:numPr>
        <w:spacing w:line="480" w:lineRule="auto"/>
        <w:rPr>
          <w:rFonts w:ascii="Arial" w:hAnsi="Arial" w:cs="Arial"/>
          <w:color w:val="000000" w:themeColor="text1"/>
          <w:sz w:val="22"/>
          <w:szCs w:val="22"/>
        </w:rPr>
      </w:pPr>
      <w:r w:rsidRPr="00F916AC">
        <w:rPr>
          <w:rStyle w:val="Strong"/>
          <w:rFonts w:ascii="Arial" w:eastAsia="Calibri Light" w:hAnsi="Arial" w:cs="Arial"/>
          <w:color w:val="000000" w:themeColor="text1"/>
          <w:sz w:val="22"/>
          <w:szCs w:val="22"/>
        </w:rPr>
        <w:t>Burnout</w:t>
      </w:r>
      <w:r w:rsidRPr="00F916AC">
        <w:rPr>
          <w:rFonts w:ascii="Arial" w:hAnsi="Arial" w:cs="Arial"/>
          <w:color w:val="000000" w:themeColor="text1"/>
          <w:sz w:val="22"/>
          <w:szCs w:val="22"/>
        </w:rPr>
        <w:t xml:space="preserve"> is described as a work-related condition that develops after long-term exposure to stress. It often involves emotional exhaustion, a sense of detachment or depersonalisation, and a reduced feeling of achievement in one's work (Rossi et al., 2023). </w:t>
      </w:r>
    </w:p>
    <w:p w14:paraId="59BC13A6" w14:textId="77777777" w:rsidR="004F1818" w:rsidRPr="00F916AC" w:rsidRDefault="004F1818" w:rsidP="004F1818">
      <w:pPr>
        <w:pStyle w:val="NormalWeb"/>
        <w:numPr>
          <w:ilvl w:val="0"/>
          <w:numId w:val="1"/>
        </w:numPr>
        <w:spacing w:line="480" w:lineRule="auto"/>
        <w:rPr>
          <w:rFonts w:ascii="Arial" w:hAnsi="Arial" w:cs="Arial"/>
          <w:color w:val="000000" w:themeColor="text1"/>
          <w:sz w:val="22"/>
          <w:szCs w:val="22"/>
        </w:rPr>
      </w:pPr>
      <w:r w:rsidRPr="00F916AC">
        <w:rPr>
          <w:rStyle w:val="Strong"/>
          <w:rFonts w:ascii="Arial" w:eastAsia="Calibri Light" w:hAnsi="Arial" w:cs="Arial"/>
          <w:color w:val="000000" w:themeColor="text1"/>
          <w:sz w:val="22"/>
          <w:szCs w:val="22"/>
        </w:rPr>
        <w:t>Coping Strategies</w:t>
      </w:r>
      <w:r w:rsidRPr="00F916AC">
        <w:rPr>
          <w:rFonts w:ascii="Arial" w:hAnsi="Arial" w:cs="Arial"/>
          <w:color w:val="000000" w:themeColor="text1"/>
          <w:sz w:val="22"/>
          <w:szCs w:val="22"/>
        </w:rPr>
        <w:t xml:space="preserve"> are the thoughts and behaviours people use to handle stress. These strategies can be task-focused, emotion-based, avoidant, or supported through organisational systems (Anger et al., 2024).</w:t>
      </w:r>
    </w:p>
    <w:p w14:paraId="1F4AB0BB" w14:textId="77777777" w:rsidR="004F1818" w:rsidRPr="00F916AC" w:rsidRDefault="004F1818" w:rsidP="004F1818">
      <w:pPr>
        <w:pStyle w:val="NormalWeb"/>
        <w:numPr>
          <w:ilvl w:val="0"/>
          <w:numId w:val="1"/>
        </w:numPr>
        <w:spacing w:line="480" w:lineRule="auto"/>
        <w:rPr>
          <w:rFonts w:ascii="Arial" w:hAnsi="Arial" w:cs="Arial"/>
          <w:color w:val="000000" w:themeColor="text1"/>
          <w:sz w:val="22"/>
          <w:szCs w:val="22"/>
        </w:rPr>
      </w:pPr>
      <w:r w:rsidRPr="00F916AC">
        <w:rPr>
          <w:rStyle w:val="Strong"/>
          <w:rFonts w:ascii="Arial" w:eastAsia="Calibri Light" w:hAnsi="Arial" w:cs="Arial"/>
          <w:color w:val="000000" w:themeColor="text1"/>
          <w:sz w:val="22"/>
          <w:szCs w:val="22"/>
        </w:rPr>
        <w:t>Resilience</w:t>
      </w:r>
      <w:r w:rsidRPr="00F916AC">
        <w:rPr>
          <w:rFonts w:ascii="Arial" w:hAnsi="Arial" w:cs="Arial"/>
          <w:color w:val="000000" w:themeColor="text1"/>
          <w:sz w:val="22"/>
          <w:szCs w:val="22"/>
        </w:rPr>
        <w:t xml:space="preserve"> refers to the ability to remain psychologically stable during difficult times and to recover or adjust effectively when faced with challenges or trauma (Lee et al., 2025). </w:t>
      </w:r>
    </w:p>
    <w:p w14:paraId="0F6ABF37" w14:textId="77777777" w:rsidR="004F1818" w:rsidRPr="00F916AC" w:rsidRDefault="004F1818" w:rsidP="004F1818">
      <w:pPr>
        <w:pStyle w:val="NormalWeb"/>
        <w:numPr>
          <w:ilvl w:val="0"/>
          <w:numId w:val="1"/>
        </w:numPr>
        <w:spacing w:line="480" w:lineRule="auto"/>
        <w:rPr>
          <w:rFonts w:ascii="Arial" w:hAnsi="Arial" w:cs="Arial"/>
          <w:color w:val="000000" w:themeColor="text1"/>
          <w:sz w:val="22"/>
          <w:szCs w:val="22"/>
        </w:rPr>
      </w:pPr>
      <w:r w:rsidRPr="00F916AC">
        <w:rPr>
          <w:rFonts w:ascii="Arial" w:hAnsi="Arial" w:cs="Arial"/>
          <w:color w:val="000000" w:themeColor="text1"/>
          <w:sz w:val="22"/>
          <w:szCs w:val="22"/>
        </w:rPr>
        <w:t xml:space="preserve">The </w:t>
      </w:r>
      <w:r w:rsidRPr="00F916AC">
        <w:rPr>
          <w:rStyle w:val="Strong"/>
          <w:rFonts w:ascii="Arial" w:eastAsia="Calibri Light" w:hAnsi="Arial" w:cs="Arial"/>
          <w:color w:val="000000" w:themeColor="text1"/>
          <w:sz w:val="22"/>
          <w:szCs w:val="22"/>
        </w:rPr>
        <w:t>COVID-19 Pandemic</w:t>
      </w:r>
      <w:r w:rsidRPr="00F916AC">
        <w:rPr>
          <w:rFonts w:ascii="Arial" w:hAnsi="Arial" w:cs="Arial"/>
          <w:color w:val="000000" w:themeColor="text1"/>
          <w:sz w:val="22"/>
          <w:szCs w:val="22"/>
        </w:rPr>
        <w:t xml:space="preserve"> describes the worldwide spread of the SARS-CoV-2 virus, officially declared a global pandemic by the World Health Organization in March 2020. Lastly.</w:t>
      </w:r>
    </w:p>
    <w:p w14:paraId="0D366D30" w14:textId="77777777" w:rsidR="004F1818" w:rsidRPr="00F916AC" w:rsidRDefault="004F1818" w:rsidP="004F1818">
      <w:pPr>
        <w:pStyle w:val="NormalWeb"/>
        <w:numPr>
          <w:ilvl w:val="0"/>
          <w:numId w:val="1"/>
        </w:numPr>
        <w:spacing w:line="480" w:lineRule="auto"/>
        <w:rPr>
          <w:rFonts w:ascii="Arial" w:hAnsi="Arial" w:cs="Arial"/>
          <w:color w:val="000000" w:themeColor="text1"/>
          <w:sz w:val="22"/>
          <w:szCs w:val="22"/>
        </w:rPr>
      </w:pPr>
      <w:r w:rsidRPr="00F916AC">
        <w:rPr>
          <w:rStyle w:val="Strong"/>
          <w:rFonts w:ascii="Arial" w:eastAsia="Calibri Light" w:hAnsi="Arial" w:cs="Arial"/>
          <w:color w:val="000000" w:themeColor="text1"/>
          <w:sz w:val="22"/>
          <w:szCs w:val="22"/>
        </w:rPr>
        <w:t>Well-being</w:t>
      </w:r>
      <w:r w:rsidRPr="00F916AC">
        <w:rPr>
          <w:rFonts w:ascii="Arial" w:hAnsi="Arial" w:cs="Arial"/>
          <w:color w:val="000000" w:themeColor="text1"/>
          <w:sz w:val="22"/>
          <w:szCs w:val="22"/>
        </w:rPr>
        <w:t xml:space="preserve"> covers the emotional, psychological, and social aspects of a person’s health. It is shaped by factors such as workplace conditions, organisational culture, and available support systems (Frias et al., 2025).</w:t>
      </w:r>
    </w:p>
    <w:p w14:paraId="7C07737F" w14:textId="77777777" w:rsidR="004F1818" w:rsidRPr="00F916AC" w:rsidRDefault="004F1818" w:rsidP="004F1818">
      <w:pPr>
        <w:pStyle w:val="paragraph"/>
        <w:spacing w:before="0" w:beforeAutospacing="0" w:after="0" w:afterAutospacing="0" w:line="480" w:lineRule="auto"/>
        <w:textAlignment w:val="baseline"/>
        <w:rPr>
          <w:rStyle w:val="eop"/>
          <w:rFonts w:ascii="Arial" w:hAnsi="Arial" w:cs="Arial"/>
          <w:color w:val="000000" w:themeColor="text1"/>
          <w:sz w:val="22"/>
          <w:szCs w:val="22"/>
        </w:rPr>
      </w:pPr>
      <w:r w:rsidRPr="00F916AC">
        <w:rPr>
          <w:rFonts w:ascii="Arial" w:hAnsi="Arial" w:cs="Arial"/>
          <w:color w:val="000000" w:themeColor="text1"/>
          <w:sz w:val="22"/>
          <w:szCs w:val="22"/>
        </w:rPr>
        <w:lastRenderedPageBreak/>
        <w:t>These definitions help build the main ideas used in this dissertation. By explaining these terms clearly, the research stays in line with current studies and makes it easier to understand the experiences of healthcare workers during the COVID-19 pandemic</w:t>
      </w:r>
      <w:r w:rsidRPr="00F916AC">
        <w:rPr>
          <w:rStyle w:val="eop"/>
          <w:rFonts w:ascii="Arial" w:hAnsi="Arial" w:cs="Arial"/>
          <w:color w:val="000000" w:themeColor="text1"/>
          <w:sz w:val="22"/>
          <w:szCs w:val="22"/>
        </w:rPr>
        <w:t>.</w:t>
      </w:r>
    </w:p>
    <w:p w14:paraId="44E6BDA8" w14:textId="77777777" w:rsidR="004F1818" w:rsidRPr="009E0C2E" w:rsidRDefault="004F1818" w:rsidP="004F1818">
      <w:pPr>
        <w:pStyle w:val="Heading2"/>
        <w:rPr>
          <w:color w:val="000000" w:themeColor="text1"/>
        </w:rPr>
      </w:pPr>
    </w:p>
    <w:p w14:paraId="6306ACDF" w14:textId="77777777" w:rsidR="004F1818" w:rsidRPr="008D11CD" w:rsidRDefault="004F1818" w:rsidP="004F1818">
      <w:pPr>
        <w:pStyle w:val="Heading2"/>
        <w:rPr>
          <w:rFonts w:ascii="Arial" w:hAnsi="Arial" w:cs="Arial"/>
          <w:b/>
          <w:color w:val="000000" w:themeColor="text1"/>
        </w:rPr>
      </w:pPr>
      <w:r w:rsidRPr="008D11CD">
        <w:rPr>
          <w:rStyle w:val="normaltextrun"/>
          <w:rFonts w:ascii="Arial" w:hAnsi="Arial" w:cs="Arial"/>
          <w:b/>
          <w:color w:val="000000" w:themeColor="text1"/>
        </w:rPr>
        <w:t>1.3 Rationale for Research (250 words approx.)</w:t>
      </w:r>
      <w:r w:rsidRPr="008D11CD">
        <w:rPr>
          <w:rStyle w:val="eop"/>
          <w:rFonts w:ascii="Arial" w:hAnsi="Arial" w:cs="Arial"/>
          <w:b/>
          <w:color w:val="000000" w:themeColor="text1"/>
        </w:rPr>
        <w:t> </w:t>
      </w:r>
    </w:p>
    <w:p w14:paraId="1222D4DC" w14:textId="77777777" w:rsidR="004F1818" w:rsidRPr="00F916AC"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Historically, Healthcare workers have faced mental health pressures during infectious disease outbreaks, including SARS (2003), H1N1 (2009), and Ebola (2014). Research from these events demonstrated heightened stress, fear of infection, and long-term psychological consequences among frontline workers (</w:t>
      </w:r>
      <w:proofErr w:type="spellStart"/>
      <w:r w:rsidRPr="00F916AC">
        <w:rPr>
          <w:rFonts w:ascii="Arial" w:eastAsia="Arial" w:hAnsi="Arial" w:cs="Arial"/>
          <w:color w:val="000000" w:themeColor="text1"/>
        </w:rPr>
        <w:t>Shanafelt</w:t>
      </w:r>
      <w:proofErr w:type="spellEnd"/>
      <w:r w:rsidRPr="00F916AC">
        <w:rPr>
          <w:rFonts w:ascii="Arial" w:eastAsia="Arial" w:hAnsi="Arial" w:cs="Arial"/>
          <w:color w:val="000000" w:themeColor="text1"/>
        </w:rPr>
        <w:t xml:space="preserve"> et al., 2020). However, the scale and duration of COVID-19 created uniquely complex stressors. By mid-2020, global health systems encountered unprecedented patient surges, resource shortages, and high mortality rates. Early studies reported widespread anxiety, insomnia, depression, and moral injury among Healthcare </w:t>
      </w:r>
      <w:proofErr w:type="spellStart"/>
      <w:r w:rsidRPr="00F916AC">
        <w:rPr>
          <w:rFonts w:ascii="Arial" w:eastAsia="Arial" w:hAnsi="Arial" w:cs="Arial"/>
          <w:color w:val="000000" w:themeColor="text1"/>
        </w:rPr>
        <w:t>workerss</w:t>
      </w:r>
      <w:proofErr w:type="spellEnd"/>
      <w:r w:rsidRPr="00F916AC">
        <w:rPr>
          <w:rFonts w:ascii="Arial" w:eastAsia="Arial" w:hAnsi="Arial" w:cs="Arial"/>
          <w:color w:val="000000" w:themeColor="text1"/>
        </w:rPr>
        <w:t>, often linked to ethical dilemmas and prolonged exposure to trauma (</w:t>
      </w:r>
      <w:proofErr w:type="spellStart"/>
      <w:r w:rsidRPr="00F916AC">
        <w:rPr>
          <w:rFonts w:ascii="Arial" w:eastAsia="Arial" w:hAnsi="Arial" w:cs="Arial"/>
          <w:color w:val="000000" w:themeColor="text1"/>
        </w:rPr>
        <w:t>Spoorthy</w:t>
      </w:r>
      <w:proofErr w:type="spellEnd"/>
      <w:r w:rsidRPr="00F916AC">
        <w:rPr>
          <w:rFonts w:ascii="Arial" w:eastAsia="Arial" w:hAnsi="Arial" w:cs="Arial"/>
          <w:color w:val="000000" w:themeColor="text1"/>
        </w:rPr>
        <w:t xml:space="preserve"> et al., 2020).</w:t>
      </w:r>
    </w:p>
    <w:p w14:paraId="5D4CBA56" w14:textId="77777777" w:rsidR="004F1818" w:rsidRPr="008D11CD" w:rsidRDefault="004F1818" w:rsidP="004F1818">
      <w:pPr>
        <w:pStyle w:val="Heading2"/>
        <w:rPr>
          <w:rFonts w:ascii="Arial" w:hAnsi="Arial" w:cs="Arial"/>
          <w:b/>
          <w:color w:val="000000" w:themeColor="text1"/>
        </w:rPr>
      </w:pPr>
      <w:r w:rsidRPr="008D11CD">
        <w:rPr>
          <w:rFonts w:ascii="Arial" w:hAnsi="Arial" w:cs="Arial"/>
          <w:b/>
          <w:color w:val="000000" w:themeColor="text1"/>
        </w:rPr>
        <w:t>1.3.2 Current Context</w:t>
      </w:r>
    </w:p>
    <w:p w14:paraId="63955AD8" w14:textId="77777777" w:rsidR="004F1818" w:rsidRPr="00A20CDF" w:rsidRDefault="004F1818" w:rsidP="004F1818">
      <w:pPr>
        <w:spacing w:before="280" w:after="280" w:line="480" w:lineRule="auto"/>
        <w:rPr>
          <w:rFonts w:ascii="Arial" w:eastAsia="Arial" w:hAnsi="Arial" w:cs="Arial"/>
          <w:color w:val="000000" w:themeColor="text1"/>
        </w:rPr>
      </w:pPr>
      <w:r w:rsidRPr="00F916AC">
        <w:rPr>
          <w:rFonts w:ascii="Arial" w:hAnsi="Arial" w:cs="Arial"/>
          <w:color w:val="000000" w:themeColor="text1"/>
        </w:rPr>
        <w:t xml:space="preserve">Recent research shows that mental health problems among healthcare workers have not gone away, and many are still experiencing ongoing stress between 2023 and 2025 (Maunder et al., 2024; </w:t>
      </w:r>
      <w:proofErr w:type="spellStart"/>
      <w:r w:rsidRPr="00F916AC">
        <w:rPr>
          <w:rFonts w:ascii="Arial" w:hAnsi="Arial" w:cs="Arial"/>
          <w:color w:val="000000" w:themeColor="text1"/>
        </w:rPr>
        <w:t>Mokaya</w:t>
      </w:r>
      <w:proofErr w:type="spellEnd"/>
      <w:r w:rsidRPr="00F916AC">
        <w:rPr>
          <w:rFonts w:ascii="Arial" w:hAnsi="Arial" w:cs="Arial"/>
          <w:color w:val="000000" w:themeColor="text1"/>
        </w:rPr>
        <w:t xml:space="preserve"> et al., 2025). Reviews of existing studies also show that burnout remains high, and levels of psychological distress have not reduced much (Frias et al., 2025). During this time, healthcare workers have started using a wider range of coping methods, while organisations have introduced new types of support such as well-being hubs, resilience training sessions, planned debrief meetings, and peer-support programmes. However, these supports are not offered equally across all healthcare environments, which has led to differences in workers’ well-being. Because of this, it is important to assess how well these coping strategies actually work so that future plans can better support the resilience of the healthcare workforce.</w:t>
      </w:r>
    </w:p>
    <w:p w14:paraId="73CAF5FE" w14:textId="77777777" w:rsidR="004F1818" w:rsidRPr="008D11CD" w:rsidRDefault="004F1818" w:rsidP="004F1818">
      <w:pPr>
        <w:pStyle w:val="Heading2"/>
        <w:rPr>
          <w:rFonts w:ascii="Arial" w:hAnsi="Arial" w:cs="Arial"/>
          <w:b/>
          <w:color w:val="000000" w:themeColor="text1"/>
        </w:rPr>
      </w:pPr>
      <w:r w:rsidRPr="008D11CD">
        <w:rPr>
          <w:rStyle w:val="normaltextrun"/>
          <w:rFonts w:ascii="Arial" w:hAnsi="Arial" w:cs="Arial"/>
          <w:b/>
          <w:color w:val="000000" w:themeColor="text1"/>
        </w:rPr>
        <w:lastRenderedPageBreak/>
        <w:t>1.4 Aim and Objectives (250 words approx.)</w:t>
      </w:r>
      <w:r w:rsidRPr="008D11CD">
        <w:rPr>
          <w:rStyle w:val="eop"/>
          <w:rFonts w:ascii="Arial" w:hAnsi="Arial" w:cs="Arial"/>
          <w:b/>
          <w:color w:val="000000" w:themeColor="text1"/>
        </w:rPr>
        <w:t> </w:t>
      </w:r>
    </w:p>
    <w:p w14:paraId="4C4C1632" w14:textId="77777777" w:rsidR="004F1818" w:rsidRPr="00F916AC" w:rsidRDefault="004F1818" w:rsidP="004F1818">
      <w:pPr>
        <w:pStyle w:val="NormalWeb"/>
        <w:spacing w:line="480" w:lineRule="auto"/>
        <w:rPr>
          <w:rFonts w:ascii="Arial" w:hAnsi="Arial" w:cs="Arial"/>
          <w:color w:val="000000" w:themeColor="text1"/>
          <w:sz w:val="22"/>
          <w:szCs w:val="22"/>
        </w:rPr>
      </w:pPr>
      <w:r w:rsidRPr="00F916AC">
        <w:rPr>
          <w:rStyle w:val="eop"/>
          <w:rFonts w:ascii="Arial" w:hAnsi="Arial" w:cs="Arial"/>
          <w:color w:val="000000" w:themeColor="text1"/>
          <w:sz w:val="22"/>
          <w:szCs w:val="22"/>
        </w:rPr>
        <w:t> </w:t>
      </w:r>
      <w:r w:rsidRPr="00F916AC">
        <w:rPr>
          <w:rFonts w:ascii="Arial" w:hAnsi="Arial" w:cs="Arial"/>
          <w:color w:val="000000" w:themeColor="text1"/>
          <w:sz w:val="22"/>
          <w:szCs w:val="22"/>
        </w:rPr>
        <w:t>This research is important because, while the mental health challenges faced by healthcare workers during the COVID-19 pandemic have been widely documented, there is less understanding of the coping strategies they used and how effective these strategies were. Many existing studies focus on a single professional group, such as nurses or doctors, or on specific healthcare settings, leaving gaps in knowledge across different roles and health systems (Rossi et al., 2023). Findings about coping strategies are sometimes inconsistent. For instance, emotion-focused or avoidant coping may help in some situations but may be harmful in others (Anger et al., 2024; Frias et al., 2025).</w:t>
      </w:r>
    </w:p>
    <w:p w14:paraId="1DFC5EFF"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 xml:space="preserve">There is also limited research examining how personal, social, and organisational coping strategies interact. Few studies translate their findings into practical policy recommendations, despite the urgent need to strengthen the resilience of healthcare systems and better support staff well-being (Maunder et al., 2024; </w:t>
      </w:r>
      <w:proofErr w:type="spellStart"/>
      <w:r w:rsidRPr="00536956">
        <w:rPr>
          <w:rFonts w:ascii="Arial" w:eastAsia="Times New Roman" w:hAnsi="Arial" w:cs="Arial"/>
          <w:color w:val="000000" w:themeColor="text1"/>
          <w:lang w:eastAsia="en-GB"/>
        </w:rPr>
        <w:t>Mokaya</w:t>
      </w:r>
      <w:proofErr w:type="spellEnd"/>
      <w:r w:rsidRPr="00536956">
        <w:rPr>
          <w:rFonts w:ascii="Arial" w:eastAsia="Times New Roman" w:hAnsi="Arial" w:cs="Arial"/>
          <w:color w:val="000000" w:themeColor="text1"/>
          <w:lang w:eastAsia="en-GB"/>
        </w:rPr>
        <w:t xml:space="preserve"> et al., 2025). Understanding which strategies are effective is crucial for preparing for future public health crises and reducing the ongoing psychological burden on </w:t>
      </w:r>
      <w:r w:rsidRPr="00F916AC">
        <w:rPr>
          <w:rFonts w:ascii="Arial" w:eastAsia="Times New Roman" w:hAnsi="Arial" w:cs="Arial"/>
          <w:color w:val="000000" w:themeColor="text1"/>
          <w:lang w:eastAsia="en-GB"/>
        </w:rPr>
        <w:t>Healthcare workers</w:t>
      </w:r>
      <w:r w:rsidRPr="00536956">
        <w:rPr>
          <w:rFonts w:ascii="Arial" w:eastAsia="Times New Roman" w:hAnsi="Arial" w:cs="Arial"/>
          <w:color w:val="000000" w:themeColor="text1"/>
          <w:lang w:eastAsia="en-GB"/>
        </w:rPr>
        <w:t>.</w:t>
      </w:r>
    </w:p>
    <w:p w14:paraId="75D52683"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 xml:space="preserve">By reviewing evidence from 2020 to 2025, this dissertation aims to fill these gaps. It seeks to provide a clearer understanding of the coping strategies used by </w:t>
      </w:r>
      <w:r w:rsidRPr="00F916AC">
        <w:rPr>
          <w:rFonts w:ascii="Arial" w:eastAsia="Times New Roman" w:hAnsi="Arial" w:cs="Arial"/>
          <w:color w:val="000000" w:themeColor="text1"/>
          <w:lang w:eastAsia="en-GB"/>
        </w:rPr>
        <w:t>Healthcare workers</w:t>
      </w:r>
      <w:r w:rsidRPr="00536956">
        <w:rPr>
          <w:rFonts w:ascii="Arial" w:eastAsia="Times New Roman" w:hAnsi="Arial" w:cs="Arial"/>
          <w:color w:val="000000" w:themeColor="text1"/>
          <w:lang w:eastAsia="en-GB"/>
        </w:rPr>
        <w:t>, assess their effectiveness, and offer insights that can help policymakers, health leaders, and practitioners develop stronger mental health support programs (</w:t>
      </w:r>
      <w:proofErr w:type="spellStart"/>
      <w:r w:rsidRPr="00536956">
        <w:rPr>
          <w:rFonts w:ascii="Arial" w:eastAsia="Times New Roman" w:hAnsi="Arial" w:cs="Arial"/>
          <w:color w:val="000000" w:themeColor="text1"/>
          <w:lang w:eastAsia="en-GB"/>
        </w:rPr>
        <w:t>Shanafelt</w:t>
      </w:r>
      <w:proofErr w:type="spellEnd"/>
      <w:r w:rsidRPr="00536956">
        <w:rPr>
          <w:rFonts w:ascii="Arial" w:eastAsia="Times New Roman" w:hAnsi="Arial" w:cs="Arial"/>
          <w:color w:val="000000" w:themeColor="text1"/>
          <w:lang w:eastAsia="en-GB"/>
        </w:rPr>
        <w:t xml:space="preserve"> et al., 2020; Lee et al., 2025).</w:t>
      </w:r>
    </w:p>
    <w:p w14:paraId="0D33738B"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 xml:space="preserve">This study is also motivated by persistent workforce challenges, including staff shortages, high burnout, and workforce attrition (Rossi et al., 2023; </w:t>
      </w:r>
      <w:proofErr w:type="spellStart"/>
      <w:r w:rsidRPr="00536956">
        <w:rPr>
          <w:rFonts w:ascii="Arial" w:eastAsia="Times New Roman" w:hAnsi="Arial" w:cs="Arial"/>
          <w:color w:val="000000" w:themeColor="text1"/>
          <w:lang w:eastAsia="en-GB"/>
        </w:rPr>
        <w:t>Mokaya</w:t>
      </w:r>
      <w:proofErr w:type="spellEnd"/>
      <w:r w:rsidRPr="00536956">
        <w:rPr>
          <w:rFonts w:ascii="Arial" w:eastAsia="Times New Roman" w:hAnsi="Arial" w:cs="Arial"/>
          <w:color w:val="000000" w:themeColor="text1"/>
          <w:lang w:eastAsia="en-GB"/>
        </w:rPr>
        <w:t xml:space="preserve"> et al., 2025). By identifying effective coping strategies and organisational supports, the research aims to improve healthcare worker well-being and contribute to building more resilient health systems capable of responding to future crises effectively.</w:t>
      </w:r>
    </w:p>
    <w:p w14:paraId="09E44A08" w14:textId="77777777" w:rsidR="004F1818" w:rsidRPr="00F916AC" w:rsidRDefault="004F1818" w:rsidP="004F1818">
      <w:pPr>
        <w:pStyle w:val="Heading1"/>
      </w:pPr>
    </w:p>
    <w:p w14:paraId="15F8C0AB" w14:textId="77777777" w:rsidR="004F1818" w:rsidRDefault="004F1818" w:rsidP="004F1818">
      <w:pPr>
        <w:pStyle w:val="Heading1"/>
      </w:pPr>
      <w:r w:rsidRPr="009E0C2E">
        <w:t>1.5 Aim and Objectives:</w:t>
      </w:r>
    </w:p>
    <w:p w14:paraId="03041699" w14:textId="77777777" w:rsidR="004F1818" w:rsidRPr="009E0C2E" w:rsidRDefault="004F1818" w:rsidP="004F1818">
      <w:pPr>
        <w:pStyle w:val="Heading1"/>
      </w:pPr>
    </w:p>
    <w:p w14:paraId="4EE3A115" w14:textId="77777777" w:rsidR="004F1818" w:rsidRPr="008D11CD" w:rsidRDefault="004F1818" w:rsidP="004F1818">
      <w:pPr>
        <w:pStyle w:val="Heading2"/>
        <w:rPr>
          <w:rFonts w:ascii="Arial" w:hAnsi="Arial" w:cs="Arial"/>
          <w:b/>
          <w:color w:val="000000" w:themeColor="text1"/>
        </w:rPr>
      </w:pPr>
      <w:r w:rsidRPr="008D11CD">
        <w:rPr>
          <w:rFonts w:ascii="Arial" w:hAnsi="Arial" w:cs="Arial"/>
          <w:b/>
          <w:color w:val="000000" w:themeColor="text1"/>
        </w:rPr>
        <w:t>1.5.1 Research Aim:</w:t>
      </w:r>
    </w:p>
    <w:p w14:paraId="0DA770A3" w14:textId="77777777" w:rsidR="004F1818"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To investigate the impact of the COVID-19 pandemic on the mental health of healthcare workers and examine the coping strategies they employed to manage stress, anxiety, and burnout.</w:t>
      </w:r>
    </w:p>
    <w:p w14:paraId="6B98C4B3" w14:textId="77777777" w:rsidR="004F1818" w:rsidRPr="008D11CD" w:rsidRDefault="004F1818" w:rsidP="004F1818">
      <w:pPr>
        <w:pStyle w:val="Heading2"/>
        <w:rPr>
          <w:rFonts w:ascii="Arial" w:hAnsi="Arial" w:cs="Arial"/>
          <w:b/>
          <w:color w:val="000000" w:themeColor="text1"/>
        </w:rPr>
      </w:pPr>
      <w:r w:rsidRPr="008D11CD">
        <w:rPr>
          <w:rFonts w:ascii="Arial" w:hAnsi="Arial" w:cs="Arial"/>
          <w:b/>
          <w:color w:val="000000" w:themeColor="text1"/>
        </w:rPr>
        <w:t>1.5.2 Research Objectives:</w:t>
      </w:r>
    </w:p>
    <w:p w14:paraId="5EBEFCAA" w14:textId="77777777" w:rsidR="004F1818" w:rsidRPr="00F916AC" w:rsidRDefault="004F1818" w:rsidP="004F1818">
      <w:pPr>
        <w:pStyle w:val="ListParagraph"/>
        <w:numPr>
          <w:ilvl w:val="0"/>
          <w:numId w:val="2"/>
        </w:numPr>
        <w:spacing w:line="480" w:lineRule="auto"/>
        <w:rPr>
          <w:rFonts w:ascii="Arial" w:hAnsi="Arial" w:cs="Arial"/>
          <w:color w:val="000000" w:themeColor="text1"/>
        </w:rPr>
      </w:pPr>
      <w:r w:rsidRPr="00F916AC">
        <w:rPr>
          <w:rFonts w:ascii="Arial" w:eastAsia="Arial" w:hAnsi="Arial" w:cs="Arial"/>
          <w:color w:val="000000" w:themeColor="text1"/>
        </w:rPr>
        <w:t>Define and examine the psychological impact of the pandemic on healthcare workers across different roles and healthcare settings.</w:t>
      </w:r>
    </w:p>
    <w:p w14:paraId="5FEFE67D" w14:textId="77777777" w:rsidR="004F1818" w:rsidRPr="00F916AC" w:rsidRDefault="004F1818" w:rsidP="004F1818">
      <w:pPr>
        <w:pStyle w:val="ListParagraph"/>
        <w:numPr>
          <w:ilvl w:val="0"/>
          <w:numId w:val="2"/>
        </w:numPr>
        <w:spacing w:line="480" w:lineRule="auto"/>
        <w:rPr>
          <w:rFonts w:ascii="Arial" w:hAnsi="Arial" w:cs="Arial"/>
          <w:color w:val="000000" w:themeColor="text1"/>
        </w:rPr>
      </w:pPr>
      <w:r w:rsidRPr="00F916AC">
        <w:rPr>
          <w:rFonts w:ascii="Arial" w:eastAsia="Arial" w:hAnsi="Arial" w:cs="Arial"/>
          <w:color w:val="000000" w:themeColor="text1"/>
        </w:rPr>
        <w:t>Analyse the range of coping strategies utilised, including task-oriented, emotion-focused, social, and organisational approaches.</w:t>
      </w:r>
    </w:p>
    <w:p w14:paraId="116A365C" w14:textId="77777777" w:rsidR="004F1818" w:rsidRPr="00F916AC" w:rsidRDefault="004F1818" w:rsidP="004F1818">
      <w:pPr>
        <w:pStyle w:val="ListParagraph"/>
        <w:numPr>
          <w:ilvl w:val="0"/>
          <w:numId w:val="2"/>
        </w:numPr>
        <w:spacing w:line="480" w:lineRule="auto"/>
        <w:rPr>
          <w:rFonts w:ascii="Arial" w:hAnsi="Arial" w:cs="Arial"/>
          <w:color w:val="000000" w:themeColor="text1"/>
        </w:rPr>
      </w:pPr>
      <w:r w:rsidRPr="00F916AC">
        <w:rPr>
          <w:rFonts w:ascii="Arial" w:eastAsia="Arial" w:hAnsi="Arial" w:cs="Arial"/>
          <w:color w:val="000000" w:themeColor="text1"/>
        </w:rPr>
        <w:t>Evaluate the effectiveness and limitations of these strategies in supporting resilience and well-being.</w:t>
      </w:r>
    </w:p>
    <w:p w14:paraId="32B41EF2" w14:textId="77777777" w:rsidR="004F1818" w:rsidRPr="00F916AC" w:rsidRDefault="004F1818" w:rsidP="004F1818">
      <w:pPr>
        <w:pStyle w:val="ListParagraph"/>
        <w:numPr>
          <w:ilvl w:val="0"/>
          <w:numId w:val="2"/>
        </w:numPr>
        <w:spacing w:line="480" w:lineRule="auto"/>
        <w:rPr>
          <w:rFonts w:ascii="Arial" w:hAnsi="Arial" w:cs="Arial"/>
          <w:color w:val="000000" w:themeColor="text1"/>
        </w:rPr>
      </w:pPr>
      <w:r w:rsidRPr="00F916AC">
        <w:rPr>
          <w:rFonts w:ascii="Arial" w:eastAsia="Arial" w:hAnsi="Arial" w:cs="Arial"/>
          <w:color w:val="000000" w:themeColor="text1"/>
        </w:rPr>
        <w:t>Provide recommendations for policy and practice to strengthen healthcare worker support in future public health crises.</w:t>
      </w:r>
    </w:p>
    <w:p w14:paraId="4313F43E" w14:textId="77777777" w:rsidR="004F1818" w:rsidRPr="00F916AC" w:rsidRDefault="004F1818" w:rsidP="004F1818">
      <w:pPr>
        <w:pStyle w:val="paragraph"/>
        <w:spacing w:before="0" w:beforeAutospacing="0" w:after="0" w:afterAutospacing="0" w:line="480" w:lineRule="auto"/>
        <w:textAlignment w:val="baseline"/>
        <w:rPr>
          <w:rFonts w:ascii="Arial" w:hAnsi="Arial" w:cs="Arial"/>
          <w:color w:val="000000" w:themeColor="text1"/>
          <w:sz w:val="22"/>
          <w:szCs w:val="22"/>
        </w:rPr>
      </w:pPr>
    </w:p>
    <w:p w14:paraId="6F8DCF8E" w14:textId="77777777" w:rsidR="004F1818" w:rsidRPr="009E0C2E" w:rsidRDefault="004F1818" w:rsidP="004F1818">
      <w:pPr>
        <w:pStyle w:val="Heading1"/>
        <w:rPr>
          <w:color w:val="000000" w:themeColor="text1"/>
        </w:rPr>
      </w:pPr>
      <w:r w:rsidRPr="009E0C2E">
        <w:rPr>
          <w:rStyle w:val="normaltextrun"/>
          <w:rFonts w:cs="Arial"/>
          <w:color w:val="000000" w:themeColor="text1"/>
          <w:sz w:val="22"/>
          <w:szCs w:val="22"/>
        </w:rPr>
        <w:t>1.6 Conclusion (150 words approx.)</w:t>
      </w:r>
      <w:r w:rsidRPr="009E0C2E">
        <w:rPr>
          <w:rStyle w:val="eop"/>
          <w:rFonts w:cs="Arial"/>
          <w:color w:val="000000" w:themeColor="text1"/>
          <w:sz w:val="22"/>
          <w:szCs w:val="22"/>
        </w:rPr>
        <w:t> </w:t>
      </w:r>
    </w:p>
    <w:p w14:paraId="2E605D0B" w14:textId="77777777" w:rsidR="004F1818" w:rsidRPr="00F916AC" w:rsidRDefault="004F1818" w:rsidP="004F1818">
      <w:pPr>
        <w:pStyle w:val="NormalWeb"/>
        <w:spacing w:line="480" w:lineRule="auto"/>
        <w:rPr>
          <w:rFonts w:ascii="Arial" w:hAnsi="Arial" w:cs="Arial"/>
          <w:color w:val="000000" w:themeColor="text1"/>
          <w:sz w:val="22"/>
          <w:szCs w:val="22"/>
        </w:rPr>
      </w:pPr>
      <w:r w:rsidRPr="00F916AC">
        <w:rPr>
          <w:rFonts w:ascii="Arial" w:hAnsi="Arial" w:cs="Arial"/>
          <w:color w:val="000000" w:themeColor="text1"/>
          <w:sz w:val="22"/>
          <w:szCs w:val="22"/>
        </w:rPr>
        <w:t>This chapter has introduced the importance of studying healthcare workers mental health during the COVID-19 pandemic. It has explained key terms, provided background information, and outlined the reasons for conducting this research. The chapter also presented the main aim and objectives guiding the study, helping to clarify what the dissertation seeks to achieve.</w:t>
      </w:r>
    </w:p>
    <w:p w14:paraId="41DE3C8C"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U</w:t>
      </w:r>
      <w:r w:rsidRPr="00F916AC">
        <w:rPr>
          <w:rFonts w:ascii="Arial" w:eastAsia="Times New Roman" w:hAnsi="Arial" w:cs="Arial"/>
          <w:color w:val="000000" w:themeColor="text1"/>
          <w:lang w:eastAsia="en-GB"/>
        </w:rPr>
        <w:t>nderstanding healthcare workers</w:t>
      </w:r>
      <w:r w:rsidRPr="00536956">
        <w:rPr>
          <w:rFonts w:ascii="Arial" w:eastAsia="Times New Roman" w:hAnsi="Arial" w:cs="Arial"/>
          <w:color w:val="000000" w:themeColor="text1"/>
          <w:lang w:eastAsia="en-GB"/>
        </w:rPr>
        <w:t xml:space="preserve"> mental health and coping strategies is crucial because the pandemic placed unprecedented pressures on them, leading to stress, burnout, and other psychological challenges. By defining key concepts and highlighting the research gaps, this chapter lays the groundwork for a more detailed exploration of the topic.</w:t>
      </w:r>
    </w:p>
    <w:p w14:paraId="05C5A0A1"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lastRenderedPageBreak/>
        <w:t>The following chapter builds on this foundation by examining the historical, theoretical, and contextual factors that influence heal</w:t>
      </w:r>
      <w:r w:rsidRPr="00F916AC">
        <w:rPr>
          <w:rFonts w:ascii="Arial" w:eastAsia="Times New Roman" w:hAnsi="Arial" w:cs="Arial"/>
          <w:color w:val="000000" w:themeColor="text1"/>
          <w:lang w:eastAsia="en-GB"/>
        </w:rPr>
        <w:t>thcare workers</w:t>
      </w:r>
      <w:r w:rsidRPr="00536956">
        <w:rPr>
          <w:rFonts w:ascii="Arial" w:eastAsia="Times New Roman" w:hAnsi="Arial" w:cs="Arial"/>
          <w:color w:val="000000" w:themeColor="text1"/>
          <w:lang w:eastAsia="en-GB"/>
        </w:rPr>
        <w:t xml:space="preserve"> well-being. Chapter 2 will review relevant literature and situate the discussion within global, national, and policy frameworks, providing a deeper understanding of the challenges healthcare workers face and the support systems available to them.</w:t>
      </w:r>
    </w:p>
    <w:p w14:paraId="09AFE4D5" w14:textId="77777777" w:rsidR="004F1818" w:rsidRPr="00F916AC" w:rsidRDefault="004F1818" w:rsidP="004F1818">
      <w:pPr>
        <w:spacing w:line="480" w:lineRule="auto"/>
        <w:rPr>
          <w:rFonts w:ascii="Arial" w:hAnsi="Arial" w:cs="Arial"/>
          <w:color w:val="000000" w:themeColor="text1"/>
        </w:rPr>
      </w:pPr>
    </w:p>
    <w:p w14:paraId="3BEA7687" w14:textId="77777777" w:rsidR="004F1818" w:rsidRDefault="004F1818" w:rsidP="004F1818">
      <w:pPr>
        <w:pStyle w:val="Heading1"/>
        <w:spacing w:line="480" w:lineRule="auto"/>
        <w:ind w:left="0"/>
        <w:rPr>
          <w:rFonts w:cs="Arial"/>
          <w:color w:val="000000" w:themeColor="text1"/>
          <w:sz w:val="22"/>
          <w:szCs w:val="22"/>
        </w:rPr>
      </w:pPr>
    </w:p>
    <w:p w14:paraId="2CD1E6E5" w14:textId="77777777" w:rsidR="004F1818" w:rsidRDefault="004F1818" w:rsidP="004F1818">
      <w:pPr>
        <w:pStyle w:val="Heading1"/>
        <w:spacing w:line="480" w:lineRule="auto"/>
        <w:ind w:left="0"/>
        <w:rPr>
          <w:rFonts w:cs="Arial"/>
          <w:color w:val="000000" w:themeColor="text1"/>
          <w:sz w:val="22"/>
          <w:szCs w:val="22"/>
        </w:rPr>
      </w:pPr>
    </w:p>
    <w:p w14:paraId="0B93AE78" w14:textId="77777777" w:rsidR="004F1818" w:rsidRDefault="004F1818" w:rsidP="004F1818">
      <w:pPr>
        <w:pStyle w:val="Heading1"/>
        <w:spacing w:line="480" w:lineRule="auto"/>
        <w:ind w:left="0"/>
        <w:rPr>
          <w:rFonts w:cs="Arial"/>
          <w:color w:val="000000" w:themeColor="text1"/>
          <w:sz w:val="22"/>
          <w:szCs w:val="22"/>
        </w:rPr>
      </w:pPr>
    </w:p>
    <w:p w14:paraId="3B98EBD0" w14:textId="77777777" w:rsidR="004F1818" w:rsidRDefault="004F1818" w:rsidP="004F1818">
      <w:pPr>
        <w:pStyle w:val="Heading1"/>
        <w:spacing w:line="480" w:lineRule="auto"/>
        <w:ind w:left="0"/>
        <w:rPr>
          <w:rFonts w:cs="Arial"/>
          <w:color w:val="000000" w:themeColor="text1"/>
          <w:sz w:val="22"/>
          <w:szCs w:val="22"/>
        </w:rPr>
      </w:pPr>
    </w:p>
    <w:p w14:paraId="749B6992" w14:textId="77777777" w:rsidR="004F1818" w:rsidRDefault="004F1818" w:rsidP="004F1818">
      <w:pPr>
        <w:pStyle w:val="Heading1"/>
        <w:spacing w:line="480" w:lineRule="auto"/>
        <w:ind w:left="0"/>
        <w:rPr>
          <w:rFonts w:cs="Arial"/>
          <w:color w:val="000000" w:themeColor="text1"/>
          <w:sz w:val="22"/>
          <w:szCs w:val="22"/>
        </w:rPr>
      </w:pPr>
    </w:p>
    <w:p w14:paraId="092DEC2C" w14:textId="77777777" w:rsidR="004F1818" w:rsidRDefault="004F1818" w:rsidP="004F1818">
      <w:pPr>
        <w:pStyle w:val="Heading1"/>
        <w:spacing w:line="480" w:lineRule="auto"/>
        <w:ind w:left="0"/>
        <w:rPr>
          <w:rFonts w:cs="Arial"/>
          <w:color w:val="000000" w:themeColor="text1"/>
          <w:sz w:val="22"/>
          <w:szCs w:val="22"/>
        </w:rPr>
      </w:pPr>
    </w:p>
    <w:p w14:paraId="41C9F747" w14:textId="77777777" w:rsidR="004F1818" w:rsidRDefault="004F1818" w:rsidP="004F1818">
      <w:pPr>
        <w:pStyle w:val="Heading1"/>
        <w:spacing w:line="480" w:lineRule="auto"/>
        <w:ind w:left="0"/>
        <w:rPr>
          <w:rFonts w:cs="Arial"/>
          <w:color w:val="000000" w:themeColor="text1"/>
          <w:sz w:val="22"/>
          <w:szCs w:val="22"/>
        </w:rPr>
      </w:pPr>
    </w:p>
    <w:p w14:paraId="7C202778" w14:textId="77777777" w:rsidR="004F1818" w:rsidRDefault="004F1818" w:rsidP="004F1818">
      <w:pPr>
        <w:pStyle w:val="Heading1"/>
        <w:spacing w:line="480" w:lineRule="auto"/>
        <w:ind w:left="0"/>
        <w:rPr>
          <w:rFonts w:cs="Arial"/>
          <w:color w:val="000000" w:themeColor="text1"/>
          <w:sz w:val="22"/>
          <w:szCs w:val="22"/>
        </w:rPr>
      </w:pPr>
    </w:p>
    <w:p w14:paraId="78972E23" w14:textId="77777777" w:rsidR="004F1818" w:rsidRDefault="004F1818" w:rsidP="004F1818">
      <w:pPr>
        <w:pStyle w:val="Heading1"/>
        <w:spacing w:line="480" w:lineRule="auto"/>
        <w:ind w:left="0"/>
        <w:rPr>
          <w:rFonts w:cs="Arial"/>
          <w:color w:val="000000" w:themeColor="text1"/>
          <w:sz w:val="22"/>
          <w:szCs w:val="22"/>
        </w:rPr>
      </w:pPr>
    </w:p>
    <w:p w14:paraId="5AD1E52E" w14:textId="77777777" w:rsidR="004F1818" w:rsidRDefault="004F1818" w:rsidP="004F1818">
      <w:pPr>
        <w:pStyle w:val="Heading1"/>
        <w:spacing w:line="480" w:lineRule="auto"/>
        <w:ind w:left="0"/>
        <w:rPr>
          <w:rFonts w:cs="Arial"/>
          <w:color w:val="000000" w:themeColor="text1"/>
          <w:sz w:val="22"/>
          <w:szCs w:val="22"/>
        </w:rPr>
      </w:pPr>
    </w:p>
    <w:p w14:paraId="41520847" w14:textId="77777777" w:rsidR="004F1818" w:rsidRDefault="004F1818" w:rsidP="004F1818">
      <w:pPr>
        <w:pStyle w:val="Heading1"/>
        <w:spacing w:line="480" w:lineRule="auto"/>
        <w:ind w:left="0"/>
        <w:rPr>
          <w:rFonts w:cs="Arial"/>
          <w:color w:val="000000" w:themeColor="text1"/>
          <w:sz w:val="22"/>
          <w:szCs w:val="22"/>
        </w:rPr>
      </w:pPr>
    </w:p>
    <w:p w14:paraId="03145B39" w14:textId="77777777" w:rsidR="004F1818" w:rsidRDefault="004F1818" w:rsidP="004F1818">
      <w:pPr>
        <w:pStyle w:val="Heading1"/>
        <w:spacing w:line="480" w:lineRule="auto"/>
        <w:ind w:left="0"/>
        <w:rPr>
          <w:rFonts w:cs="Arial"/>
          <w:color w:val="000000" w:themeColor="text1"/>
          <w:sz w:val="22"/>
          <w:szCs w:val="22"/>
        </w:rPr>
      </w:pPr>
    </w:p>
    <w:p w14:paraId="3EFC3B80" w14:textId="77777777" w:rsidR="004F1818" w:rsidRDefault="004F1818" w:rsidP="004F1818">
      <w:pPr>
        <w:pStyle w:val="Heading1"/>
        <w:spacing w:line="480" w:lineRule="auto"/>
        <w:ind w:left="0"/>
        <w:rPr>
          <w:rFonts w:cs="Arial"/>
          <w:color w:val="000000" w:themeColor="text1"/>
          <w:sz w:val="22"/>
          <w:szCs w:val="22"/>
        </w:rPr>
      </w:pPr>
    </w:p>
    <w:p w14:paraId="6D837444" w14:textId="77777777" w:rsidR="004F1818" w:rsidRDefault="004F1818" w:rsidP="004F1818">
      <w:pPr>
        <w:pStyle w:val="Heading1"/>
        <w:spacing w:line="480" w:lineRule="auto"/>
        <w:ind w:left="0"/>
        <w:rPr>
          <w:rFonts w:cs="Arial"/>
          <w:color w:val="000000" w:themeColor="text1"/>
          <w:sz w:val="22"/>
          <w:szCs w:val="22"/>
        </w:rPr>
      </w:pPr>
    </w:p>
    <w:p w14:paraId="67105295" w14:textId="77777777" w:rsidR="004F1818" w:rsidRDefault="004F1818" w:rsidP="004F1818">
      <w:pPr>
        <w:pStyle w:val="Heading1"/>
        <w:spacing w:line="480" w:lineRule="auto"/>
        <w:ind w:left="0"/>
        <w:rPr>
          <w:rFonts w:cs="Arial"/>
          <w:color w:val="000000" w:themeColor="text1"/>
          <w:sz w:val="22"/>
          <w:szCs w:val="22"/>
        </w:rPr>
      </w:pPr>
    </w:p>
    <w:p w14:paraId="783CFDF6" w14:textId="77777777" w:rsidR="004F1818" w:rsidRDefault="004F1818" w:rsidP="004F1818">
      <w:pPr>
        <w:pStyle w:val="Heading1"/>
        <w:spacing w:line="480" w:lineRule="auto"/>
        <w:ind w:left="0"/>
        <w:rPr>
          <w:rFonts w:cs="Arial"/>
          <w:color w:val="000000" w:themeColor="text1"/>
          <w:sz w:val="22"/>
          <w:szCs w:val="22"/>
        </w:rPr>
      </w:pPr>
    </w:p>
    <w:p w14:paraId="56E7AC6B" w14:textId="77777777" w:rsidR="004F1818" w:rsidRDefault="004F1818" w:rsidP="004F1818">
      <w:pPr>
        <w:pStyle w:val="Heading1"/>
        <w:spacing w:line="480" w:lineRule="auto"/>
        <w:ind w:left="0"/>
        <w:rPr>
          <w:rFonts w:cs="Arial"/>
          <w:color w:val="000000" w:themeColor="text1"/>
          <w:sz w:val="22"/>
          <w:szCs w:val="22"/>
        </w:rPr>
      </w:pPr>
    </w:p>
    <w:p w14:paraId="10CE6E00" w14:textId="77777777" w:rsidR="004F1818" w:rsidRDefault="004F1818" w:rsidP="004F1818">
      <w:pPr>
        <w:pStyle w:val="Heading1"/>
        <w:spacing w:line="480" w:lineRule="auto"/>
        <w:ind w:left="0"/>
        <w:rPr>
          <w:rFonts w:cs="Arial"/>
          <w:color w:val="000000" w:themeColor="text1"/>
          <w:sz w:val="22"/>
          <w:szCs w:val="22"/>
        </w:rPr>
      </w:pPr>
    </w:p>
    <w:p w14:paraId="5A5EA368" w14:textId="77777777" w:rsidR="004F1818" w:rsidRDefault="004F1818" w:rsidP="004F1818">
      <w:pPr>
        <w:pStyle w:val="Heading1"/>
        <w:spacing w:line="480" w:lineRule="auto"/>
        <w:ind w:left="0"/>
        <w:rPr>
          <w:rFonts w:cs="Arial"/>
          <w:color w:val="000000" w:themeColor="text1"/>
          <w:sz w:val="22"/>
          <w:szCs w:val="22"/>
        </w:rPr>
      </w:pPr>
    </w:p>
    <w:p w14:paraId="7BAFA977" w14:textId="77777777" w:rsidR="004F1818" w:rsidRDefault="004F1818" w:rsidP="004F1818">
      <w:pPr>
        <w:pStyle w:val="Heading1"/>
        <w:spacing w:line="480" w:lineRule="auto"/>
        <w:ind w:left="0"/>
        <w:rPr>
          <w:rFonts w:cs="Arial"/>
          <w:color w:val="000000" w:themeColor="text1"/>
          <w:sz w:val="22"/>
          <w:szCs w:val="22"/>
        </w:rPr>
      </w:pPr>
    </w:p>
    <w:p w14:paraId="1D052E86" w14:textId="77777777" w:rsidR="004F1818" w:rsidRDefault="004F1818" w:rsidP="004F1818">
      <w:pPr>
        <w:pStyle w:val="Heading1"/>
        <w:spacing w:line="480" w:lineRule="auto"/>
        <w:ind w:left="0"/>
        <w:rPr>
          <w:rFonts w:cs="Arial"/>
          <w:color w:val="000000" w:themeColor="text1"/>
          <w:sz w:val="22"/>
          <w:szCs w:val="22"/>
        </w:rPr>
      </w:pPr>
    </w:p>
    <w:p w14:paraId="6AD67A8E" w14:textId="77777777" w:rsidR="004F1818" w:rsidRPr="00F916AC" w:rsidRDefault="004F1818" w:rsidP="004F1818">
      <w:pPr>
        <w:pStyle w:val="Heading1"/>
        <w:spacing w:line="480" w:lineRule="auto"/>
        <w:ind w:left="0"/>
        <w:rPr>
          <w:rFonts w:cs="Arial"/>
          <w:color w:val="000000" w:themeColor="text1"/>
          <w:sz w:val="22"/>
          <w:szCs w:val="22"/>
        </w:rPr>
      </w:pPr>
      <w:r w:rsidRPr="00F916AC">
        <w:rPr>
          <w:rFonts w:cs="Arial"/>
          <w:color w:val="000000" w:themeColor="text1"/>
          <w:sz w:val="22"/>
          <w:szCs w:val="22"/>
        </w:rPr>
        <w:lastRenderedPageBreak/>
        <w:t>CHAPTER 2 – Background Information and Analysis (2,000 words approx.)</w:t>
      </w:r>
    </w:p>
    <w:p w14:paraId="41289C69" w14:textId="77777777" w:rsidR="004F1818" w:rsidRPr="009E0C2E" w:rsidRDefault="004F1818" w:rsidP="004F1818">
      <w:pPr>
        <w:pStyle w:val="Heading2"/>
        <w:rPr>
          <w:rFonts w:ascii="Arial" w:hAnsi="Arial" w:cs="Arial"/>
          <w:b/>
          <w:color w:val="000000" w:themeColor="text1"/>
        </w:rPr>
      </w:pPr>
    </w:p>
    <w:p w14:paraId="4E0547AD" w14:textId="77777777" w:rsidR="004F1818" w:rsidRPr="009E0C2E" w:rsidRDefault="004F1818" w:rsidP="004F1818">
      <w:pPr>
        <w:pStyle w:val="Heading2"/>
        <w:rPr>
          <w:rFonts w:ascii="Arial" w:hAnsi="Arial" w:cs="Arial"/>
          <w:b/>
          <w:color w:val="000000" w:themeColor="text1"/>
        </w:rPr>
      </w:pPr>
      <w:r w:rsidRPr="009E0C2E">
        <w:rPr>
          <w:rStyle w:val="normaltextrun"/>
          <w:rFonts w:ascii="Arial" w:hAnsi="Arial" w:cs="Arial"/>
          <w:b/>
          <w:color w:val="000000" w:themeColor="text1"/>
        </w:rPr>
        <w:t>2.1 Introduction (150 words approx.)</w:t>
      </w:r>
      <w:r w:rsidRPr="009E0C2E">
        <w:rPr>
          <w:rStyle w:val="eop"/>
          <w:rFonts w:ascii="Arial" w:hAnsi="Arial" w:cs="Arial"/>
          <w:b/>
          <w:color w:val="000000" w:themeColor="text1"/>
        </w:rPr>
        <w:t> </w:t>
      </w:r>
    </w:p>
    <w:p w14:paraId="3B9BA864" w14:textId="77777777" w:rsidR="004F1818" w:rsidRPr="00F916AC" w:rsidRDefault="004F1818" w:rsidP="004F1818">
      <w:pPr>
        <w:pStyle w:val="paragraph"/>
        <w:spacing w:before="0" w:beforeAutospacing="0" w:after="0" w:afterAutospacing="0" w:line="480" w:lineRule="auto"/>
        <w:textAlignment w:val="baseline"/>
        <w:rPr>
          <w:rFonts w:ascii="Arial" w:hAnsi="Arial" w:cs="Arial"/>
          <w:color w:val="000000" w:themeColor="text1"/>
          <w:sz w:val="22"/>
          <w:szCs w:val="22"/>
        </w:rPr>
      </w:pPr>
      <w:r w:rsidRPr="00F916AC">
        <w:rPr>
          <w:rFonts w:ascii="Arial" w:hAnsi="Arial" w:cs="Arial"/>
          <w:color w:val="000000" w:themeColor="text1"/>
          <w:sz w:val="22"/>
          <w:szCs w:val="22"/>
        </w:rPr>
        <w:t>This chapter sets the context for the research by looking at the history, theory, and global and national aspects of healthcare workers’ mental health and coping strategies during the COVID-19 pandemic. It starts by exploring how healthcare workers’ mental health has been affected during previous outbreaks and emergencies. The chapter then introduces key theories that help explain stress and coping in healthcare settings. Next, it examines the topic from an international perspective, showing how the pandemic affected health systems differently around the world. The focus then shifts to the United Kingdom, where the NHS faced major workforce pressures. Finally, the chapter identifies gaps in current research and highlights areas that need further study. This background provides a clear understanding of the challenges healthcare workers face and explains why conducting a secondary review of recent evidence is important for improving mental health support and resilience in healthcare settings.</w:t>
      </w:r>
    </w:p>
    <w:p w14:paraId="5D97D76C" w14:textId="77777777" w:rsidR="004F1818" w:rsidRPr="008D11CD" w:rsidRDefault="004F1818" w:rsidP="004F1818">
      <w:pPr>
        <w:pStyle w:val="Heading2"/>
        <w:rPr>
          <w:b/>
        </w:rPr>
      </w:pPr>
      <w:r w:rsidRPr="008D11CD">
        <w:rPr>
          <w:rStyle w:val="normaltextrun"/>
          <w:rFonts w:ascii="Arial" w:hAnsi="Arial" w:cs="Arial"/>
          <w:b/>
          <w:color w:val="000000" w:themeColor="text1"/>
          <w:sz w:val="22"/>
          <w:szCs w:val="22"/>
        </w:rPr>
        <w:t>2.2 Historical Background (450 words approx.)</w:t>
      </w:r>
      <w:r w:rsidRPr="008D11CD">
        <w:rPr>
          <w:rStyle w:val="eop"/>
          <w:rFonts w:ascii="Arial" w:eastAsia="Calibri Light" w:hAnsi="Arial" w:cs="Arial"/>
          <w:b/>
          <w:color w:val="000000" w:themeColor="text1"/>
          <w:sz w:val="22"/>
          <w:szCs w:val="22"/>
        </w:rPr>
        <w:t> </w:t>
      </w:r>
    </w:p>
    <w:p w14:paraId="253034EF"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The mental health of healthcare workers (HCWs) has long been a concern during infectious disease outbreaks. Previous crises such as SARS in 2003, H1N1 in 2009, and Ebola from 2014 to 2016 revealed the significant psychological burden faced by frontline staff. During these outbreaks, HCWs commonly reported high levels of anxiety, fear of infection, social isolation, and long-term stress symptoms. For example, during the SARS outbreak, many healthcare workers experienced ongoing post-traumatic stress and persistent worry about passing the virus to family members (</w:t>
      </w:r>
      <w:proofErr w:type="spellStart"/>
      <w:r w:rsidRPr="00536956">
        <w:rPr>
          <w:rFonts w:ascii="Arial" w:eastAsia="Times New Roman" w:hAnsi="Arial" w:cs="Arial"/>
          <w:color w:val="000000" w:themeColor="text1"/>
          <w:lang w:eastAsia="en-GB"/>
        </w:rPr>
        <w:t>Shanafelt</w:t>
      </w:r>
      <w:proofErr w:type="spellEnd"/>
      <w:r w:rsidRPr="00536956">
        <w:rPr>
          <w:rFonts w:ascii="Arial" w:eastAsia="Times New Roman" w:hAnsi="Arial" w:cs="Arial"/>
          <w:color w:val="000000" w:themeColor="text1"/>
          <w:lang w:eastAsia="en-GB"/>
        </w:rPr>
        <w:t xml:space="preserve">, </w:t>
      </w:r>
      <w:proofErr w:type="spellStart"/>
      <w:r w:rsidRPr="00536956">
        <w:rPr>
          <w:rFonts w:ascii="Arial" w:eastAsia="Times New Roman" w:hAnsi="Arial" w:cs="Arial"/>
          <w:color w:val="000000" w:themeColor="text1"/>
          <w:lang w:eastAsia="en-GB"/>
        </w:rPr>
        <w:t>Ripp</w:t>
      </w:r>
      <w:proofErr w:type="spellEnd"/>
      <w:r w:rsidRPr="00536956">
        <w:rPr>
          <w:rFonts w:ascii="Arial" w:eastAsia="Times New Roman" w:hAnsi="Arial" w:cs="Arial"/>
          <w:color w:val="000000" w:themeColor="text1"/>
          <w:lang w:eastAsia="en-GB"/>
        </w:rPr>
        <w:t xml:space="preserve"> and </w:t>
      </w:r>
      <w:proofErr w:type="spellStart"/>
      <w:r w:rsidRPr="00536956">
        <w:rPr>
          <w:rFonts w:ascii="Arial" w:eastAsia="Times New Roman" w:hAnsi="Arial" w:cs="Arial"/>
          <w:color w:val="000000" w:themeColor="text1"/>
          <w:lang w:eastAsia="en-GB"/>
        </w:rPr>
        <w:t>Trockel</w:t>
      </w:r>
      <w:proofErr w:type="spellEnd"/>
      <w:r w:rsidRPr="00536956">
        <w:rPr>
          <w:rFonts w:ascii="Arial" w:eastAsia="Times New Roman" w:hAnsi="Arial" w:cs="Arial"/>
          <w:color w:val="000000" w:themeColor="text1"/>
          <w:lang w:eastAsia="en-GB"/>
        </w:rPr>
        <w:t>, 2020). These experiences highlighted the vulnerability of healthcare workers and emphasised the need for strong organisational planning, clear communication, and psychosocial support during crises.</w:t>
      </w:r>
    </w:p>
    <w:p w14:paraId="456B817A"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 xml:space="preserve">The COVID-19 pandemic presented challenges on a much larger scale. Beginning in early 2020, healthcare workers were exposed to intense psychological strain due to rapidly </w:t>
      </w:r>
      <w:r w:rsidRPr="00536956">
        <w:rPr>
          <w:rFonts w:ascii="Arial" w:eastAsia="Times New Roman" w:hAnsi="Arial" w:cs="Arial"/>
          <w:color w:val="000000" w:themeColor="text1"/>
          <w:lang w:eastAsia="en-GB"/>
        </w:rPr>
        <w:lastRenderedPageBreak/>
        <w:t>increasing hospital admissions, shortages of personal protective equipment (PPE), constantly changing care guidelines, and high patient mortality. Early studies reported widespread anxiety, depression, insomnia, and burnout among HCWs (</w:t>
      </w:r>
      <w:proofErr w:type="spellStart"/>
      <w:r w:rsidRPr="00536956">
        <w:rPr>
          <w:rFonts w:ascii="Arial" w:eastAsia="Times New Roman" w:hAnsi="Arial" w:cs="Arial"/>
          <w:color w:val="000000" w:themeColor="text1"/>
          <w:lang w:eastAsia="en-GB"/>
        </w:rPr>
        <w:t>Spoorthy</w:t>
      </w:r>
      <w:proofErr w:type="spellEnd"/>
      <w:r w:rsidRPr="00536956">
        <w:rPr>
          <w:rFonts w:ascii="Arial" w:eastAsia="Times New Roman" w:hAnsi="Arial" w:cs="Arial"/>
          <w:color w:val="000000" w:themeColor="text1"/>
          <w:lang w:eastAsia="en-GB"/>
        </w:rPr>
        <w:t xml:space="preserve">, Pratapa and </w:t>
      </w:r>
      <w:proofErr w:type="spellStart"/>
      <w:r w:rsidRPr="00536956">
        <w:rPr>
          <w:rFonts w:ascii="Arial" w:eastAsia="Times New Roman" w:hAnsi="Arial" w:cs="Arial"/>
          <w:color w:val="000000" w:themeColor="text1"/>
          <w:lang w:eastAsia="en-GB"/>
        </w:rPr>
        <w:t>Mahant</w:t>
      </w:r>
      <w:proofErr w:type="spellEnd"/>
      <w:r w:rsidRPr="00536956">
        <w:rPr>
          <w:rFonts w:ascii="Arial" w:eastAsia="Times New Roman" w:hAnsi="Arial" w:cs="Arial"/>
          <w:color w:val="000000" w:themeColor="text1"/>
          <w:lang w:eastAsia="en-GB"/>
        </w:rPr>
        <w:t>, 2020). Unlike previous outbreaks, which were often short-lived or regionally limited, COVID-19 lasted for several years with multiple waves of infection, creating prolonged stress rather than short, episodic periods of pressure.</w:t>
      </w:r>
    </w:p>
    <w:p w14:paraId="4852F831"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 xml:space="preserve">In response, organisations and governments introduced measures to support healthcare workers’ mental health. The World Health Organization (2022) emphasised the need for psychosocial support, safe working conditions, and access to mental health services. National bodies implemented similar measures. Public Health England (2020) stressed the importance of adequate PPE, infection-control training, and psychological support to reduce </w:t>
      </w:r>
      <w:bookmarkStart w:id="0" w:name="_GoBack"/>
      <w:r w:rsidRPr="00536956">
        <w:rPr>
          <w:rFonts w:ascii="Arial" w:eastAsia="Times New Roman" w:hAnsi="Arial" w:cs="Arial"/>
          <w:color w:val="000000" w:themeColor="text1"/>
          <w:lang w:eastAsia="en-GB"/>
        </w:rPr>
        <w:t xml:space="preserve">stress and improve safety. In the UK, NHS England (2021) established Staff Mental Health </w:t>
      </w:r>
      <w:bookmarkEnd w:id="0"/>
      <w:r w:rsidRPr="00536956">
        <w:rPr>
          <w:rFonts w:ascii="Arial" w:eastAsia="Times New Roman" w:hAnsi="Arial" w:cs="Arial"/>
          <w:color w:val="000000" w:themeColor="text1"/>
          <w:lang w:eastAsia="en-GB"/>
        </w:rPr>
        <w:t>and Wellbeing Hubs to offer counselling, therapy, and specialist referrals to healthcare staff.</w:t>
      </w:r>
    </w:p>
    <w:p w14:paraId="32084598" w14:textId="77777777" w:rsidR="004F1818" w:rsidRPr="00A20CDF"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Despite these interventions, many healthcare workers continued to face ongoing psychological challenges. Long-term studies indicate that burnout, stress, and trauma symptoms persisted for years during the pandemic (Maunder et al., 2024). This historical perspective shows that pandemics not only trigger immediate mental health crises but also result in long-lasting psychological effects. It also highlights that organisational responses often lag behind the needs of healthcare workers, underlining the importance of studying coping strategies and workplace stressors in depth.</w:t>
      </w:r>
    </w:p>
    <w:p w14:paraId="0262B13D" w14:textId="77777777" w:rsidR="004F1818" w:rsidRPr="008D11CD" w:rsidRDefault="004F1818" w:rsidP="004F1818">
      <w:pPr>
        <w:pStyle w:val="Heading2"/>
        <w:rPr>
          <w:b/>
          <w:color w:val="000000" w:themeColor="text1"/>
        </w:rPr>
      </w:pPr>
      <w:r w:rsidRPr="008D11CD">
        <w:rPr>
          <w:rStyle w:val="normaltextrun"/>
          <w:rFonts w:ascii="Arial" w:hAnsi="Arial" w:cs="Arial"/>
          <w:b/>
          <w:color w:val="000000" w:themeColor="text1"/>
          <w:sz w:val="22"/>
          <w:szCs w:val="22"/>
        </w:rPr>
        <w:t>2.3 Theoretical Background (500 words approx.)</w:t>
      </w:r>
      <w:r w:rsidRPr="008D11CD">
        <w:rPr>
          <w:rStyle w:val="eop"/>
          <w:rFonts w:ascii="Arial" w:eastAsia="Calibri Light" w:hAnsi="Arial" w:cs="Arial"/>
          <w:b/>
          <w:color w:val="000000" w:themeColor="text1"/>
          <w:sz w:val="22"/>
          <w:szCs w:val="22"/>
        </w:rPr>
        <w:t> </w:t>
      </w:r>
    </w:p>
    <w:p w14:paraId="1F361C8C" w14:textId="77777777" w:rsidR="004F1818" w:rsidRPr="00F916AC" w:rsidRDefault="004F1818" w:rsidP="004F1818">
      <w:pPr>
        <w:spacing w:before="280" w:after="280" w:line="480" w:lineRule="auto"/>
        <w:rPr>
          <w:rFonts w:ascii="Arial" w:eastAsia="Arial" w:hAnsi="Arial" w:cs="Arial"/>
          <w:color w:val="000000" w:themeColor="text1"/>
        </w:rPr>
      </w:pPr>
      <w:r w:rsidRPr="00F916AC">
        <w:rPr>
          <w:rStyle w:val="eop"/>
          <w:rFonts w:ascii="Arial" w:eastAsia="Calibri Light" w:hAnsi="Arial" w:cs="Arial"/>
          <w:color w:val="000000" w:themeColor="text1"/>
        </w:rPr>
        <w:t> </w:t>
      </w:r>
      <w:r w:rsidRPr="00F916AC">
        <w:rPr>
          <w:rFonts w:ascii="Arial" w:eastAsia="Arial" w:hAnsi="Arial" w:cs="Arial"/>
          <w:color w:val="000000" w:themeColor="text1"/>
        </w:rPr>
        <w:t>A number of theoretical frameworks support understanding of how Healthcare workers experience and cope with psychological stress during pandemics.</w:t>
      </w:r>
    </w:p>
    <w:p w14:paraId="79F1E0DA" w14:textId="77777777" w:rsidR="004F1818" w:rsidRPr="008D11CD" w:rsidRDefault="004F1818" w:rsidP="004F1818">
      <w:pPr>
        <w:pStyle w:val="Heading2"/>
        <w:rPr>
          <w:rFonts w:ascii="Arial" w:hAnsi="Arial" w:cs="Arial"/>
          <w:b/>
          <w:color w:val="000000" w:themeColor="text1"/>
        </w:rPr>
      </w:pPr>
      <w:r w:rsidRPr="008D11CD">
        <w:rPr>
          <w:rFonts w:ascii="Arial" w:hAnsi="Arial" w:cs="Arial"/>
          <w:b/>
          <w:color w:val="000000" w:themeColor="text1"/>
        </w:rPr>
        <w:lastRenderedPageBreak/>
        <w:t>2.3.1 Stress and Coping Theory:</w:t>
      </w:r>
    </w:p>
    <w:p w14:paraId="4F4C12AA" w14:textId="77777777" w:rsidR="004F1818" w:rsidRPr="00536956"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 xml:space="preserve">Lazarus and </w:t>
      </w:r>
      <w:proofErr w:type="spellStart"/>
      <w:r w:rsidRPr="00536956">
        <w:rPr>
          <w:rFonts w:ascii="Arial" w:eastAsia="Times New Roman" w:hAnsi="Arial" w:cs="Arial"/>
          <w:color w:val="000000" w:themeColor="text1"/>
          <w:lang w:eastAsia="en-GB"/>
        </w:rPr>
        <w:t>Folkman’s</w:t>
      </w:r>
      <w:proofErr w:type="spellEnd"/>
      <w:r w:rsidRPr="00536956">
        <w:rPr>
          <w:rFonts w:ascii="Arial" w:eastAsia="Times New Roman" w:hAnsi="Arial" w:cs="Arial"/>
          <w:color w:val="000000" w:themeColor="text1"/>
          <w:lang w:eastAsia="en-GB"/>
        </w:rPr>
        <w:t xml:space="preserve"> Stress and Coping Theory is one of the most widely used frameworks for understanding how people respond to stress. It suggests that stress comes not only from external demands but also from how individuals perceive those demands and the ways they try to handle them. Coping strategies are usually divided into two types: </w:t>
      </w:r>
      <w:r w:rsidRPr="00536956">
        <w:rPr>
          <w:rFonts w:ascii="Arial" w:eastAsia="Times New Roman" w:hAnsi="Arial" w:cs="Arial"/>
          <w:bCs/>
          <w:color w:val="000000" w:themeColor="text1"/>
          <w:lang w:eastAsia="en-GB"/>
        </w:rPr>
        <w:t>problem-focused coping</w:t>
      </w:r>
      <w:r w:rsidRPr="00536956">
        <w:rPr>
          <w:rFonts w:ascii="Arial" w:eastAsia="Times New Roman" w:hAnsi="Arial" w:cs="Arial"/>
          <w:color w:val="000000" w:themeColor="text1"/>
          <w:lang w:eastAsia="en-GB"/>
        </w:rPr>
        <w:t xml:space="preserve">, which involves taking actions to address the source of stress, and </w:t>
      </w:r>
      <w:r w:rsidRPr="00536956">
        <w:rPr>
          <w:rFonts w:ascii="Arial" w:eastAsia="Times New Roman" w:hAnsi="Arial" w:cs="Arial"/>
          <w:bCs/>
          <w:color w:val="000000" w:themeColor="text1"/>
          <w:lang w:eastAsia="en-GB"/>
        </w:rPr>
        <w:t>emotion-focused coping</w:t>
      </w:r>
      <w:r w:rsidRPr="00536956">
        <w:rPr>
          <w:rFonts w:ascii="Arial" w:eastAsia="Times New Roman" w:hAnsi="Arial" w:cs="Arial"/>
          <w:color w:val="000000" w:themeColor="text1"/>
          <w:lang w:eastAsia="en-GB"/>
        </w:rPr>
        <w:t>, which focuses on managing emotional responses to stress.</w:t>
      </w:r>
    </w:p>
    <w:p w14:paraId="3474ED2F"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536956">
        <w:rPr>
          <w:rFonts w:ascii="Arial" w:eastAsia="Times New Roman" w:hAnsi="Arial" w:cs="Arial"/>
          <w:color w:val="000000" w:themeColor="text1"/>
          <w:lang w:eastAsia="en-GB"/>
        </w:rPr>
        <w:t>During the COVID-19 pandemic, healthcare workers used both types of coping. Problem-focused strategies included seeking information, following safety protocols, and learning new skills. Emotion-focused strategies included mindfulness, support from colleagues, and distancing oneself mentally from stressful situations (Rossi et al., 2023). Research shows that using effective coping strategies can reduce psychological distress, while avoidance or unhealthy coping methods are linked to higher levels of burnout.</w:t>
      </w:r>
    </w:p>
    <w:p w14:paraId="04BBED5C" w14:textId="77777777" w:rsidR="004F1818" w:rsidRPr="008D11CD" w:rsidRDefault="004F1818" w:rsidP="004F1818">
      <w:pPr>
        <w:pStyle w:val="Heading2"/>
        <w:rPr>
          <w:rFonts w:ascii="Arial" w:hAnsi="Arial" w:cs="Arial"/>
          <w:b/>
          <w:color w:val="000000" w:themeColor="text1"/>
        </w:rPr>
      </w:pPr>
      <w:r w:rsidRPr="008D11CD">
        <w:rPr>
          <w:rFonts w:ascii="Arial" w:hAnsi="Arial" w:cs="Arial"/>
          <w:b/>
          <w:color w:val="000000" w:themeColor="text1"/>
        </w:rPr>
        <w:t>2.3.2 Job Demands–Resources (JD-R) Model:</w:t>
      </w:r>
    </w:p>
    <w:p w14:paraId="388D8843"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 xml:space="preserve">The Job Demands–Resources (JD-R) model provides a broader view of work-related stress. It suggests that high job demands such as heavy workloads, emotional pressure, and uncertainty can lead to burnout if workers do not have enough job resources, like support, autonomy, and clear organisational structures (Bakker and </w:t>
      </w:r>
      <w:proofErr w:type="spellStart"/>
      <w:r w:rsidRPr="00F916AC">
        <w:rPr>
          <w:rFonts w:ascii="Arial" w:eastAsia="Times New Roman" w:hAnsi="Arial" w:cs="Arial"/>
          <w:color w:val="000000" w:themeColor="text1"/>
          <w:lang w:eastAsia="en-GB"/>
        </w:rPr>
        <w:t>Demerouti</w:t>
      </w:r>
      <w:proofErr w:type="spellEnd"/>
      <w:r w:rsidRPr="00F916AC">
        <w:rPr>
          <w:rFonts w:ascii="Arial" w:eastAsia="Times New Roman" w:hAnsi="Arial" w:cs="Arial"/>
          <w:color w:val="000000" w:themeColor="text1"/>
          <w:lang w:eastAsia="en-GB"/>
        </w:rPr>
        <w:t>, 2017).</w:t>
      </w:r>
    </w:p>
    <w:p w14:paraId="28B141C4"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 xml:space="preserve">During the COVID-19 pandemic, healthcare workers faced increased demands alongside fewer resources. They experienced severe staffing shortages, limited rest, insufficient PPE, and the challenges of caring for critically ill patients. Studies during this period showed that lack of organisational support strongly predicted burnout and emotional exhaustion among healthcare workers (Anger et al., 2024). A diary-based study by </w:t>
      </w:r>
      <w:proofErr w:type="spellStart"/>
      <w:r w:rsidRPr="00F916AC">
        <w:rPr>
          <w:rFonts w:ascii="Arial" w:eastAsia="Times New Roman" w:hAnsi="Arial" w:cs="Arial"/>
          <w:color w:val="000000" w:themeColor="text1"/>
          <w:lang w:eastAsia="en-GB"/>
        </w:rPr>
        <w:t>Mazzetti</w:t>
      </w:r>
      <w:proofErr w:type="spellEnd"/>
      <w:r w:rsidRPr="00F916AC">
        <w:rPr>
          <w:rFonts w:ascii="Arial" w:eastAsia="Times New Roman" w:hAnsi="Arial" w:cs="Arial"/>
          <w:color w:val="000000" w:themeColor="text1"/>
          <w:lang w:eastAsia="en-GB"/>
        </w:rPr>
        <w:t xml:space="preserve"> et al. (2025) also found that daily changes in job demands and available resources were linked to fluctuations in stress levels and overall well-being.</w:t>
      </w:r>
    </w:p>
    <w:p w14:paraId="3334C45C"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lastRenderedPageBreak/>
        <w:t>This model highlights the importance of balancing demands with resources to protect healthcare workers’ mental health and demonstrates why organisational support plays a key role in managing stress during crises like COVID-19.</w:t>
      </w:r>
    </w:p>
    <w:p w14:paraId="0A5DD431" w14:textId="77777777" w:rsidR="004F1818" w:rsidRPr="008D11CD" w:rsidRDefault="004F1818" w:rsidP="004F1818">
      <w:pPr>
        <w:pStyle w:val="Heading2"/>
        <w:rPr>
          <w:rFonts w:ascii="Arial" w:hAnsi="Arial" w:cs="Arial"/>
          <w:b/>
          <w:color w:val="000000" w:themeColor="text1"/>
        </w:rPr>
      </w:pPr>
      <w:r w:rsidRPr="008D11CD">
        <w:rPr>
          <w:rFonts w:ascii="Arial" w:hAnsi="Arial" w:cs="Arial"/>
          <w:b/>
          <w:color w:val="000000" w:themeColor="text1"/>
        </w:rPr>
        <w:t>2.3.3 Individual and Organisational Resilience Theory:</w:t>
      </w:r>
    </w:p>
    <w:p w14:paraId="4CA21C50"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 xml:space="preserve">Resilience theory looks at how people cope with and adapt to difficult situations. For healthcare workers, resilience includes personal qualities like controlling emotions, staying positive, and having a sense of purpose. It also involves support from </w:t>
      </w:r>
      <w:proofErr w:type="spellStart"/>
      <w:r w:rsidRPr="00F916AC">
        <w:rPr>
          <w:rFonts w:ascii="Arial" w:eastAsia="Times New Roman" w:hAnsi="Arial" w:cs="Arial"/>
          <w:color w:val="000000" w:themeColor="text1"/>
          <w:lang w:eastAsia="en-GB"/>
        </w:rPr>
        <w:t>coworkers</w:t>
      </w:r>
      <w:proofErr w:type="spellEnd"/>
      <w:r w:rsidRPr="00F916AC">
        <w:rPr>
          <w:rFonts w:ascii="Arial" w:eastAsia="Times New Roman" w:hAnsi="Arial" w:cs="Arial"/>
          <w:color w:val="000000" w:themeColor="text1"/>
          <w:lang w:eastAsia="en-GB"/>
        </w:rPr>
        <w:t>, family, and supervisors (</w:t>
      </w:r>
      <w:proofErr w:type="spellStart"/>
      <w:r w:rsidRPr="00F916AC">
        <w:rPr>
          <w:rFonts w:ascii="Arial" w:eastAsia="Times New Roman" w:hAnsi="Arial" w:cs="Arial"/>
          <w:color w:val="000000" w:themeColor="text1"/>
          <w:lang w:eastAsia="en-GB"/>
        </w:rPr>
        <w:t>Labrague</w:t>
      </w:r>
      <w:proofErr w:type="spellEnd"/>
      <w:r w:rsidRPr="00F916AC">
        <w:rPr>
          <w:rFonts w:ascii="Arial" w:eastAsia="Times New Roman" w:hAnsi="Arial" w:cs="Arial"/>
          <w:color w:val="000000" w:themeColor="text1"/>
          <w:lang w:eastAsia="en-GB"/>
        </w:rPr>
        <w:t>, 2021).</w:t>
      </w:r>
    </w:p>
    <w:p w14:paraId="022511F7"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Organisational resilience is about how workplaces create a supportive and flexible environment. Things like strong teamwork, helpful managers, clear communication, and well-organised work make it easier for healthcare workers to handle stress (</w:t>
      </w:r>
      <w:proofErr w:type="spellStart"/>
      <w:r w:rsidRPr="00F916AC">
        <w:rPr>
          <w:rFonts w:ascii="Arial" w:eastAsia="Times New Roman" w:hAnsi="Arial" w:cs="Arial"/>
          <w:color w:val="000000" w:themeColor="text1"/>
          <w:lang w:eastAsia="en-GB"/>
        </w:rPr>
        <w:t>Oprea</w:t>
      </w:r>
      <w:proofErr w:type="spellEnd"/>
      <w:r w:rsidRPr="00F916AC">
        <w:rPr>
          <w:rFonts w:ascii="Arial" w:eastAsia="Times New Roman" w:hAnsi="Arial" w:cs="Arial"/>
          <w:color w:val="000000" w:themeColor="text1"/>
          <w:lang w:eastAsia="en-GB"/>
        </w:rPr>
        <w:t xml:space="preserve"> et al., 2025).</w:t>
      </w:r>
    </w:p>
    <w:p w14:paraId="632EEF98"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During the COVID-19 pandemic, both personal resilience and support from the workplace were important for keeping healthcare workers mentally healthy. This shows that coping with stress depends not just on individual skills, but also on having a supportive work environment and proper resources.</w:t>
      </w:r>
    </w:p>
    <w:p w14:paraId="1AAA8346" w14:textId="77777777" w:rsidR="004F1818" w:rsidRPr="008D11CD" w:rsidRDefault="004F1818" w:rsidP="004F1818">
      <w:pPr>
        <w:pStyle w:val="Heading2"/>
        <w:rPr>
          <w:rFonts w:ascii="Arial" w:hAnsi="Arial" w:cs="Arial"/>
          <w:b/>
          <w:color w:val="000000" w:themeColor="text1"/>
        </w:rPr>
      </w:pPr>
      <w:r w:rsidRPr="008D11CD">
        <w:rPr>
          <w:rFonts w:ascii="Arial" w:hAnsi="Arial" w:cs="Arial"/>
          <w:b/>
          <w:color w:val="000000" w:themeColor="text1"/>
        </w:rPr>
        <w:t>2.3.4 Critical Evaluation of Theories:</w:t>
      </w:r>
    </w:p>
    <w:p w14:paraId="1A7AD1E0" w14:textId="77777777" w:rsidR="004F1818" w:rsidRPr="00F916AC"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While the above frameworks provide valuable insights, each has limitations. Stress and Coping Theory focuses heavily on individual appraisal, potentially overlooking structural barriers that limit coping options. The JD-R model accounts for organisational influences but does not fully address moral injury psychological harm caused by witnessing or participating in ethically distressing scenarios. Resilience theory risks placing responsibility on individuals if organisational environments are inadequate. These limitations suggest that an integrated theoretical approach is needed one that accounts for individual, organisational, and systemic influences on HCW mental health.</w:t>
      </w:r>
    </w:p>
    <w:p w14:paraId="74D22FC0" w14:textId="77777777" w:rsidR="004F1818" w:rsidRPr="009E0C2E" w:rsidRDefault="004F1818" w:rsidP="004F1818">
      <w:pPr>
        <w:pStyle w:val="Heading2"/>
        <w:rPr>
          <w:color w:val="000000" w:themeColor="text1"/>
        </w:rPr>
      </w:pPr>
      <w:r w:rsidRPr="009E0C2E">
        <w:rPr>
          <w:rStyle w:val="eop"/>
          <w:rFonts w:ascii="Arial" w:eastAsia="Calibri Light" w:hAnsi="Arial" w:cs="Arial"/>
          <w:color w:val="000000" w:themeColor="text1"/>
          <w:sz w:val="22"/>
          <w:szCs w:val="22"/>
        </w:rPr>
        <w:lastRenderedPageBreak/>
        <w:t> </w:t>
      </w:r>
    </w:p>
    <w:p w14:paraId="3E7ECD7D" w14:textId="77777777" w:rsidR="004F1818" w:rsidRPr="009E0C2E" w:rsidRDefault="004F1818" w:rsidP="004F1818">
      <w:pPr>
        <w:pStyle w:val="Heading2"/>
        <w:rPr>
          <w:b/>
          <w:color w:val="000000" w:themeColor="text1"/>
        </w:rPr>
      </w:pPr>
      <w:r w:rsidRPr="009E0C2E">
        <w:rPr>
          <w:rStyle w:val="normaltextrun"/>
          <w:rFonts w:ascii="Arial" w:hAnsi="Arial" w:cs="Arial"/>
          <w:b/>
          <w:color w:val="000000" w:themeColor="text1"/>
          <w:sz w:val="22"/>
          <w:szCs w:val="22"/>
        </w:rPr>
        <w:t>2.4 International Context (400 words approx.)</w:t>
      </w:r>
      <w:r w:rsidRPr="009E0C2E">
        <w:rPr>
          <w:rStyle w:val="eop"/>
          <w:rFonts w:ascii="Arial" w:eastAsia="Calibri Light" w:hAnsi="Arial" w:cs="Arial"/>
          <w:b/>
          <w:color w:val="000000" w:themeColor="text1"/>
          <w:sz w:val="22"/>
          <w:szCs w:val="22"/>
        </w:rPr>
        <w:t> </w:t>
      </w:r>
    </w:p>
    <w:p w14:paraId="219E0E40" w14:textId="77777777" w:rsidR="004F1818" w:rsidRPr="00F916AC" w:rsidRDefault="004F1818" w:rsidP="004F1818">
      <w:pPr>
        <w:spacing w:before="280" w:after="280" w:line="480" w:lineRule="auto"/>
        <w:rPr>
          <w:rFonts w:ascii="Arial" w:eastAsia="Arial" w:hAnsi="Arial" w:cs="Arial"/>
          <w:color w:val="000000" w:themeColor="text1"/>
        </w:rPr>
      </w:pPr>
      <w:r w:rsidRPr="00F916AC">
        <w:rPr>
          <w:rStyle w:val="eop"/>
          <w:rFonts w:ascii="Arial" w:eastAsia="Calibri Light" w:hAnsi="Arial" w:cs="Arial"/>
          <w:color w:val="000000" w:themeColor="text1"/>
        </w:rPr>
        <w:t> </w:t>
      </w:r>
      <w:r w:rsidRPr="00F916AC">
        <w:rPr>
          <w:rFonts w:ascii="Arial" w:eastAsia="Arial" w:hAnsi="Arial" w:cs="Arial"/>
          <w:color w:val="000000" w:themeColor="text1"/>
        </w:rPr>
        <w:t>Globally, the mental health effects of COVID-19 on Healthcare workers varied due to differences in health system capacity, cultural norms, and pandemic severity.</w:t>
      </w:r>
    </w:p>
    <w:p w14:paraId="47957EEC" w14:textId="77777777" w:rsidR="004F1818" w:rsidRPr="009E0C2E" w:rsidRDefault="004F1818" w:rsidP="004F1818">
      <w:pPr>
        <w:pStyle w:val="Heading2"/>
        <w:rPr>
          <w:rFonts w:ascii="Arial" w:hAnsi="Arial" w:cs="Arial"/>
          <w:b/>
          <w:color w:val="000000" w:themeColor="text1"/>
        </w:rPr>
      </w:pPr>
      <w:r w:rsidRPr="009E0C2E">
        <w:rPr>
          <w:rFonts w:ascii="Arial" w:hAnsi="Arial" w:cs="Arial"/>
          <w:b/>
          <w:color w:val="000000" w:themeColor="text1"/>
        </w:rPr>
        <w:t>2.4.1 High-Income Countries</w:t>
      </w:r>
    </w:p>
    <w:p w14:paraId="4D32FD20"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In high-income countries like the United States, Italy, Taiwan, and the UK, healthcare workers experienced high levels of anxiety, depression, burnout, and moral distress during the COVID-19 pandemic (Rossi et al., 2023). These countries generally had structured organisational support available, such as resilience training, psychological helplines, clinical debriefings, and well-being hubs. However, not all healthcare workers were able to use these supports consistently, often due to heavy workloads, stigma, or lack of time.</w:t>
      </w:r>
    </w:p>
    <w:p w14:paraId="382582DA"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In Taiwan, a study in 2025 found that resilience among critical care healthcare workers was closely linked to lower burnout. Social support from colleagues and family was the most commonly used and effective coping strategy (Lee et al., 2025).</w:t>
      </w:r>
    </w:p>
    <w:p w14:paraId="1219B0F3" w14:textId="77777777" w:rsidR="004F1818" w:rsidRPr="009E0C2E" w:rsidRDefault="004F1818" w:rsidP="004F1818">
      <w:pPr>
        <w:pStyle w:val="Heading2"/>
        <w:rPr>
          <w:rFonts w:ascii="Arial" w:hAnsi="Arial" w:cs="Arial"/>
          <w:b/>
          <w:color w:val="000000" w:themeColor="text1"/>
        </w:rPr>
      </w:pPr>
      <w:r w:rsidRPr="009E0C2E">
        <w:rPr>
          <w:rFonts w:ascii="Arial" w:hAnsi="Arial" w:cs="Arial"/>
          <w:b/>
          <w:color w:val="000000" w:themeColor="text1"/>
        </w:rPr>
        <w:t>2.4.2 Low- and Middle-Income Countries (LMICs)</w:t>
      </w:r>
    </w:p>
    <w:p w14:paraId="7EA62640" w14:textId="77777777" w:rsidR="004F1818" w:rsidRPr="00F916AC"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Healthcare workers in LMICs often faced greater systemic challenges, including resource scarcity, limited PPE, weak mental health infrastructures, and heavy workloads. Coping strategies in these settings often relied on social networks, community solidarity, and religious coping (</w:t>
      </w:r>
      <w:proofErr w:type="spellStart"/>
      <w:r w:rsidRPr="00F916AC">
        <w:rPr>
          <w:rFonts w:ascii="Arial" w:eastAsia="Arial" w:hAnsi="Arial" w:cs="Arial"/>
          <w:color w:val="000000" w:themeColor="text1"/>
        </w:rPr>
        <w:t>Gyamerah</w:t>
      </w:r>
      <w:proofErr w:type="spellEnd"/>
      <w:r w:rsidRPr="00F916AC">
        <w:rPr>
          <w:rFonts w:ascii="Arial" w:eastAsia="Arial" w:hAnsi="Arial" w:cs="Arial"/>
          <w:color w:val="000000" w:themeColor="text1"/>
        </w:rPr>
        <w:t xml:space="preserve"> et al., 2025). Organisational mental health support was variable, and many Healthcare workers had to rely on informal, culturally rooted strategies.</w:t>
      </w:r>
    </w:p>
    <w:p w14:paraId="47166C7F" w14:textId="77777777" w:rsidR="004F1818" w:rsidRPr="009E0C2E" w:rsidRDefault="004F1818" w:rsidP="004F1818">
      <w:pPr>
        <w:pStyle w:val="Heading2"/>
        <w:rPr>
          <w:rFonts w:ascii="Arial" w:hAnsi="Arial" w:cs="Arial"/>
          <w:b/>
          <w:color w:val="000000" w:themeColor="text1"/>
        </w:rPr>
      </w:pPr>
      <w:r w:rsidRPr="009E0C2E">
        <w:rPr>
          <w:rFonts w:ascii="Arial" w:hAnsi="Arial" w:cs="Arial"/>
          <w:b/>
          <w:color w:val="000000" w:themeColor="text1"/>
        </w:rPr>
        <w:t>2.4.3 Global Institutional Responses</w:t>
      </w:r>
    </w:p>
    <w:p w14:paraId="424D18BB" w14:textId="77777777" w:rsidR="004F1818" w:rsidRPr="00F916AC"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 xml:space="preserve">International policy bodies responded to growing concerns. The World Health Organization (2022) published guidance urging healthcare institutions to adopt measures such as peer support systems, mental health hotlines, and flexible working practices. These </w:t>
      </w:r>
      <w:r w:rsidRPr="00F916AC">
        <w:rPr>
          <w:rFonts w:ascii="Arial" w:eastAsia="Arial" w:hAnsi="Arial" w:cs="Arial"/>
          <w:color w:val="000000" w:themeColor="text1"/>
        </w:rPr>
        <w:lastRenderedPageBreak/>
        <w:t>recommendations emphasised that HCW well-being is a cornerstone of resilient health systems.</w:t>
      </w:r>
    </w:p>
    <w:p w14:paraId="22BA9A8C" w14:textId="77777777" w:rsidR="004F1818" w:rsidRPr="00F916AC"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Despite these global efforts, implementation remained uneven. Variations in resources, policy prioritisation, and cultural attitudes toward mental health contributed to differences in coping outcomes. This highlights the importance of synthesising contextualised evidence across countries.</w:t>
      </w:r>
    </w:p>
    <w:p w14:paraId="6BC7B3D0" w14:textId="77777777" w:rsidR="004F1818" w:rsidRPr="009E0C2E" w:rsidRDefault="004F1818" w:rsidP="004F1818">
      <w:pPr>
        <w:pStyle w:val="Heading2"/>
        <w:rPr>
          <w:rFonts w:ascii="Arial" w:hAnsi="Arial" w:cs="Arial"/>
          <w:b/>
          <w:color w:val="000000" w:themeColor="text1"/>
        </w:rPr>
      </w:pPr>
      <w:r w:rsidRPr="009E0C2E">
        <w:rPr>
          <w:rFonts w:ascii="Arial" w:hAnsi="Arial" w:cs="Arial"/>
          <w:b/>
          <w:color w:val="000000" w:themeColor="text1"/>
        </w:rPr>
        <w:t>2.5 National/Local UK Context</w:t>
      </w:r>
    </w:p>
    <w:p w14:paraId="674A334A" w14:textId="77777777" w:rsidR="004F1818" w:rsidRPr="00F916AC"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The UK provides a particularly important context for understanding the mental health impact of COVID-19 on Healthcare workers because of the severe strain placed on the NHS and social care system. The pandemic occurred against a backdrop of pre-existing staff shortages, increasing service demand, and widespread burnout.</w:t>
      </w:r>
    </w:p>
    <w:p w14:paraId="249E7A1F" w14:textId="77777777" w:rsidR="004F1818" w:rsidRPr="009E0C2E" w:rsidRDefault="004F1818" w:rsidP="004F1818">
      <w:pPr>
        <w:pStyle w:val="Heading2"/>
        <w:rPr>
          <w:rFonts w:ascii="Arial" w:hAnsi="Arial" w:cs="Arial"/>
          <w:b/>
          <w:color w:val="000000" w:themeColor="text1"/>
        </w:rPr>
      </w:pPr>
      <w:r w:rsidRPr="009E0C2E">
        <w:rPr>
          <w:rFonts w:ascii="Arial" w:hAnsi="Arial" w:cs="Arial"/>
          <w:b/>
          <w:color w:val="000000" w:themeColor="text1"/>
        </w:rPr>
        <w:t>2.5.1 Impact on UK Healthcare workers</w:t>
      </w:r>
    </w:p>
    <w:p w14:paraId="6EBFC1BD" w14:textId="77777777" w:rsidR="004F1818" w:rsidRPr="00F916AC" w:rsidRDefault="004F1818" w:rsidP="004F1818">
      <w:pPr>
        <w:spacing w:before="280" w:after="280" w:line="480" w:lineRule="auto"/>
        <w:rPr>
          <w:rFonts w:ascii="Arial" w:eastAsia="Arial" w:hAnsi="Arial" w:cs="Arial"/>
          <w:b/>
          <w:color w:val="000000" w:themeColor="text1"/>
        </w:rPr>
      </w:pPr>
      <w:r w:rsidRPr="00F916AC">
        <w:rPr>
          <w:rFonts w:ascii="Arial" w:hAnsi="Arial" w:cs="Arial"/>
          <w:color w:val="000000" w:themeColor="text1"/>
        </w:rPr>
        <w:t>Studies have consistently reported high levels of burnout, stress, anxiety, and moral injury among NHS staff during the COVID-19 pandemic (Davies et al., 2025). Healthcare workers faced emotionally demanding decisions, such as prioritising patients, managing exposure risk, and dealing with high mortality rates. Long-term studies of NHS mental health staff showed that burnout increased over time and remained high even years after the first wave of the pandemic (Maunder et al., 2024).</w:t>
      </w:r>
    </w:p>
    <w:p w14:paraId="4D785EA1" w14:textId="77777777" w:rsidR="004F1818" w:rsidRPr="009E0C2E" w:rsidRDefault="004F1818" w:rsidP="004F1818">
      <w:pPr>
        <w:pStyle w:val="Heading2"/>
        <w:rPr>
          <w:rFonts w:ascii="Arial" w:hAnsi="Arial" w:cs="Arial"/>
          <w:b/>
          <w:color w:val="000000" w:themeColor="text1"/>
        </w:rPr>
      </w:pPr>
      <w:r w:rsidRPr="009E0C2E">
        <w:rPr>
          <w:rFonts w:ascii="Arial" w:hAnsi="Arial" w:cs="Arial"/>
          <w:b/>
          <w:color w:val="000000" w:themeColor="text1"/>
        </w:rPr>
        <w:t>2.5.2 Organisational Determinants of Coping and Well-Being</w:t>
      </w:r>
    </w:p>
    <w:p w14:paraId="1DD320C7"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Research shows that organisational support is key to helping healthcare workers cope with stress. Managerial support, strong team cohesion, and clear communication have been shown to improve resilience among healthcare staff (</w:t>
      </w:r>
      <w:proofErr w:type="spellStart"/>
      <w:r w:rsidRPr="00F916AC">
        <w:rPr>
          <w:rFonts w:ascii="Arial" w:eastAsia="Times New Roman" w:hAnsi="Arial" w:cs="Arial"/>
          <w:color w:val="000000" w:themeColor="text1"/>
          <w:lang w:eastAsia="en-GB"/>
        </w:rPr>
        <w:t>Oprea</w:t>
      </w:r>
      <w:proofErr w:type="spellEnd"/>
      <w:r w:rsidRPr="00F916AC">
        <w:rPr>
          <w:rFonts w:ascii="Arial" w:eastAsia="Times New Roman" w:hAnsi="Arial" w:cs="Arial"/>
          <w:color w:val="000000" w:themeColor="text1"/>
          <w:lang w:eastAsia="en-GB"/>
        </w:rPr>
        <w:t xml:space="preserve"> et al., 2025). Similarly, NHS England (2022) highlighted in the NHS People Plan that compassionate leadership, staff involvement, and structural support are essential for reducing stress and supporting coping.</w:t>
      </w:r>
    </w:p>
    <w:p w14:paraId="479D4769"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lastRenderedPageBreak/>
        <w:t>The Health and Safety Executive (2020) also stressed that employers have a legal duty to protect staff from work-related stress, which is especially important during public health emergencies. In addition, NICE (2021) recommended evidence-based strategies to improve workplace well-being, including regular stress risk assessments and accessible mental health services.</w:t>
      </w:r>
    </w:p>
    <w:p w14:paraId="77C96E2B" w14:textId="77777777" w:rsidR="004F1818" w:rsidRPr="009E0C2E" w:rsidRDefault="004F1818" w:rsidP="004F1818">
      <w:pPr>
        <w:pStyle w:val="Heading2"/>
        <w:rPr>
          <w:rFonts w:ascii="Arial" w:hAnsi="Arial" w:cs="Arial"/>
          <w:b/>
          <w:color w:val="000000" w:themeColor="text1"/>
        </w:rPr>
      </w:pPr>
      <w:r w:rsidRPr="009E0C2E">
        <w:rPr>
          <w:rFonts w:ascii="Arial" w:hAnsi="Arial" w:cs="Arial"/>
          <w:b/>
          <w:color w:val="000000" w:themeColor="text1"/>
        </w:rPr>
        <w:t>2.5.3 Policy Responses</w:t>
      </w:r>
    </w:p>
    <w:p w14:paraId="05945E76" w14:textId="77777777" w:rsidR="004F1818" w:rsidRPr="00F916AC"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In response to mental health concerns, the UK government introduced several policies. The Department of Health and Social Care (2021) prioritised HCW well-being as part of its post-pandemic recovery plans, including investments in mental health services and workforce expansion. NHS England (2021) launched Staff Mental Health and Wellbeing Hubs across England to provide rapid access to psychological support.</w:t>
      </w:r>
    </w:p>
    <w:p w14:paraId="27F88BA4" w14:textId="77777777" w:rsidR="004F1818" w:rsidRPr="009E0C2E" w:rsidRDefault="004F1818" w:rsidP="004F1818">
      <w:pPr>
        <w:pStyle w:val="Heading2"/>
        <w:rPr>
          <w:rFonts w:ascii="Arial" w:hAnsi="Arial" w:cs="Arial"/>
          <w:b/>
          <w:color w:val="000000" w:themeColor="text1"/>
        </w:rPr>
      </w:pPr>
      <w:r w:rsidRPr="009E0C2E">
        <w:rPr>
          <w:rFonts w:ascii="Arial" w:hAnsi="Arial" w:cs="Arial"/>
          <w:b/>
          <w:color w:val="000000" w:themeColor="text1"/>
        </w:rPr>
        <w:t>2.5.4 Local Variations</w:t>
      </w:r>
    </w:p>
    <w:p w14:paraId="0511E3F4" w14:textId="77777777" w:rsidR="004F1818" w:rsidRPr="00F916AC" w:rsidRDefault="004F1818" w:rsidP="004F1818">
      <w:pPr>
        <w:spacing w:before="280" w:after="280" w:line="480" w:lineRule="auto"/>
        <w:rPr>
          <w:rFonts w:ascii="Arial" w:eastAsia="Arial" w:hAnsi="Arial" w:cs="Arial"/>
          <w:color w:val="000000" w:themeColor="text1"/>
        </w:rPr>
      </w:pPr>
      <w:r w:rsidRPr="00F916AC">
        <w:rPr>
          <w:rFonts w:ascii="Arial" w:eastAsia="Arial" w:hAnsi="Arial" w:cs="Arial"/>
          <w:color w:val="000000" w:themeColor="text1"/>
        </w:rPr>
        <w:t>There were notable regional differences in HCW experiences. Urban hospitals, particularly in London, faced higher patient volumes and mortality rates, leading to increased burnout compared to rural settings. Local Trust-level initiatives such as well-being champions, reflective practice groups, and peer-support networks were valuable but not consistently implemented or evaluated.</w:t>
      </w:r>
    </w:p>
    <w:p w14:paraId="1A62C529" w14:textId="77777777" w:rsidR="004F1818" w:rsidRPr="00F916AC" w:rsidRDefault="004F1818" w:rsidP="004F1818">
      <w:pPr>
        <w:pStyle w:val="paragraph"/>
        <w:spacing w:before="0" w:beforeAutospacing="0" w:after="0" w:afterAutospacing="0" w:line="480" w:lineRule="auto"/>
        <w:textAlignment w:val="baseline"/>
        <w:rPr>
          <w:rStyle w:val="normaltextrun"/>
          <w:rFonts w:ascii="Arial" w:hAnsi="Arial" w:cs="Arial"/>
          <w:color w:val="000000" w:themeColor="text1"/>
          <w:sz w:val="22"/>
          <w:szCs w:val="22"/>
        </w:rPr>
      </w:pPr>
    </w:p>
    <w:p w14:paraId="5A326E3D" w14:textId="77777777" w:rsidR="004F1818" w:rsidRPr="009E0C2E" w:rsidRDefault="004F1818" w:rsidP="004F1818">
      <w:pPr>
        <w:pStyle w:val="Heading2"/>
        <w:rPr>
          <w:b/>
          <w:color w:val="000000" w:themeColor="text1"/>
        </w:rPr>
      </w:pPr>
      <w:r w:rsidRPr="009E0C2E">
        <w:rPr>
          <w:rStyle w:val="normaltextrun"/>
          <w:rFonts w:ascii="Arial" w:hAnsi="Arial" w:cs="Arial"/>
          <w:b/>
          <w:color w:val="000000" w:themeColor="text1"/>
          <w:sz w:val="22"/>
          <w:szCs w:val="22"/>
        </w:rPr>
        <w:t>2.6 Conclusion (150 words approx.)</w:t>
      </w:r>
      <w:r w:rsidRPr="009E0C2E">
        <w:rPr>
          <w:rStyle w:val="eop"/>
          <w:rFonts w:ascii="Arial" w:eastAsia="Calibri Light" w:hAnsi="Arial" w:cs="Arial"/>
          <w:b/>
          <w:color w:val="000000" w:themeColor="text1"/>
          <w:sz w:val="22"/>
          <w:szCs w:val="22"/>
        </w:rPr>
        <w:t> </w:t>
      </w:r>
    </w:p>
    <w:p w14:paraId="5BBC0AC7"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t>This chapter has explored the historical, theoretical, international, and UK-specific factors affecting the mental health of healthcare workers during the COVID-19 pandemic. It highlighted vulnerabilities seen in previous outbreaks, explained how stress and coping theories apply, and discussed the role of both individual and organisational resilience. The chapter also reviewed global and national responses, including WHO guidance and NHS policies, which aimed to support healthcare workers and reduce psychological distress.</w:t>
      </w:r>
    </w:p>
    <w:p w14:paraId="57F64E5B" w14:textId="77777777" w:rsidR="004F1818" w:rsidRPr="00F916AC" w:rsidRDefault="004F1818" w:rsidP="004F1818">
      <w:pPr>
        <w:spacing w:before="100" w:beforeAutospacing="1" w:after="100" w:afterAutospacing="1" w:line="480" w:lineRule="auto"/>
        <w:rPr>
          <w:rFonts w:ascii="Arial" w:eastAsia="Times New Roman" w:hAnsi="Arial" w:cs="Arial"/>
          <w:color w:val="000000" w:themeColor="text1"/>
          <w:lang w:eastAsia="en-GB"/>
        </w:rPr>
      </w:pPr>
      <w:r w:rsidRPr="00F916AC">
        <w:rPr>
          <w:rFonts w:ascii="Arial" w:eastAsia="Times New Roman" w:hAnsi="Arial" w:cs="Arial"/>
          <w:color w:val="000000" w:themeColor="text1"/>
          <w:lang w:eastAsia="en-GB"/>
        </w:rPr>
        <w:lastRenderedPageBreak/>
        <w:t>Despite these initiatives, gaps in research remain, particularly regarding long-term mental health outcomes, the influence of organisational structures, and the effectiveness of different interventions. By examining these contexts, the chapter provides a clear conceptual framework that informs the next stage of the study. Chapter 3 will describe the secondary research methods used to identify, analyse, and synthesise existing evidence on healthcare workers’ coping strategies during the COVID-19 pandemic, forming the foundation for the study’s methodology and analysis.</w:t>
      </w:r>
    </w:p>
    <w:p w14:paraId="1F28DFA3" w14:textId="77777777" w:rsidR="00453C4F" w:rsidRPr="004F1818" w:rsidRDefault="004F1818">
      <w:pPr>
        <w:rPr>
          <w:b/>
        </w:rPr>
      </w:pPr>
      <w:r w:rsidRPr="004F1818">
        <w:rPr>
          <w:b/>
        </w:rPr>
        <w:t xml:space="preserve">References: </w:t>
      </w:r>
    </w:p>
    <w:p w14:paraId="7E183D3D"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Anger, W.K., </w:t>
      </w:r>
      <w:proofErr w:type="spellStart"/>
      <w:r>
        <w:rPr>
          <w:rFonts w:ascii="Arial" w:eastAsia="Arial" w:hAnsi="Arial" w:cs="Arial"/>
        </w:rPr>
        <w:t>Lamontagne</w:t>
      </w:r>
      <w:proofErr w:type="spellEnd"/>
      <w:r>
        <w:rPr>
          <w:rFonts w:ascii="Arial" w:eastAsia="Arial" w:hAnsi="Arial" w:cs="Arial"/>
        </w:rPr>
        <w:t xml:space="preserve">, A.D., </w:t>
      </w:r>
      <w:proofErr w:type="spellStart"/>
      <w:r>
        <w:rPr>
          <w:rFonts w:ascii="Arial" w:eastAsia="Arial" w:hAnsi="Arial" w:cs="Arial"/>
        </w:rPr>
        <w:t>Ostry</w:t>
      </w:r>
      <w:proofErr w:type="spellEnd"/>
      <w:r>
        <w:rPr>
          <w:rFonts w:ascii="Arial" w:eastAsia="Arial" w:hAnsi="Arial" w:cs="Arial"/>
        </w:rPr>
        <w:t xml:space="preserve">, A., Schulte, P.A. and </w:t>
      </w:r>
      <w:proofErr w:type="spellStart"/>
      <w:r>
        <w:rPr>
          <w:rFonts w:ascii="Arial" w:eastAsia="Arial" w:hAnsi="Arial" w:cs="Arial"/>
        </w:rPr>
        <w:t>Kristensen</w:t>
      </w:r>
      <w:proofErr w:type="spellEnd"/>
      <w:r>
        <w:rPr>
          <w:rFonts w:ascii="Arial" w:eastAsia="Arial" w:hAnsi="Arial" w:cs="Arial"/>
        </w:rPr>
        <w:t xml:space="preserve">, T.S. (2024) ‘Addressing health care workers’ mental health: A systematic review of interventions’, </w:t>
      </w:r>
      <w:r>
        <w:rPr>
          <w:rFonts w:ascii="Arial" w:eastAsia="Arial" w:hAnsi="Arial" w:cs="Arial"/>
          <w:i/>
        </w:rPr>
        <w:t>American Journal of Public Health</w:t>
      </w:r>
      <w:r>
        <w:rPr>
          <w:rFonts w:ascii="Arial" w:eastAsia="Arial" w:hAnsi="Arial" w:cs="Arial"/>
        </w:rPr>
        <w:t>, 114(2), pp. 203–214.</w:t>
      </w:r>
    </w:p>
    <w:p w14:paraId="02F242E0"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Bakker, A.B. and </w:t>
      </w:r>
      <w:proofErr w:type="spellStart"/>
      <w:r>
        <w:rPr>
          <w:rFonts w:ascii="Arial" w:eastAsia="Arial" w:hAnsi="Arial" w:cs="Arial"/>
        </w:rPr>
        <w:t>Demerouti</w:t>
      </w:r>
      <w:proofErr w:type="spellEnd"/>
      <w:r>
        <w:rPr>
          <w:rFonts w:ascii="Arial" w:eastAsia="Arial" w:hAnsi="Arial" w:cs="Arial"/>
        </w:rPr>
        <w:t xml:space="preserve">, E. (2017) ‘Job Demands–Resources theory: Taking stock and looking forward’, </w:t>
      </w:r>
      <w:r>
        <w:rPr>
          <w:rFonts w:ascii="Arial" w:eastAsia="Arial" w:hAnsi="Arial" w:cs="Arial"/>
          <w:i/>
        </w:rPr>
        <w:t>Journal of Occupational Health Psychology</w:t>
      </w:r>
      <w:r>
        <w:rPr>
          <w:rFonts w:ascii="Arial" w:eastAsia="Arial" w:hAnsi="Arial" w:cs="Arial"/>
        </w:rPr>
        <w:t>, 22(3), pp. 273–285.</w:t>
      </w:r>
    </w:p>
    <w:p w14:paraId="22FC4CA4"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Chew, N.W.S., Lee, G.K.H., Tan, B.Y.Q. et al. (2020) ‘A multinational, multicentre study on psychological outcomes among healthcare workers during COVID-19’, </w:t>
      </w:r>
      <w:r>
        <w:rPr>
          <w:rFonts w:ascii="Arial" w:eastAsia="Arial" w:hAnsi="Arial" w:cs="Arial"/>
          <w:i/>
        </w:rPr>
        <w:t xml:space="preserve">Brain, </w:t>
      </w:r>
      <w:proofErr w:type="spellStart"/>
      <w:r>
        <w:rPr>
          <w:rFonts w:ascii="Arial" w:eastAsia="Arial" w:hAnsi="Arial" w:cs="Arial"/>
          <w:i/>
        </w:rPr>
        <w:t>Behavior</w:t>
      </w:r>
      <w:proofErr w:type="spellEnd"/>
      <w:r>
        <w:rPr>
          <w:rFonts w:ascii="Arial" w:eastAsia="Arial" w:hAnsi="Arial" w:cs="Arial"/>
          <w:i/>
        </w:rPr>
        <w:t>, and Immunity</w:t>
      </w:r>
      <w:r>
        <w:rPr>
          <w:rFonts w:ascii="Arial" w:eastAsia="Arial" w:hAnsi="Arial" w:cs="Arial"/>
        </w:rPr>
        <w:t>, 88, pp. 559–565.</w:t>
      </w:r>
    </w:p>
    <w:p w14:paraId="4414EB13"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Curtin, M., Norris, E., O’Brien, B. and O’Hara, L. (2021) ‘Resilience in healthcare workers during COVID-19: A systematic review and meta-synthesis’, </w:t>
      </w:r>
      <w:r>
        <w:rPr>
          <w:rFonts w:ascii="Arial" w:eastAsia="Arial" w:hAnsi="Arial" w:cs="Arial"/>
          <w:i/>
        </w:rPr>
        <w:t>Irish Journal of Psychological Medicine</w:t>
      </w:r>
      <w:r>
        <w:rPr>
          <w:rFonts w:ascii="Arial" w:eastAsia="Arial" w:hAnsi="Arial" w:cs="Arial"/>
        </w:rPr>
        <w:t>, 38(4), pp. 272–280.</w:t>
      </w:r>
    </w:p>
    <w:p w14:paraId="718B0AEC"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Davies, S., Teague, G., Hughes, J. and Wilson, K. (2025) ‘Well-being, burnout and moral injury in the adult social care workforce during the COVID-19 pandemic’, </w:t>
      </w:r>
      <w:r>
        <w:rPr>
          <w:rFonts w:ascii="Arial" w:eastAsia="Arial" w:hAnsi="Arial" w:cs="Arial"/>
          <w:i/>
        </w:rPr>
        <w:t>Journal of Long-Term Care</w:t>
      </w:r>
      <w:r>
        <w:rPr>
          <w:rFonts w:ascii="Arial" w:eastAsia="Arial" w:hAnsi="Arial" w:cs="Arial"/>
        </w:rPr>
        <w:t>, 5(1), pp. 45–58.</w:t>
      </w:r>
    </w:p>
    <w:p w14:paraId="7E2EE376"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Department of Health and Social Care (2021) </w:t>
      </w:r>
      <w:r>
        <w:rPr>
          <w:rFonts w:ascii="Arial" w:eastAsia="Arial" w:hAnsi="Arial" w:cs="Arial"/>
          <w:i/>
        </w:rPr>
        <w:t>Workforce wellbeing and sustainable recovery plan</w:t>
      </w:r>
      <w:r>
        <w:rPr>
          <w:rFonts w:ascii="Arial" w:eastAsia="Arial" w:hAnsi="Arial" w:cs="Arial"/>
        </w:rPr>
        <w:t>. London: DHSC.</w:t>
      </w:r>
    </w:p>
    <w:p w14:paraId="67D91D13"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Frias, C.E., Squires, A., Proctor, E.K. and Hunt, R. (2025) ‘Strategies to support the mental health and well-being of health and care workers: A rapid review of systematic reviews’, </w:t>
      </w:r>
      <w:r>
        <w:rPr>
          <w:rFonts w:ascii="Arial" w:eastAsia="Arial" w:hAnsi="Arial" w:cs="Arial"/>
          <w:i/>
        </w:rPr>
        <w:t>Frontiers in Medicine</w:t>
      </w:r>
      <w:r>
        <w:rPr>
          <w:rFonts w:ascii="Arial" w:eastAsia="Arial" w:hAnsi="Arial" w:cs="Arial"/>
        </w:rPr>
        <w:t>, 12, Article 1530287.</w:t>
      </w:r>
    </w:p>
    <w:p w14:paraId="0F3D61CF" w14:textId="77777777" w:rsidR="004F1818" w:rsidRDefault="004F1818" w:rsidP="004F1818">
      <w:pPr>
        <w:spacing w:before="280" w:after="280" w:line="360" w:lineRule="auto"/>
        <w:jc w:val="both"/>
        <w:rPr>
          <w:rFonts w:ascii="Arial" w:eastAsia="Arial" w:hAnsi="Arial" w:cs="Arial"/>
        </w:rPr>
      </w:pPr>
      <w:proofErr w:type="spellStart"/>
      <w:r>
        <w:rPr>
          <w:rFonts w:ascii="Arial" w:eastAsia="Arial" w:hAnsi="Arial" w:cs="Arial"/>
        </w:rPr>
        <w:lastRenderedPageBreak/>
        <w:t>Gyamerah</w:t>
      </w:r>
      <w:proofErr w:type="spellEnd"/>
      <w:r>
        <w:rPr>
          <w:rFonts w:ascii="Arial" w:eastAsia="Arial" w:hAnsi="Arial" w:cs="Arial"/>
        </w:rPr>
        <w:t xml:space="preserve">, A.O., </w:t>
      </w:r>
      <w:proofErr w:type="spellStart"/>
      <w:r>
        <w:rPr>
          <w:rFonts w:ascii="Arial" w:eastAsia="Arial" w:hAnsi="Arial" w:cs="Arial"/>
        </w:rPr>
        <w:t>Takyi</w:t>
      </w:r>
      <w:proofErr w:type="spellEnd"/>
      <w:r>
        <w:rPr>
          <w:rFonts w:ascii="Arial" w:eastAsia="Arial" w:hAnsi="Arial" w:cs="Arial"/>
        </w:rPr>
        <w:t xml:space="preserve">, S.A., </w:t>
      </w:r>
      <w:proofErr w:type="spellStart"/>
      <w:r>
        <w:rPr>
          <w:rFonts w:ascii="Arial" w:eastAsia="Arial" w:hAnsi="Arial" w:cs="Arial"/>
        </w:rPr>
        <w:t>Boakye</w:t>
      </w:r>
      <w:proofErr w:type="spellEnd"/>
      <w:r>
        <w:rPr>
          <w:rFonts w:ascii="Arial" w:eastAsia="Arial" w:hAnsi="Arial" w:cs="Arial"/>
        </w:rPr>
        <w:t xml:space="preserve">, F. and </w:t>
      </w:r>
      <w:proofErr w:type="spellStart"/>
      <w:r>
        <w:rPr>
          <w:rFonts w:ascii="Arial" w:eastAsia="Arial" w:hAnsi="Arial" w:cs="Arial"/>
        </w:rPr>
        <w:t>Ackah</w:t>
      </w:r>
      <w:proofErr w:type="spellEnd"/>
      <w:r>
        <w:rPr>
          <w:rFonts w:ascii="Arial" w:eastAsia="Arial" w:hAnsi="Arial" w:cs="Arial"/>
        </w:rPr>
        <w:t xml:space="preserve">, B.A. (2025) ‘Factors shaping the mental health of healthcare workers in Ghana: Coping strategies and contextual influences’, </w:t>
      </w:r>
      <w:r>
        <w:rPr>
          <w:rFonts w:ascii="Arial" w:eastAsia="Arial" w:hAnsi="Arial" w:cs="Arial"/>
          <w:i/>
        </w:rPr>
        <w:t>BMC Health Services Research</w:t>
      </w:r>
      <w:r>
        <w:rPr>
          <w:rFonts w:ascii="Arial" w:eastAsia="Arial" w:hAnsi="Arial" w:cs="Arial"/>
        </w:rPr>
        <w:t>, 25(1), Article 12476.</w:t>
      </w:r>
    </w:p>
    <w:p w14:paraId="40DDF7FF"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Health and Safety Executive (2020) </w:t>
      </w:r>
      <w:r>
        <w:rPr>
          <w:rFonts w:ascii="Arial" w:eastAsia="Arial" w:hAnsi="Arial" w:cs="Arial"/>
          <w:i/>
        </w:rPr>
        <w:t>Managing work-related stress during the COVID-19 outbreak</w:t>
      </w:r>
      <w:r>
        <w:rPr>
          <w:rFonts w:ascii="Arial" w:eastAsia="Arial" w:hAnsi="Arial" w:cs="Arial"/>
        </w:rPr>
        <w:t>. London: HSE.</w:t>
      </w:r>
    </w:p>
    <w:p w14:paraId="1E7FDB83"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Kang, L., Ma, S., Chen, M. et al. (2020) ‘Impact on mental health and perceptions of psychological care among medical staff in Wuhan during COVID-19’, </w:t>
      </w:r>
      <w:r>
        <w:rPr>
          <w:rFonts w:ascii="Arial" w:eastAsia="Arial" w:hAnsi="Arial" w:cs="Arial"/>
          <w:i/>
        </w:rPr>
        <w:t xml:space="preserve">Brain, </w:t>
      </w:r>
      <w:proofErr w:type="spellStart"/>
      <w:r>
        <w:rPr>
          <w:rFonts w:ascii="Arial" w:eastAsia="Arial" w:hAnsi="Arial" w:cs="Arial"/>
          <w:i/>
        </w:rPr>
        <w:t>Behavior</w:t>
      </w:r>
      <w:proofErr w:type="spellEnd"/>
      <w:r>
        <w:rPr>
          <w:rFonts w:ascii="Arial" w:eastAsia="Arial" w:hAnsi="Arial" w:cs="Arial"/>
          <w:i/>
        </w:rPr>
        <w:t>, and Immunity</w:t>
      </w:r>
      <w:r>
        <w:rPr>
          <w:rFonts w:ascii="Arial" w:eastAsia="Arial" w:hAnsi="Arial" w:cs="Arial"/>
        </w:rPr>
        <w:t>, 87, pp. 11–17.</w:t>
      </w:r>
    </w:p>
    <w:p w14:paraId="2A14FD51" w14:textId="77777777" w:rsidR="004F1818" w:rsidRDefault="004F1818" w:rsidP="004F1818">
      <w:pPr>
        <w:spacing w:before="280" w:after="280" w:line="360" w:lineRule="auto"/>
        <w:jc w:val="both"/>
        <w:rPr>
          <w:rFonts w:ascii="Arial" w:eastAsia="Arial" w:hAnsi="Arial" w:cs="Arial"/>
        </w:rPr>
      </w:pPr>
      <w:proofErr w:type="spellStart"/>
      <w:r>
        <w:rPr>
          <w:rFonts w:ascii="Arial" w:eastAsia="Arial" w:hAnsi="Arial" w:cs="Arial"/>
        </w:rPr>
        <w:t>Labrague</w:t>
      </w:r>
      <w:proofErr w:type="spellEnd"/>
      <w:r>
        <w:rPr>
          <w:rFonts w:ascii="Arial" w:eastAsia="Arial" w:hAnsi="Arial" w:cs="Arial"/>
        </w:rPr>
        <w:t xml:space="preserve">, L.J. (2021) ‘Psychological resilience, coping behaviours and social support among healthcare workers during the COVID-19 pandemic: A systematic review’, </w:t>
      </w:r>
      <w:r>
        <w:rPr>
          <w:rFonts w:ascii="Arial" w:eastAsia="Arial" w:hAnsi="Arial" w:cs="Arial"/>
          <w:i/>
        </w:rPr>
        <w:t>Journal of Nursing Management</w:t>
      </w:r>
      <w:r>
        <w:rPr>
          <w:rFonts w:ascii="Arial" w:eastAsia="Arial" w:hAnsi="Arial" w:cs="Arial"/>
        </w:rPr>
        <w:t>, 29(7), pp. 1893–1905.</w:t>
      </w:r>
    </w:p>
    <w:p w14:paraId="0246E645"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Lai, J., Ma, S., Wang, Y. et al. (2020) ‘Factors associated with mental health outcomes among healthcare workers exposed to COVID-19’, </w:t>
      </w:r>
      <w:r>
        <w:rPr>
          <w:rFonts w:ascii="Arial" w:eastAsia="Arial" w:hAnsi="Arial" w:cs="Arial"/>
          <w:i/>
        </w:rPr>
        <w:t>JAMA Network Open</w:t>
      </w:r>
      <w:r>
        <w:rPr>
          <w:rFonts w:ascii="Arial" w:eastAsia="Arial" w:hAnsi="Arial" w:cs="Arial"/>
        </w:rPr>
        <w:t>, 3(3), e203976.</w:t>
      </w:r>
    </w:p>
    <w:p w14:paraId="74FC905F"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Larsson, M., </w:t>
      </w:r>
      <w:proofErr w:type="spellStart"/>
      <w:r>
        <w:rPr>
          <w:rFonts w:ascii="Arial" w:eastAsia="Arial" w:hAnsi="Arial" w:cs="Arial"/>
        </w:rPr>
        <w:t>Wästerfors</w:t>
      </w:r>
      <w:proofErr w:type="spellEnd"/>
      <w:r>
        <w:rPr>
          <w:rFonts w:ascii="Arial" w:eastAsia="Arial" w:hAnsi="Arial" w:cs="Arial"/>
        </w:rPr>
        <w:t xml:space="preserve">, D., </w:t>
      </w:r>
      <w:proofErr w:type="spellStart"/>
      <w:r>
        <w:rPr>
          <w:rFonts w:ascii="Arial" w:eastAsia="Arial" w:hAnsi="Arial" w:cs="Arial"/>
        </w:rPr>
        <w:t>Tafvelin</w:t>
      </w:r>
      <w:proofErr w:type="spellEnd"/>
      <w:r>
        <w:rPr>
          <w:rFonts w:ascii="Arial" w:eastAsia="Arial" w:hAnsi="Arial" w:cs="Arial"/>
        </w:rPr>
        <w:t xml:space="preserve">, S. and </w:t>
      </w:r>
      <w:proofErr w:type="spellStart"/>
      <w:r>
        <w:rPr>
          <w:rFonts w:ascii="Arial" w:eastAsia="Arial" w:hAnsi="Arial" w:cs="Arial"/>
        </w:rPr>
        <w:t>Ljungblad</w:t>
      </w:r>
      <w:proofErr w:type="spellEnd"/>
      <w:r>
        <w:rPr>
          <w:rFonts w:ascii="Arial" w:eastAsia="Arial" w:hAnsi="Arial" w:cs="Arial"/>
        </w:rPr>
        <w:t xml:space="preserve">, C. (2025) ‘Digital resilience interventions for healthcare workers during and after COVID-19: An evaluation’, </w:t>
      </w:r>
      <w:r>
        <w:rPr>
          <w:rFonts w:ascii="Arial" w:eastAsia="Arial" w:hAnsi="Arial" w:cs="Arial"/>
          <w:i/>
        </w:rPr>
        <w:t>Frontiers in Public Health</w:t>
      </w:r>
      <w:r>
        <w:rPr>
          <w:rFonts w:ascii="Arial" w:eastAsia="Arial" w:hAnsi="Arial" w:cs="Arial"/>
        </w:rPr>
        <w:t>, 13, pp. 1–12.</w:t>
      </w:r>
    </w:p>
    <w:p w14:paraId="183B8C45"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Lee, Y.L., Chou, Y.H., Chen, C.L., Cheng, S.Y. and Lin, P.S. (2025) ‘Burnout, resilience, and coping strategies of healthcare professionals during the COVID-19 pandemic’, </w:t>
      </w:r>
      <w:r>
        <w:rPr>
          <w:rFonts w:ascii="Arial" w:eastAsia="Arial" w:hAnsi="Arial" w:cs="Arial"/>
          <w:i/>
        </w:rPr>
        <w:t>Scientific Reports</w:t>
      </w:r>
      <w:r>
        <w:rPr>
          <w:rFonts w:ascii="Arial" w:eastAsia="Arial" w:hAnsi="Arial" w:cs="Arial"/>
        </w:rPr>
        <w:t>, 15, Article 77493.</w:t>
      </w:r>
    </w:p>
    <w:p w14:paraId="3F80F1EE"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Maunder, R.G., </w:t>
      </w:r>
      <w:proofErr w:type="spellStart"/>
      <w:r>
        <w:rPr>
          <w:rFonts w:ascii="Arial" w:eastAsia="Arial" w:hAnsi="Arial" w:cs="Arial"/>
        </w:rPr>
        <w:t>Heeney</w:t>
      </w:r>
      <w:proofErr w:type="spellEnd"/>
      <w:r>
        <w:rPr>
          <w:rFonts w:ascii="Arial" w:eastAsia="Arial" w:hAnsi="Arial" w:cs="Arial"/>
        </w:rPr>
        <w:t xml:space="preserve">, N.D., Hunter, J.J. et al. (2024) ‘A longitudinal study of hospital workers’ mental health from 2020 to 2023’, </w:t>
      </w:r>
      <w:r>
        <w:rPr>
          <w:rFonts w:ascii="Arial" w:eastAsia="Arial" w:hAnsi="Arial" w:cs="Arial"/>
          <w:i/>
        </w:rPr>
        <w:t>Scientific Reports</w:t>
      </w:r>
      <w:r>
        <w:rPr>
          <w:rFonts w:ascii="Arial" w:eastAsia="Arial" w:hAnsi="Arial" w:cs="Arial"/>
        </w:rPr>
        <w:t>, 14, Article 77493.</w:t>
      </w:r>
    </w:p>
    <w:p w14:paraId="50CE2082" w14:textId="77777777" w:rsidR="004F1818" w:rsidRDefault="004F1818" w:rsidP="004F1818">
      <w:pPr>
        <w:spacing w:before="280" w:after="280" w:line="360" w:lineRule="auto"/>
        <w:jc w:val="both"/>
        <w:rPr>
          <w:rFonts w:ascii="Arial" w:eastAsia="Arial" w:hAnsi="Arial" w:cs="Arial"/>
        </w:rPr>
      </w:pPr>
      <w:proofErr w:type="spellStart"/>
      <w:r>
        <w:rPr>
          <w:rFonts w:ascii="Arial" w:eastAsia="Arial" w:hAnsi="Arial" w:cs="Arial"/>
        </w:rPr>
        <w:t>Mazzetti</w:t>
      </w:r>
      <w:proofErr w:type="spellEnd"/>
      <w:r>
        <w:rPr>
          <w:rFonts w:ascii="Arial" w:eastAsia="Arial" w:hAnsi="Arial" w:cs="Arial"/>
        </w:rPr>
        <w:t xml:space="preserve">, G., </w:t>
      </w:r>
      <w:proofErr w:type="spellStart"/>
      <w:r>
        <w:rPr>
          <w:rFonts w:ascii="Arial" w:eastAsia="Arial" w:hAnsi="Arial" w:cs="Arial"/>
        </w:rPr>
        <w:t>Schaufeli</w:t>
      </w:r>
      <w:proofErr w:type="spellEnd"/>
      <w:r>
        <w:rPr>
          <w:rFonts w:ascii="Arial" w:eastAsia="Arial" w:hAnsi="Arial" w:cs="Arial"/>
        </w:rPr>
        <w:t xml:space="preserve">, W.B., </w:t>
      </w:r>
      <w:proofErr w:type="spellStart"/>
      <w:r>
        <w:rPr>
          <w:rFonts w:ascii="Arial" w:eastAsia="Arial" w:hAnsi="Arial" w:cs="Arial"/>
        </w:rPr>
        <w:t>Guglielmi</w:t>
      </w:r>
      <w:proofErr w:type="spellEnd"/>
      <w:r>
        <w:rPr>
          <w:rFonts w:ascii="Arial" w:eastAsia="Arial" w:hAnsi="Arial" w:cs="Arial"/>
        </w:rPr>
        <w:t xml:space="preserve">, D. and </w:t>
      </w:r>
      <w:proofErr w:type="spellStart"/>
      <w:r>
        <w:rPr>
          <w:rFonts w:ascii="Arial" w:eastAsia="Arial" w:hAnsi="Arial" w:cs="Arial"/>
        </w:rPr>
        <w:t>Simbula</w:t>
      </w:r>
      <w:proofErr w:type="spellEnd"/>
      <w:r>
        <w:rPr>
          <w:rFonts w:ascii="Arial" w:eastAsia="Arial" w:hAnsi="Arial" w:cs="Arial"/>
        </w:rPr>
        <w:t xml:space="preserve">, S. (2025) ‘Resilience and the dynamics of job demands: A diary study of healthcare professionals during COVID-19’, </w:t>
      </w:r>
      <w:r>
        <w:rPr>
          <w:rFonts w:ascii="Arial" w:eastAsia="Arial" w:hAnsi="Arial" w:cs="Arial"/>
          <w:i/>
        </w:rPr>
        <w:t>Journal of Advanced Nursing</w:t>
      </w:r>
      <w:r>
        <w:rPr>
          <w:rFonts w:ascii="Arial" w:eastAsia="Arial" w:hAnsi="Arial" w:cs="Arial"/>
        </w:rPr>
        <w:t>, 81(3), pp. 720–734.</w:t>
      </w:r>
    </w:p>
    <w:p w14:paraId="0EC20E65" w14:textId="77777777" w:rsidR="004F1818" w:rsidRDefault="004F1818" w:rsidP="004F1818">
      <w:pPr>
        <w:spacing w:before="280" w:after="280" w:line="360" w:lineRule="auto"/>
        <w:jc w:val="both"/>
        <w:rPr>
          <w:rFonts w:ascii="Arial" w:eastAsia="Arial" w:hAnsi="Arial" w:cs="Arial"/>
        </w:rPr>
      </w:pPr>
      <w:proofErr w:type="spellStart"/>
      <w:r>
        <w:rPr>
          <w:rFonts w:ascii="Arial" w:eastAsia="Arial" w:hAnsi="Arial" w:cs="Arial"/>
        </w:rPr>
        <w:t>Mokaya</w:t>
      </w:r>
      <w:proofErr w:type="spellEnd"/>
      <w:r>
        <w:rPr>
          <w:rFonts w:ascii="Arial" w:eastAsia="Arial" w:hAnsi="Arial" w:cs="Arial"/>
        </w:rPr>
        <w:t xml:space="preserve">, P.O., </w:t>
      </w:r>
      <w:proofErr w:type="spellStart"/>
      <w:r>
        <w:rPr>
          <w:rFonts w:ascii="Arial" w:eastAsia="Arial" w:hAnsi="Arial" w:cs="Arial"/>
        </w:rPr>
        <w:t>Mutiso</w:t>
      </w:r>
      <w:proofErr w:type="spellEnd"/>
      <w:r>
        <w:rPr>
          <w:rFonts w:ascii="Arial" w:eastAsia="Arial" w:hAnsi="Arial" w:cs="Arial"/>
        </w:rPr>
        <w:t xml:space="preserve">, V., </w:t>
      </w:r>
      <w:proofErr w:type="spellStart"/>
      <w:r>
        <w:rPr>
          <w:rFonts w:ascii="Arial" w:eastAsia="Arial" w:hAnsi="Arial" w:cs="Arial"/>
        </w:rPr>
        <w:t>Musyimi</w:t>
      </w:r>
      <w:proofErr w:type="spellEnd"/>
      <w:r>
        <w:rPr>
          <w:rFonts w:ascii="Arial" w:eastAsia="Arial" w:hAnsi="Arial" w:cs="Arial"/>
        </w:rPr>
        <w:t xml:space="preserve">, C. et al. (2025) ‘Assessing the impact of the coronavirus pandemic on nurses' mental health in low-resource settings’, </w:t>
      </w:r>
      <w:r>
        <w:rPr>
          <w:rFonts w:ascii="Arial" w:eastAsia="Arial" w:hAnsi="Arial" w:cs="Arial"/>
          <w:i/>
        </w:rPr>
        <w:t>BMC Nursing</w:t>
      </w:r>
      <w:r>
        <w:rPr>
          <w:rFonts w:ascii="Arial" w:eastAsia="Arial" w:hAnsi="Arial" w:cs="Arial"/>
        </w:rPr>
        <w:t>, 24(1), Article 89.</w:t>
      </w:r>
    </w:p>
    <w:p w14:paraId="45AEF323"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NHS England (2021) </w:t>
      </w:r>
      <w:r>
        <w:rPr>
          <w:rFonts w:ascii="Arial" w:eastAsia="Arial" w:hAnsi="Arial" w:cs="Arial"/>
          <w:i/>
        </w:rPr>
        <w:t>Staff mental health and wellbeing hubs</w:t>
      </w:r>
      <w:r>
        <w:rPr>
          <w:rFonts w:ascii="Arial" w:eastAsia="Arial" w:hAnsi="Arial" w:cs="Arial"/>
        </w:rPr>
        <w:t>. London: NHS England.</w:t>
      </w:r>
    </w:p>
    <w:p w14:paraId="63B25344"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NHS England (2022) </w:t>
      </w:r>
      <w:proofErr w:type="gramStart"/>
      <w:r>
        <w:rPr>
          <w:rFonts w:ascii="Arial" w:eastAsia="Arial" w:hAnsi="Arial" w:cs="Arial"/>
          <w:i/>
        </w:rPr>
        <w:t>We</w:t>
      </w:r>
      <w:proofErr w:type="gramEnd"/>
      <w:r>
        <w:rPr>
          <w:rFonts w:ascii="Arial" w:eastAsia="Arial" w:hAnsi="Arial" w:cs="Arial"/>
          <w:i/>
        </w:rPr>
        <w:t xml:space="preserve"> are the NHS: The NHS People Plan 2022/23</w:t>
      </w:r>
      <w:r>
        <w:rPr>
          <w:rFonts w:ascii="Arial" w:eastAsia="Arial" w:hAnsi="Arial" w:cs="Arial"/>
        </w:rPr>
        <w:t>. London: NHS England.</w:t>
      </w:r>
    </w:p>
    <w:p w14:paraId="4B313178"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lastRenderedPageBreak/>
        <w:t xml:space="preserve">NICE (2021) </w:t>
      </w:r>
      <w:proofErr w:type="gramStart"/>
      <w:r>
        <w:rPr>
          <w:rFonts w:ascii="Arial" w:eastAsia="Arial" w:hAnsi="Arial" w:cs="Arial"/>
          <w:i/>
        </w:rPr>
        <w:t>Mental</w:t>
      </w:r>
      <w:proofErr w:type="gramEnd"/>
      <w:r>
        <w:rPr>
          <w:rFonts w:ascii="Arial" w:eastAsia="Arial" w:hAnsi="Arial" w:cs="Arial"/>
          <w:i/>
        </w:rPr>
        <w:t xml:space="preserve"> wellbeing at work: Evidence-based recommendations</w:t>
      </w:r>
      <w:r>
        <w:rPr>
          <w:rFonts w:ascii="Arial" w:eastAsia="Arial" w:hAnsi="Arial" w:cs="Arial"/>
        </w:rPr>
        <w:t>. London: National Institute for Health and Care Excellence.</w:t>
      </w:r>
    </w:p>
    <w:p w14:paraId="3943934C" w14:textId="77777777" w:rsidR="004F1818" w:rsidRDefault="004F1818" w:rsidP="004F1818">
      <w:pPr>
        <w:spacing w:before="280" w:after="280" w:line="360" w:lineRule="auto"/>
        <w:jc w:val="both"/>
        <w:rPr>
          <w:rFonts w:ascii="Arial" w:eastAsia="Arial" w:hAnsi="Arial" w:cs="Arial"/>
        </w:rPr>
      </w:pPr>
      <w:proofErr w:type="spellStart"/>
      <w:r>
        <w:rPr>
          <w:rFonts w:ascii="Arial" w:eastAsia="Arial" w:hAnsi="Arial" w:cs="Arial"/>
        </w:rPr>
        <w:t>Oprea</w:t>
      </w:r>
      <w:proofErr w:type="spellEnd"/>
      <w:r>
        <w:rPr>
          <w:rFonts w:ascii="Arial" w:eastAsia="Arial" w:hAnsi="Arial" w:cs="Arial"/>
        </w:rPr>
        <w:t xml:space="preserve">, N., Iliescu, D., </w:t>
      </w:r>
      <w:proofErr w:type="spellStart"/>
      <w:r>
        <w:rPr>
          <w:rFonts w:ascii="Arial" w:eastAsia="Arial" w:hAnsi="Arial" w:cs="Arial"/>
        </w:rPr>
        <w:t>Fischmann</w:t>
      </w:r>
      <w:proofErr w:type="spellEnd"/>
      <w:r>
        <w:rPr>
          <w:rFonts w:ascii="Arial" w:eastAsia="Arial" w:hAnsi="Arial" w:cs="Arial"/>
        </w:rPr>
        <w:t xml:space="preserve">, G. and </w:t>
      </w:r>
      <w:proofErr w:type="spellStart"/>
      <w:r>
        <w:rPr>
          <w:rFonts w:ascii="Arial" w:eastAsia="Arial" w:hAnsi="Arial" w:cs="Arial"/>
        </w:rPr>
        <w:t>Steenbergen</w:t>
      </w:r>
      <w:proofErr w:type="spellEnd"/>
      <w:r>
        <w:rPr>
          <w:rFonts w:ascii="Arial" w:eastAsia="Arial" w:hAnsi="Arial" w:cs="Arial"/>
        </w:rPr>
        <w:t>, E.F. (2025) ‘</w:t>
      </w:r>
      <w:proofErr w:type="spellStart"/>
      <w:r>
        <w:rPr>
          <w:rFonts w:ascii="Arial" w:eastAsia="Arial" w:hAnsi="Arial" w:cs="Arial"/>
        </w:rPr>
        <w:t>Meso</w:t>
      </w:r>
      <w:proofErr w:type="spellEnd"/>
      <w:r>
        <w:rPr>
          <w:rFonts w:ascii="Arial" w:eastAsia="Arial" w:hAnsi="Arial" w:cs="Arial"/>
        </w:rPr>
        <w:t xml:space="preserve">-organisational determinants of healthcare workers’ resilience: A scoping review’, </w:t>
      </w:r>
      <w:r>
        <w:rPr>
          <w:rFonts w:ascii="Arial" w:eastAsia="Arial" w:hAnsi="Arial" w:cs="Arial"/>
          <w:i/>
        </w:rPr>
        <w:t>Journal of Occupational Health Psychology</w:t>
      </w:r>
      <w:r>
        <w:rPr>
          <w:rFonts w:ascii="Arial" w:eastAsia="Arial" w:hAnsi="Arial" w:cs="Arial"/>
        </w:rPr>
        <w:t>, 30(1), pp. 15–33.</w:t>
      </w:r>
    </w:p>
    <w:p w14:paraId="7076A81E"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Public Health England (2020) </w:t>
      </w:r>
      <w:r>
        <w:rPr>
          <w:rFonts w:ascii="Arial" w:eastAsia="Arial" w:hAnsi="Arial" w:cs="Arial"/>
          <w:i/>
        </w:rPr>
        <w:t>COVID-19: Guidance for maintaining services within health and care settings</w:t>
      </w:r>
      <w:r>
        <w:rPr>
          <w:rFonts w:ascii="Arial" w:eastAsia="Arial" w:hAnsi="Arial" w:cs="Arial"/>
        </w:rPr>
        <w:t>. London: PHE.</w:t>
      </w:r>
    </w:p>
    <w:p w14:paraId="131C7B1E"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Robertson, E., </w:t>
      </w:r>
      <w:proofErr w:type="spellStart"/>
      <w:r>
        <w:rPr>
          <w:rFonts w:ascii="Arial" w:eastAsia="Arial" w:hAnsi="Arial" w:cs="Arial"/>
        </w:rPr>
        <w:t>Hershenfield</w:t>
      </w:r>
      <w:proofErr w:type="spellEnd"/>
      <w:r>
        <w:rPr>
          <w:rFonts w:ascii="Arial" w:eastAsia="Arial" w:hAnsi="Arial" w:cs="Arial"/>
        </w:rPr>
        <w:t xml:space="preserve">, K., Grace, S. and Stewart, D. (2020) ‘The mental health impact of the COVID-19 pandemic on healthcare workers’, </w:t>
      </w:r>
      <w:r>
        <w:rPr>
          <w:rFonts w:ascii="Arial" w:eastAsia="Arial" w:hAnsi="Arial" w:cs="Arial"/>
          <w:i/>
        </w:rPr>
        <w:t>Canadian Medical Association Journal</w:t>
      </w:r>
      <w:r>
        <w:rPr>
          <w:rFonts w:ascii="Arial" w:eastAsia="Arial" w:hAnsi="Arial" w:cs="Arial"/>
        </w:rPr>
        <w:t>, 192(15), pp. E416–E417.</w:t>
      </w:r>
    </w:p>
    <w:p w14:paraId="46ABD6E2"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Rossi, M.F., </w:t>
      </w:r>
      <w:proofErr w:type="spellStart"/>
      <w:r>
        <w:rPr>
          <w:rFonts w:ascii="Arial" w:eastAsia="Arial" w:hAnsi="Arial" w:cs="Arial"/>
        </w:rPr>
        <w:t>Cisternino</w:t>
      </w:r>
      <w:proofErr w:type="spellEnd"/>
      <w:r>
        <w:rPr>
          <w:rFonts w:ascii="Arial" w:eastAsia="Arial" w:hAnsi="Arial" w:cs="Arial"/>
        </w:rPr>
        <w:t xml:space="preserve">, L., </w:t>
      </w:r>
      <w:proofErr w:type="spellStart"/>
      <w:r>
        <w:rPr>
          <w:rFonts w:ascii="Arial" w:eastAsia="Arial" w:hAnsi="Arial" w:cs="Arial"/>
        </w:rPr>
        <w:t>Polidori</w:t>
      </w:r>
      <w:proofErr w:type="spellEnd"/>
      <w:r>
        <w:rPr>
          <w:rFonts w:ascii="Arial" w:eastAsia="Arial" w:hAnsi="Arial" w:cs="Arial"/>
        </w:rPr>
        <w:t xml:space="preserve">, G. et al. (2023) ‘Coping with burnout and the impact of the COVID-19 pandemic: A scoping review’, </w:t>
      </w:r>
      <w:r>
        <w:rPr>
          <w:rFonts w:ascii="Arial" w:eastAsia="Arial" w:hAnsi="Arial" w:cs="Arial"/>
          <w:i/>
        </w:rPr>
        <w:t>Frontiers in Psychiatry</w:t>
      </w:r>
      <w:r>
        <w:rPr>
          <w:rFonts w:ascii="Arial" w:eastAsia="Arial" w:hAnsi="Arial" w:cs="Arial"/>
        </w:rPr>
        <w:t>, 14, Article 1139260.</w:t>
      </w:r>
    </w:p>
    <w:p w14:paraId="495F83A7" w14:textId="77777777" w:rsidR="004F1818" w:rsidRDefault="004F1818" w:rsidP="004F1818">
      <w:pPr>
        <w:spacing w:before="280" w:after="280" w:line="360" w:lineRule="auto"/>
        <w:jc w:val="both"/>
        <w:rPr>
          <w:rFonts w:ascii="Arial" w:eastAsia="Arial" w:hAnsi="Arial" w:cs="Arial"/>
        </w:rPr>
      </w:pPr>
      <w:proofErr w:type="spellStart"/>
      <w:r>
        <w:rPr>
          <w:rFonts w:ascii="Arial" w:eastAsia="Arial" w:hAnsi="Arial" w:cs="Arial"/>
        </w:rPr>
        <w:t>Shanafelt</w:t>
      </w:r>
      <w:proofErr w:type="spellEnd"/>
      <w:r>
        <w:rPr>
          <w:rFonts w:ascii="Arial" w:eastAsia="Arial" w:hAnsi="Arial" w:cs="Arial"/>
        </w:rPr>
        <w:t xml:space="preserve">, T., </w:t>
      </w:r>
      <w:proofErr w:type="spellStart"/>
      <w:r>
        <w:rPr>
          <w:rFonts w:ascii="Arial" w:eastAsia="Arial" w:hAnsi="Arial" w:cs="Arial"/>
        </w:rPr>
        <w:t>Ripp</w:t>
      </w:r>
      <w:proofErr w:type="spellEnd"/>
      <w:r>
        <w:rPr>
          <w:rFonts w:ascii="Arial" w:eastAsia="Arial" w:hAnsi="Arial" w:cs="Arial"/>
        </w:rPr>
        <w:t xml:space="preserve">, J. and </w:t>
      </w:r>
      <w:proofErr w:type="spellStart"/>
      <w:r>
        <w:rPr>
          <w:rFonts w:ascii="Arial" w:eastAsia="Arial" w:hAnsi="Arial" w:cs="Arial"/>
        </w:rPr>
        <w:t>Trockel</w:t>
      </w:r>
      <w:proofErr w:type="spellEnd"/>
      <w:r>
        <w:rPr>
          <w:rFonts w:ascii="Arial" w:eastAsia="Arial" w:hAnsi="Arial" w:cs="Arial"/>
        </w:rPr>
        <w:t xml:space="preserve">, M. (2020) ‘Sources of anxiety among health care professionals during the COVID-19 pandemic’, </w:t>
      </w:r>
      <w:r>
        <w:rPr>
          <w:rFonts w:ascii="Arial" w:eastAsia="Arial" w:hAnsi="Arial" w:cs="Arial"/>
          <w:i/>
        </w:rPr>
        <w:t>JAMA</w:t>
      </w:r>
      <w:r>
        <w:rPr>
          <w:rFonts w:ascii="Arial" w:eastAsia="Arial" w:hAnsi="Arial" w:cs="Arial"/>
        </w:rPr>
        <w:t>, 323(21), pp. 2133–2134.</w:t>
      </w:r>
    </w:p>
    <w:p w14:paraId="704A788E" w14:textId="77777777" w:rsidR="004F1818" w:rsidRDefault="004F1818" w:rsidP="004F1818">
      <w:pPr>
        <w:spacing w:before="280" w:after="280" w:line="360" w:lineRule="auto"/>
        <w:jc w:val="both"/>
        <w:rPr>
          <w:rFonts w:ascii="Arial" w:eastAsia="Arial" w:hAnsi="Arial" w:cs="Arial"/>
        </w:rPr>
      </w:pPr>
      <w:proofErr w:type="spellStart"/>
      <w:r>
        <w:rPr>
          <w:rFonts w:ascii="Arial" w:eastAsia="Arial" w:hAnsi="Arial" w:cs="Arial"/>
        </w:rPr>
        <w:t>Spoorthy</w:t>
      </w:r>
      <w:proofErr w:type="spellEnd"/>
      <w:r>
        <w:rPr>
          <w:rFonts w:ascii="Arial" w:eastAsia="Arial" w:hAnsi="Arial" w:cs="Arial"/>
        </w:rPr>
        <w:t xml:space="preserve">, M.S., Pratapa, S.K. and </w:t>
      </w:r>
      <w:proofErr w:type="spellStart"/>
      <w:r>
        <w:rPr>
          <w:rFonts w:ascii="Arial" w:eastAsia="Arial" w:hAnsi="Arial" w:cs="Arial"/>
        </w:rPr>
        <w:t>Mahant</w:t>
      </w:r>
      <w:proofErr w:type="spellEnd"/>
      <w:r>
        <w:rPr>
          <w:rFonts w:ascii="Arial" w:eastAsia="Arial" w:hAnsi="Arial" w:cs="Arial"/>
        </w:rPr>
        <w:t xml:space="preserve">, S. (2020) ‘Mental health problems faced by healthcare workers due to the COVID-19 pandemic: A review’, </w:t>
      </w:r>
      <w:r>
        <w:rPr>
          <w:rFonts w:ascii="Arial" w:eastAsia="Arial" w:hAnsi="Arial" w:cs="Arial"/>
          <w:i/>
        </w:rPr>
        <w:t>Asian Journal of Psychiatry</w:t>
      </w:r>
      <w:r>
        <w:rPr>
          <w:rFonts w:ascii="Arial" w:eastAsia="Arial" w:hAnsi="Arial" w:cs="Arial"/>
        </w:rPr>
        <w:t>, 51, Article 102119.</w:t>
      </w:r>
    </w:p>
    <w:p w14:paraId="73FFC616" w14:textId="77777777" w:rsidR="004F1818" w:rsidRDefault="004F1818" w:rsidP="004F1818">
      <w:pPr>
        <w:spacing w:before="280" w:after="280" w:line="360" w:lineRule="auto"/>
        <w:jc w:val="both"/>
        <w:rPr>
          <w:rFonts w:ascii="Arial" w:eastAsia="Arial" w:hAnsi="Arial" w:cs="Arial"/>
        </w:rPr>
      </w:pPr>
      <w:r>
        <w:rPr>
          <w:rFonts w:ascii="Arial" w:eastAsia="Arial" w:hAnsi="Arial" w:cs="Arial"/>
        </w:rPr>
        <w:t xml:space="preserve">World Health Organization (2022) </w:t>
      </w:r>
      <w:proofErr w:type="gramStart"/>
      <w:r>
        <w:rPr>
          <w:rFonts w:ascii="Arial" w:eastAsia="Arial" w:hAnsi="Arial" w:cs="Arial"/>
          <w:i/>
        </w:rPr>
        <w:t>Mental</w:t>
      </w:r>
      <w:proofErr w:type="gramEnd"/>
      <w:r>
        <w:rPr>
          <w:rFonts w:ascii="Arial" w:eastAsia="Arial" w:hAnsi="Arial" w:cs="Arial"/>
          <w:i/>
        </w:rPr>
        <w:t xml:space="preserve"> health and psychosocial considerations during the COVID-19 outbreak</w:t>
      </w:r>
      <w:r>
        <w:rPr>
          <w:rFonts w:ascii="Arial" w:eastAsia="Arial" w:hAnsi="Arial" w:cs="Arial"/>
        </w:rPr>
        <w:t>. Geneva: WHO.</w:t>
      </w:r>
    </w:p>
    <w:p w14:paraId="365F266A" w14:textId="77777777" w:rsidR="004F1818" w:rsidRDefault="004F1818" w:rsidP="004F1818">
      <w:pPr>
        <w:spacing w:before="280" w:after="280" w:line="240" w:lineRule="auto"/>
      </w:pPr>
    </w:p>
    <w:p w14:paraId="7B51840D" w14:textId="77777777" w:rsidR="004F1818" w:rsidRDefault="004F1818" w:rsidP="004F1818"/>
    <w:p w14:paraId="0143D4DF" w14:textId="77777777" w:rsidR="004F1818" w:rsidRDefault="004F1818"/>
    <w:sectPr w:rsidR="004F1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ptos">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0258F"/>
    <w:multiLevelType w:val="hybridMultilevel"/>
    <w:tmpl w:val="37948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92B43"/>
    <w:multiLevelType w:val="hybridMultilevel"/>
    <w:tmpl w:val="F0547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818"/>
    <w:rsid w:val="00453C4F"/>
    <w:rsid w:val="004F1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09647"/>
  <w15:chartTrackingRefBased/>
  <w15:docId w15:val="{DF744B07-4F2B-41F1-9289-C4F672BB7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4F1818"/>
    <w:pPr>
      <w:widowControl w:val="0"/>
      <w:autoSpaceDE w:val="0"/>
      <w:autoSpaceDN w:val="0"/>
      <w:spacing w:after="0" w:line="240" w:lineRule="auto"/>
      <w:ind w:left="220"/>
      <w:outlineLvl w:val="0"/>
    </w:pPr>
    <w:rPr>
      <w:rFonts w:ascii="Arial" w:eastAsia="Calibri Light" w:hAnsi="Arial" w:cs="Calibri Light"/>
      <w:b/>
      <w:sz w:val="32"/>
      <w:szCs w:val="32"/>
      <w:lang w:eastAsia="en-GB" w:bidi="en-GB"/>
    </w:rPr>
  </w:style>
  <w:style w:type="paragraph" w:styleId="Heading2">
    <w:name w:val="heading 2"/>
    <w:basedOn w:val="Normal"/>
    <w:next w:val="Normal"/>
    <w:link w:val="Heading2Char"/>
    <w:uiPriority w:val="9"/>
    <w:unhideWhenUsed/>
    <w:qFormat/>
    <w:rsid w:val="004F1818"/>
    <w:pPr>
      <w:keepNext/>
      <w:keepLines/>
      <w:spacing w:before="40" w:after="0" w:line="360" w:lineRule="auto"/>
      <w:jc w:val="both"/>
      <w:outlineLvl w:val="1"/>
    </w:pPr>
    <w:rPr>
      <w:rFonts w:ascii="Aptos" w:eastAsiaTheme="majorEastAsia" w:hAnsi="Aptos" w:cstheme="majorBidi"/>
      <w:color w:val="2E74B5" w:themeColor="accent1" w:themeShade="BF"/>
      <w:kern w:val="2"/>
      <w:sz w:val="24"/>
      <w:szCs w:val="26"/>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F1818"/>
    <w:rPr>
      <w:rFonts w:ascii="Arial" w:eastAsia="Calibri Light" w:hAnsi="Arial" w:cs="Calibri Light"/>
      <w:b/>
      <w:sz w:val="32"/>
      <w:szCs w:val="32"/>
      <w:lang w:eastAsia="en-GB" w:bidi="en-GB"/>
    </w:rPr>
  </w:style>
  <w:style w:type="character" w:customStyle="1" w:styleId="Heading2Char">
    <w:name w:val="Heading 2 Char"/>
    <w:basedOn w:val="DefaultParagraphFont"/>
    <w:link w:val="Heading2"/>
    <w:uiPriority w:val="9"/>
    <w:rsid w:val="004F1818"/>
    <w:rPr>
      <w:rFonts w:ascii="Aptos" w:eastAsiaTheme="majorEastAsia" w:hAnsi="Aptos" w:cstheme="majorBidi"/>
      <w:color w:val="2E74B5" w:themeColor="accent1" w:themeShade="BF"/>
      <w:kern w:val="2"/>
      <w:sz w:val="24"/>
      <w:szCs w:val="26"/>
      <w:lang w:eastAsia="zh-CN"/>
      <w14:ligatures w14:val="standardContextual"/>
    </w:rPr>
  </w:style>
  <w:style w:type="paragraph" w:styleId="NormalWeb">
    <w:name w:val="Normal (Web)"/>
    <w:basedOn w:val="Normal"/>
    <w:uiPriority w:val="99"/>
    <w:unhideWhenUsed/>
    <w:rsid w:val="004F18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F1818"/>
    <w:pPr>
      <w:widowControl w:val="0"/>
      <w:autoSpaceDE w:val="0"/>
      <w:autoSpaceDN w:val="0"/>
      <w:spacing w:after="0" w:line="240" w:lineRule="auto"/>
      <w:ind w:left="940" w:hanging="360"/>
    </w:pPr>
    <w:rPr>
      <w:rFonts w:ascii="Calibri Light" w:eastAsia="Calibri Light" w:hAnsi="Calibri Light" w:cs="Calibri Light"/>
      <w:lang w:eastAsia="en-GB" w:bidi="en-GB"/>
    </w:rPr>
  </w:style>
  <w:style w:type="paragraph" w:customStyle="1" w:styleId="paragraph">
    <w:name w:val="paragraph"/>
    <w:basedOn w:val="Normal"/>
    <w:rsid w:val="004F181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4F1818"/>
  </w:style>
  <w:style w:type="character" w:customStyle="1" w:styleId="eop">
    <w:name w:val="eop"/>
    <w:basedOn w:val="DefaultParagraphFont"/>
    <w:rsid w:val="004F1818"/>
  </w:style>
  <w:style w:type="character" w:styleId="Strong">
    <w:name w:val="Strong"/>
    <w:basedOn w:val="DefaultParagraphFont"/>
    <w:uiPriority w:val="22"/>
    <w:qFormat/>
    <w:rsid w:val="004F18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4255</Words>
  <Characters>24254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Arif</dc:creator>
  <cp:keywords/>
  <dc:description/>
  <cp:lastModifiedBy>Saira Arif</cp:lastModifiedBy>
  <cp:revision>1</cp:revision>
  <dcterms:created xsi:type="dcterms:W3CDTF">2025-12-08T13:58:00Z</dcterms:created>
  <dcterms:modified xsi:type="dcterms:W3CDTF">2025-12-08T14:10:00Z</dcterms:modified>
</cp:coreProperties>
</file>