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3B0A5" w14:textId="77777777" w:rsidR="003C3D60" w:rsidRPr="003C3D60" w:rsidRDefault="003C3D60" w:rsidP="001F70C9">
      <w:pPr>
        <w:spacing w:line="360" w:lineRule="auto"/>
        <w:jc w:val="center"/>
        <w:rPr>
          <w:rFonts w:ascii="Arial" w:hAnsi="Arial" w:cs="Arial"/>
          <w:b/>
          <w:sz w:val="32"/>
          <w:szCs w:val="32"/>
        </w:rPr>
      </w:pPr>
      <w:r w:rsidRPr="003C3D60">
        <w:rPr>
          <w:rFonts w:ascii="Arial" w:hAnsi="Arial" w:cs="Arial"/>
          <w:b/>
          <w:sz w:val="32"/>
          <w:szCs w:val="32"/>
          <w:lang w:val="en-US"/>
        </w:rPr>
        <w:t xml:space="preserve">Module title: </w:t>
      </w:r>
      <w:r w:rsidRPr="003C3D60">
        <w:rPr>
          <w:rFonts w:ascii="Arial" w:hAnsi="Arial" w:cs="Arial"/>
          <w:b/>
          <w:sz w:val="32"/>
          <w:szCs w:val="32"/>
        </w:rPr>
        <w:t>Sustainable Hospitality &amp; Tourism Management</w:t>
      </w:r>
    </w:p>
    <w:p w14:paraId="07FC8176" w14:textId="77777777" w:rsidR="003C3D60" w:rsidRPr="003C3D60" w:rsidRDefault="003C3D60" w:rsidP="001F70C9">
      <w:pPr>
        <w:spacing w:line="360" w:lineRule="auto"/>
        <w:jc w:val="center"/>
        <w:rPr>
          <w:rFonts w:ascii="Arial" w:hAnsi="Arial" w:cs="Arial"/>
          <w:b/>
          <w:sz w:val="32"/>
          <w:szCs w:val="32"/>
        </w:rPr>
      </w:pPr>
      <w:r w:rsidRPr="003C3D60">
        <w:rPr>
          <w:rFonts w:ascii="Arial" w:hAnsi="Arial" w:cs="Arial"/>
          <w:b/>
          <w:sz w:val="32"/>
          <w:szCs w:val="32"/>
        </w:rPr>
        <w:t>Module code: BMIH5006</w:t>
      </w:r>
    </w:p>
    <w:p w14:paraId="7CFF4555" w14:textId="77777777" w:rsidR="003C3D60" w:rsidRPr="003C3D60" w:rsidRDefault="003C3D60" w:rsidP="001F70C9">
      <w:pPr>
        <w:spacing w:before="200" w:after="200" w:line="360" w:lineRule="auto"/>
        <w:jc w:val="center"/>
        <w:rPr>
          <w:rFonts w:ascii="Arial" w:hAnsi="Arial" w:cs="Arial"/>
          <w:b/>
          <w:sz w:val="32"/>
          <w:szCs w:val="32"/>
          <w:lang w:val="en-US"/>
        </w:rPr>
      </w:pPr>
      <w:bookmarkStart w:id="0" w:name="_heading=h.1fob9te"/>
      <w:bookmarkStart w:id="1" w:name="_heading=h.3znysh7"/>
      <w:bookmarkEnd w:id="0"/>
      <w:bookmarkEnd w:id="1"/>
      <w:r w:rsidRPr="003C3D60">
        <w:rPr>
          <w:rFonts w:ascii="Arial" w:hAnsi="Arial" w:cs="Arial"/>
          <w:b/>
          <w:sz w:val="32"/>
          <w:szCs w:val="32"/>
          <w:lang w:val="en-US"/>
        </w:rPr>
        <w:t xml:space="preserve">Student name: Tudor Radu </w:t>
      </w:r>
    </w:p>
    <w:p w14:paraId="6813DA4B" w14:textId="77777777" w:rsidR="003C3D60" w:rsidRPr="003C3D60" w:rsidRDefault="003C3D60" w:rsidP="001F70C9">
      <w:pPr>
        <w:spacing w:before="200" w:after="200" w:line="360" w:lineRule="auto"/>
        <w:jc w:val="center"/>
        <w:rPr>
          <w:rFonts w:ascii="Arial" w:hAnsi="Arial" w:cs="Arial"/>
          <w:b/>
          <w:sz w:val="32"/>
          <w:szCs w:val="32"/>
          <w:lang w:val="en-US"/>
        </w:rPr>
      </w:pPr>
      <w:bookmarkStart w:id="2" w:name="_heading=h.2et92p0"/>
      <w:bookmarkEnd w:id="2"/>
      <w:r w:rsidRPr="003C3D60">
        <w:rPr>
          <w:rFonts w:ascii="Arial" w:hAnsi="Arial" w:cs="Arial"/>
          <w:b/>
          <w:sz w:val="32"/>
          <w:szCs w:val="32"/>
          <w:lang w:val="en-US"/>
        </w:rPr>
        <w:t xml:space="preserve">Student ID: </w:t>
      </w:r>
      <w:r w:rsidRPr="003C3D60">
        <w:rPr>
          <w:rFonts w:ascii="Arial" w:hAnsi="Arial" w:cs="Arial"/>
          <w:b/>
          <w:sz w:val="32"/>
          <w:szCs w:val="32"/>
        </w:rPr>
        <w:t>2243696</w:t>
      </w:r>
    </w:p>
    <w:p w14:paraId="5CAA585E" w14:textId="77777777" w:rsidR="003C3D60" w:rsidRDefault="003C3D60" w:rsidP="001F70C9">
      <w:pPr>
        <w:spacing w:before="200" w:after="200" w:line="360" w:lineRule="auto"/>
        <w:jc w:val="center"/>
        <w:rPr>
          <w:rFonts w:ascii="Arial" w:hAnsi="Arial" w:cs="Arial"/>
          <w:b/>
          <w:sz w:val="32"/>
          <w:szCs w:val="32"/>
        </w:rPr>
      </w:pPr>
      <w:r w:rsidRPr="003C3D60">
        <w:rPr>
          <w:rFonts w:ascii="Arial" w:hAnsi="Arial" w:cs="Arial"/>
          <w:b/>
          <w:sz w:val="32"/>
          <w:szCs w:val="32"/>
          <w:lang w:val="en-US"/>
        </w:rPr>
        <w:t xml:space="preserve">Lecturer Name: </w:t>
      </w:r>
      <w:r w:rsidRPr="003C3D60">
        <w:rPr>
          <w:rFonts w:ascii="Arial" w:hAnsi="Arial" w:cs="Arial"/>
          <w:b/>
          <w:sz w:val="32"/>
          <w:szCs w:val="32"/>
        </w:rPr>
        <w:t>Christopher Wilkin</w:t>
      </w:r>
    </w:p>
    <w:p w14:paraId="716B695B" w14:textId="0DA18DEC" w:rsidR="001F70C9" w:rsidRPr="001F70C9" w:rsidRDefault="001F70C9" w:rsidP="001F70C9">
      <w:pPr>
        <w:spacing w:line="360" w:lineRule="auto"/>
        <w:jc w:val="center"/>
        <w:rPr>
          <w:rFonts w:ascii="Arial" w:hAnsi="Arial" w:cs="Arial"/>
          <w:b/>
          <w:sz w:val="32"/>
          <w:szCs w:val="32"/>
        </w:rPr>
      </w:pPr>
      <w:r w:rsidRPr="001F70C9">
        <w:rPr>
          <w:rFonts w:ascii="Arial" w:hAnsi="Arial" w:cs="Arial"/>
          <w:b/>
          <w:sz w:val="32"/>
          <w:szCs w:val="32"/>
        </w:rPr>
        <w:t xml:space="preserve">Navigating the Environmental Impact and Sustainable Solutions in </w:t>
      </w:r>
      <w:r>
        <w:rPr>
          <w:rFonts w:ascii="Arial" w:hAnsi="Arial" w:cs="Arial"/>
          <w:b/>
          <w:sz w:val="32"/>
          <w:szCs w:val="32"/>
        </w:rPr>
        <w:t>Road</w:t>
      </w:r>
      <w:r w:rsidRPr="001F70C9">
        <w:rPr>
          <w:rFonts w:ascii="Arial" w:hAnsi="Arial" w:cs="Arial"/>
          <w:b/>
          <w:sz w:val="32"/>
          <w:szCs w:val="32"/>
        </w:rPr>
        <w:t xml:space="preserve"> Travel</w:t>
      </w:r>
    </w:p>
    <w:p w14:paraId="660F3B86" w14:textId="77777777" w:rsidR="001F70C9" w:rsidRPr="003C3D60" w:rsidRDefault="001F70C9" w:rsidP="001F70C9">
      <w:pPr>
        <w:spacing w:before="200" w:after="200" w:line="360" w:lineRule="auto"/>
        <w:jc w:val="center"/>
        <w:rPr>
          <w:rFonts w:ascii="Arial" w:hAnsi="Arial" w:cs="Arial"/>
          <w:b/>
          <w:sz w:val="32"/>
          <w:szCs w:val="32"/>
        </w:rPr>
      </w:pPr>
    </w:p>
    <w:p w14:paraId="0E0D0849" w14:textId="77777777" w:rsidR="003C3D60" w:rsidRDefault="003C3D60" w:rsidP="003C3D60">
      <w:pPr>
        <w:spacing w:before="200" w:after="200"/>
        <w:jc w:val="center"/>
        <w:rPr>
          <w:b/>
          <w:sz w:val="32"/>
          <w:szCs w:val="32"/>
        </w:rPr>
      </w:pPr>
    </w:p>
    <w:p w14:paraId="25038ED8" w14:textId="77777777" w:rsidR="003C3D60" w:rsidRDefault="003C3D60" w:rsidP="003C3D60">
      <w:pPr>
        <w:spacing w:before="200" w:after="200"/>
        <w:jc w:val="center"/>
        <w:rPr>
          <w:b/>
          <w:sz w:val="32"/>
          <w:szCs w:val="32"/>
        </w:rPr>
      </w:pPr>
    </w:p>
    <w:p w14:paraId="148BC266" w14:textId="77777777" w:rsidR="003C3D60" w:rsidRDefault="003C3D60" w:rsidP="003C3D60">
      <w:pPr>
        <w:spacing w:before="200" w:after="200"/>
        <w:jc w:val="center"/>
        <w:rPr>
          <w:rFonts w:eastAsia="Times New Roman" w:cs="Times New Roman"/>
          <w:b/>
        </w:rPr>
      </w:pPr>
    </w:p>
    <w:p w14:paraId="50AD72EF" w14:textId="77777777" w:rsidR="003C3D60" w:rsidRPr="003C3D60" w:rsidRDefault="003C3D60" w:rsidP="003C3D60">
      <w:pPr>
        <w:spacing w:before="200" w:after="200" w:line="360" w:lineRule="auto"/>
        <w:jc w:val="center"/>
        <w:rPr>
          <w:rFonts w:ascii="Arial" w:eastAsia="Times New Roman" w:hAnsi="Arial" w:cs="Arial"/>
          <w:b/>
        </w:rPr>
      </w:pPr>
      <w:r w:rsidRPr="003C3D60">
        <w:rPr>
          <w:rFonts w:ascii="Arial" w:eastAsia="Times New Roman" w:hAnsi="Arial" w:cs="Arial"/>
          <w:b/>
        </w:rPr>
        <w:t>AI guidance acknowledgement</w:t>
      </w:r>
    </w:p>
    <w:p w14:paraId="291F174A" w14:textId="77777777" w:rsidR="003C3D60" w:rsidRDefault="003C3D60" w:rsidP="003C3D60">
      <w:pPr>
        <w:spacing w:before="200" w:after="200" w:line="360" w:lineRule="auto"/>
        <w:jc w:val="center"/>
        <w:rPr>
          <w:rFonts w:ascii="Arial" w:eastAsia="Times New Roman" w:hAnsi="Arial" w:cs="Arial"/>
        </w:rPr>
      </w:pPr>
      <w:r w:rsidRPr="003C3D60">
        <w:rPr>
          <w:rFonts w:ascii="Arial" w:eastAsia="Times New Roman" w:hAnsi="Arial" w:cs="Arial"/>
        </w:rPr>
        <w:t>I confirm that I have not presented any AI generated text as my own work. I confirm I have copies of my drafts, notes, and other resources I used before, and after the use of AI tools which I may be asked to provide in evidence</w:t>
      </w:r>
    </w:p>
    <w:p w14:paraId="1791B278" w14:textId="77777777" w:rsidR="003C3D60" w:rsidRDefault="003C3D60" w:rsidP="003C3D60">
      <w:pPr>
        <w:spacing w:before="200" w:after="200" w:line="360" w:lineRule="auto"/>
        <w:jc w:val="center"/>
        <w:rPr>
          <w:rFonts w:ascii="Arial" w:eastAsia="Times New Roman" w:hAnsi="Arial" w:cs="Arial"/>
        </w:rPr>
      </w:pPr>
    </w:p>
    <w:p w14:paraId="65FA76CF" w14:textId="77777777" w:rsidR="003C3D60" w:rsidRDefault="003C3D60" w:rsidP="003C3D60">
      <w:pPr>
        <w:spacing w:before="200" w:after="200" w:line="360" w:lineRule="auto"/>
        <w:jc w:val="center"/>
        <w:rPr>
          <w:rFonts w:ascii="Arial" w:eastAsia="Times New Roman" w:hAnsi="Arial" w:cs="Arial"/>
        </w:rPr>
      </w:pPr>
    </w:p>
    <w:p w14:paraId="043E5EE4" w14:textId="77777777" w:rsidR="003C3D60" w:rsidRDefault="003C3D60" w:rsidP="003C3D60">
      <w:pPr>
        <w:spacing w:before="200" w:after="200" w:line="360" w:lineRule="auto"/>
        <w:jc w:val="center"/>
        <w:rPr>
          <w:rFonts w:ascii="Arial" w:eastAsia="Times New Roman" w:hAnsi="Arial" w:cs="Arial"/>
        </w:rPr>
      </w:pPr>
    </w:p>
    <w:p w14:paraId="73AD27C7" w14:textId="77777777" w:rsidR="003C3D60" w:rsidRDefault="003C3D60" w:rsidP="003C3D60">
      <w:pPr>
        <w:spacing w:before="200" w:after="200" w:line="360" w:lineRule="auto"/>
        <w:jc w:val="center"/>
        <w:rPr>
          <w:rFonts w:ascii="Arial" w:eastAsia="Times New Roman" w:hAnsi="Arial" w:cs="Arial"/>
        </w:rPr>
      </w:pPr>
    </w:p>
    <w:p w14:paraId="1795B781" w14:textId="77777777" w:rsidR="003C3D60" w:rsidRDefault="003C3D60" w:rsidP="003C3D60">
      <w:pPr>
        <w:spacing w:before="200" w:after="200" w:line="360" w:lineRule="auto"/>
        <w:jc w:val="center"/>
        <w:rPr>
          <w:rFonts w:ascii="Arial" w:eastAsia="Times New Roman" w:hAnsi="Arial" w:cs="Arial"/>
        </w:rPr>
      </w:pPr>
    </w:p>
    <w:p w14:paraId="50B362D0" w14:textId="77777777" w:rsidR="003C3D60" w:rsidRDefault="003C3D60" w:rsidP="003C3D60">
      <w:pPr>
        <w:spacing w:before="200" w:after="200" w:line="360" w:lineRule="auto"/>
        <w:jc w:val="center"/>
        <w:rPr>
          <w:rFonts w:ascii="Arial" w:eastAsia="Times New Roman" w:hAnsi="Arial" w:cs="Arial"/>
        </w:rPr>
      </w:pPr>
    </w:p>
    <w:p w14:paraId="4F39871A" w14:textId="77777777" w:rsidR="003C3D60" w:rsidRDefault="003C3D60" w:rsidP="003C3D60">
      <w:pPr>
        <w:spacing w:before="200" w:after="200" w:line="360" w:lineRule="auto"/>
        <w:rPr>
          <w:rFonts w:ascii="Arial" w:eastAsia="Times New Roman" w:hAnsi="Arial" w:cs="Arial"/>
        </w:rPr>
      </w:pPr>
    </w:p>
    <w:p w14:paraId="5C2F4FFE" w14:textId="77777777" w:rsidR="003C3D60" w:rsidRDefault="003C3D60" w:rsidP="003C3D60">
      <w:pPr>
        <w:spacing w:before="200" w:after="200" w:line="360" w:lineRule="auto"/>
        <w:rPr>
          <w:rFonts w:ascii="Arial" w:eastAsia="Times New Roman" w:hAnsi="Arial" w:cs="Arial"/>
        </w:rPr>
      </w:pPr>
    </w:p>
    <w:p w14:paraId="542BEF5E" w14:textId="77777777" w:rsidR="003C3D60" w:rsidRPr="003C3D60" w:rsidRDefault="003C3D60" w:rsidP="003C3D60">
      <w:pPr>
        <w:spacing w:before="200" w:after="200" w:line="360" w:lineRule="auto"/>
        <w:jc w:val="center"/>
        <w:rPr>
          <w:rFonts w:ascii="Arial" w:hAnsi="Arial" w:cs="Arial"/>
          <w:b/>
          <w:sz w:val="32"/>
          <w:szCs w:val="32"/>
        </w:rPr>
      </w:pPr>
    </w:p>
    <w:p w14:paraId="17E0D1F7" w14:textId="77777777" w:rsidR="003C3D60" w:rsidRDefault="003C3D60" w:rsidP="00142874">
      <w:pPr>
        <w:pBdr>
          <w:top w:val="nil"/>
          <w:left w:val="nil"/>
          <w:bottom w:val="nil"/>
          <w:right w:val="nil"/>
          <w:between w:val="nil"/>
        </w:pBdr>
        <w:spacing w:line="360" w:lineRule="auto"/>
        <w:rPr>
          <w:rFonts w:ascii="Arial" w:eastAsia="Times New Roman" w:hAnsi="Arial" w:cs="Arial"/>
          <w:b/>
          <w:bCs/>
        </w:rPr>
      </w:pPr>
    </w:p>
    <w:p w14:paraId="1209D00D" w14:textId="5A5C0962" w:rsidR="00D97493" w:rsidRDefault="007110CD" w:rsidP="00142874">
      <w:pPr>
        <w:pBdr>
          <w:top w:val="nil"/>
          <w:left w:val="nil"/>
          <w:bottom w:val="nil"/>
          <w:right w:val="nil"/>
          <w:between w:val="nil"/>
        </w:pBdr>
        <w:spacing w:line="360" w:lineRule="auto"/>
        <w:rPr>
          <w:rFonts w:ascii="Arial" w:eastAsia="Times New Roman" w:hAnsi="Arial" w:cs="Arial"/>
        </w:rPr>
      </w:pPr>
      <w:r w:rsidRPr="007110CD">
        <w:rPr>
          <w:rFonts w:ascii="Arial" w:eastAsia="Times New Roman" w:hAnsi="Arial" w:cs="Arial"/>
          <w:b/>
          <w:bCs/>
        </w:rPr>
        <w:t>Executive</w:t>
      </w:r>
      <w:r w:rsidR="00142874">
        <w:rPr>
          <w:rFonts w:ascii="Arial" w:eastAsia="Times New Roman" w:hAnsi="Arial" w:cs="Arial"/>
          <w:b/>
          <w:bCs/>
        </w:rPr>
        <w:t xml:space="preserve"> </w:t>
      </w:r>
      <w:r w:rsidRPr="007110CD">
        <w:rPr>
          <w:rFonts w:ascii="Arial" w:eastAsia="Times New Roman" w:hAnsi="Arial" w:cs="Arial"/>
          <w:b/>
          <w:bCs/>
        </w:rPr>
        <w:t>Summary</w:t>
      </w:r>
      <w:r w:rsidRPr="007110CD">
        <w:rPr>
          <w:rFonts w:ascii="Arial" w:eastAsia="Times New Roman" w:hAnsi="Arial" w:cs="Arial"/>
        </w:rPr>
        <w:br/>
        <w:t>The hospitality industry, a cornerstone of global tourism and economic activity, is inextricably linked to transportation systems that facilitate guest services, supply chains, and operational efficiency. However, the sector’s reliance on road transport—encompassing hotel shuttles, delivery fleets, and freight logistics—has emerged as a significant contributor to environmental degradation. This report critically examines the environmental impacts of road transport within the hospitality sector and proposes evidence-based strategies to transition toward sustainable mobility solutions</w:t>
      </w:r>
      <w:r w:rsidR="00D97493">
        <w:rPr>
          <w:rFonts w:ascii="Arial" w:eastAsia="Times New Roman" w:hAnsi="Arial" w:cs="Arial"/>
        </w:rPr>
        <w:t>.</w:t>
      </w:r>
    </w:p>
    <w:p w14:paraId="1BF3603F" w14:textId="473331C9" w:rsidR="007110CD" w:rsidRDefault="007110CD" w:rsidP="00D97493">
      <w:pPr>
        <w:pBdr>
          <w:top w:val="nil"/>
          <w:left w:val="nil"/>
          <w:bottom w:val="nil"/>
          <w:right w:val="nil"/>
          <w:between w:val="nil"/>
        </w:pBdr>
        <w:spacing w:line="360" w:lineRule="auto"/>
        <w:jc w:val="both"/>
        <w:rPr>
          <w:rFonts w:ascii="Arial" w:eastAsia="Times New Roman" w:hAnsi="Arial" w:cs="Arial"/>
        </w:rPr>
      </w:pPr>
      <w:r w:rsidRPr="007110CD">
        <w:rPr>
          <w:rFonts w:ascii="Arial" w:eastAsia="Times New Roman" w:hAnsi="Arial" w:cs="Arial"/>
        </w:rPr>
        <w:t>Accounting for 8% of global carbon emissions, tourism’s environmental footprint is amplified by road transport, which contributes 17% of global CO</w:t>
      </w:r>
      <w:r w:rsidRPr="007110CD">
        <w:rPr>
          <w:rFonts w:ascii="Cambria Math" w:eastAsia="Times New Roman" w:hAnsi="Cambria Math" w:cs="Cambria Math"/>
        </w:rPr>
        <w:t>₂</w:t>
      </w:r>
      <w:r w:rsidRPr="007110CD">
        <w:rPr>
          <w:rFonts w:ascii="Arial" w:eastAsia="Times New Roman" w:hAnsi="Arial" w:cs="Arial"/>
        </w:rPr>
        <w:t xml:space="preserve"> emissions. The hospitality industry’s dependence on fossil fuel-powered vehicles exacerbates climate change, air pollution, resource depletion, and urban congestion. This report focuses on road transport due to its ubiquity in hospitality operations, particularly in urban hubs where hotels, restaurants, and tourism services concentrate. By analyzing the interplay between operational efficiency and ecological responsibility, this study underscores the urgency of adopting scalable sustainability interventions.</w:t>
      </w:r>
    </w:p>
    <w:p w14:paraId="129D49F9"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1BEEED79"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32236B9B"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297B3B6B"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4FDBA0C7"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0B769A51"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16F2ACCD"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70D93EDB"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0560BA48" w14:textId="77777777" w:rsidR="00D97493" w:rsidRDefault="00D97493" w:rsidP="00C91FDD">
      <w:pPr>
        <w:pBdr>
          <w:top w:val="nil"/>
          <w:left w:val="nil"/>
          <w:bottom w:val="nil"/>
          <w:right w:val="nil"/>
          <w:between w:val="nil"/>
        </w:pBdr>
        <w:spacing w:line="360" w:lineRule="auto"/>
        <w:rPr>
          <w:rFonts w:ascii="Arial" w:eastAsia="Times New Roman" w:hAnsi="Arial" w:cs="Arial"/>
        </w:rPr>
      </w:pPr>
    </w:p>
    <w:p w14:paraId="598D93DB" w14:textId="77777777" w:rsidR="00D97493" w:rsidRPr="007110CD" w:rsidRDefault="00D97493" w:rsidP="00C91FDD">
      <w:pPr>
        <w:pBdr>
          <w:top w:val="nil"/>
          <w:left w:val="nil"/>
          <w:bottom w:val="nil"/>
          <w:right w:val="nil"/>
          <w:between w:val="nil"/>
        </w:pBdr>
        <w:spacing w:line="360" w:lineRule="auto"/>
        <w:rPr>
          <w:rFonts w:ascii="Arial" w:eastAsia="Times New Roman" w:hAnsi="Arial" w:cs="Arial"/>
        </w:rPr>
      </w:pPr>
    </w:p>
    <w:p w14:paraId="09F991F9" w14:textId="77777777" w:rsidR="009F6B87" w:rsidRPr="00C91FDD" w:rsidRDefault="009F6B87" w:rsidP="00C91FDD">
      <w:pPr>
        <w:pBdr>
          <w:top w:val="nil"/>
          <w:left w:val="nil"/>
          <w:bottom w:val="nil"/>
          <w:right w:val="nil"/>
          <w:between w:val="nil"/>
        </w:pBdr>
        <w:spacing w:line="360" w:lineRule="auto"/>
        <w:rPr>
          <w:rFonts w:ascii="Arial" w:eastAsia="Times New Roman" w:hAnsi="Arial" w:cs="Arial"/>
        </w:rPr>
      </w:pPr>
    </w:p>
    <w:p w14:paraId="4661A88A" w14:textId="77777777" w:rsidR="009F6B87" w:rsidRDefault="009F6B87" w:rsidP="009F6B87">
      <w:pPr>
        <w:keepNext/>
        <w:keepLines/>
        <w:pBdr>
          <w:top w:val="nil"/>
          <w:left w:val="nil"/>
          <w:bottom w:val="nil"/>
          <w:right w:val="nil"/>
          <w:between w:val="nil"/>
        </w:pBdr>
        <w:spacing w:before="480"/>
        <w:jc w:val="center"/>
        <w:rPr>
          <w:rFonts w:eastAsia="Times New Roman" w:cs="Times New Roman"/>
          <w:b/>
        </w:rPr>
      </w:pPr>
      <w:r>
        <w:rPr>
          <w:rFonts w:eastAsia="Times New Roman" w:cs="Times New Roman"/>
          <w:b/>
          <w:sz w:val="28"/>
          <w:szCs w:val="28"/>
        </w:rPr>
        <w:t>Table of Contents</w:t>
      </w:r>
    </w:p>
    <w:sdt>
      <w:sdtPr>
        <w:id w:val="-1352787410"/>
        <w:docPartObj>
          <w:docPartGallery w:val="Table of Contents"/>
          <w:docPartUnique/>
        </w:docPartObj>
      </w:sdtPr>
      <w:sdtContent>
        <w:p w14:paraId="2B8BA0FB" w14:textId="1DB057A6" w:rsidR="009F6B87" w:rsidRDefault="009F6B87" w:rsidP="00D97493">
          <w:pPr>
            <w:widowControl w:val="0"/>
            <w:tabs>
              <w:tab w:val="right" w:leader="dot" w:pos="12000"/>
            </w:tabs>
            <w:spacing w:before="60"/>
          </w:pPr>
        </w:p>
        <w:p w14:paraId="2D0C1FE8" w14:textId="591584A2" w:rsidR="009F6B87" w:rsidRPr="00925CB7" w:rsidRDefault="009F6B87" w:rsidP="000360F6">
          <w:pPr>
            <w:numPr>
              <w:ilvl w:val="0"/>
              <w:numId w:val="6"/>
            </w:numPr>
            <w:spacing w:line="360" w:lineRule="auto"/>
            <w:rPr>
              <w:rFonts w:ascii="Arial" w:hAnsi="Arial" w:cs="Arial"/>
              <w:b/>
              <w:bCs/>
            </w:rPr>
          </w:pPr>
          <w:r w:rsidRPr="00925CB7">
            <w:rPr>
              <w:rFonts w:ascii="Arial" w:hAnsi="Arial" w:cs="Arial"/>
              <w:b/>
              <w:bCs/>
            </w:rPr>
            <w:t>Introduction to Hospitality Transport...............................</w:t>
          </w:r>
          <w:r w:rsidR="00445FF0" w:rsidRPr="00FD6B43">
            <w:rPr>
              <w:rFonts w:ascii="Arial" w:hAnsi="Arial" w:cs="Arial"/>
              <w:b/>
              <w:bCs/>
            </w:rPr>
            <w:t>2</w:t>
          </w:r>
        </w:p>
        <w:p w14:paraId="4530CD57" w14:textId="08F7DEE7" w:rsidR="009F6B87" w:rsidRPr="00925CB7" w:rsidRDefault="009F6B87" w:rsidP="000360F6">
          <w:pPr>
            <w:numPr>
              <w:ilvl w:val="0"/>
              <w:numId w:val="6"/>
            </w:numPr>
            <w:spacing w:line="360" w:lineRule="auto"/>
            <w:rPr>
              <w:rFonts w:ascii="Arial" w:hAnsi="Arial" w:cs="Arial"/>
              <w:b/>
              <w:bCs/>
            </w:rPr>
          </w:pPr>
          <w:r w:rsidRPr="00925CB7">
            <w:rPr>
              <w:rFonts w:ascii="Arial" w:hAnsi="Arial" w:cs="Arial"/>
              <w:b/>
              <w:bCs/>
            </w:rPr>
            <w:t>Chosen Mode: Road Transport.........................................</w:t>
          </w:r>
          <w:r w:rsidR="00B543E8">
            <w:rPr>
              <w:rFonts w:ascii="Arial" w:hAnsi="Arial" w:cs="Arial"/>
              <w:b/>
              <w:bCs/>
            </w:rPr>
            <w:t>5</w:t>
          </w:r>
        </w:p>
        <w:p w14:paraId="5601D9A4" w14:textId="49443139" w:rsidR="009F6B87" w:rsidRPr="00FD6B43" w:rsidRDefault="009F6B87" w:rsidP="000360F6">
          <w:pPr>
            <w:numPr>
              <w:ilvl w:val="0"/>
              <w:numId w:val="6"/>
            </w:numPr>
            <w:spacing w:line="360" w:lineRule="auto"/>
            <w:rPr>
              <w:rFonts w:ascii="Arial" w:hAnsi="Arial" w:cs="Arial"/>
              <w:b/>
              <w:bCs/>
            </w:rPr>
          </w:pPr>
          <w:r w:rsidRPr="00925CB7">
            <w:rPr>
              <w:rFonts w:ascii="Arial" w:hAnsi="Arial" w:cs="Arial"/>
              <w:b/>
              <w:bCs/>
            </w:rPr>
            <w:t>Environmental Damage Caused by Road Transport...........</w:t>
          </w:r>
          <w:r w:rsidR="00B543E8">
            <w:rPr>
              <w:rFonts w:ascii="Arial" w:hAnsi="Arial" w:cs="Arial"/>
              <w:b/>
              <w:bCs/>
            </w:rPr>
            <w:t>5</w:t>
          </w:r>
          <w:r w:rsidRPr="00925CB7">
            <w:rPr>
              <w:rFonts w:ascii="Arial" w:hAnsi="Arial" w:cs="Arial"/>
              <w:b/>
              <w:bCs/>
            </w:rPr>
            <w:br/>
            <w:t>3.1 Greenhouse Gas Emissions......................................</w:t>
          </w:r>
          <w:r w:rsidR="00B543E8">
            <w:rPr>
              <w:rFonts w:ascii="Arial" w:hAnsi="Arial" w:cs="Arial"/>
              <w:b/>
              <w:bCs/>
            </w:rPr>
            <w:t>6</w:t>
          </w:r>
          <w:r w:rsidRPr="00925CB7">
            <w:rPr>
              <w:rFonts w:ascii="Arial" w:hAnsi="Arial" w:cs="Arial"/>
              <w:b/>
              <w:bCs/>
            </w:rPr>
            <w:t>.</w:t>
          </w:r>
          <w:r w:rsidRPr="00925CB7">
            <w:rPr>
              <w:rFonts w:ascii="Arial" w:hAnsi="Arial" w:cs="Arial"/>
              <w:b/>
              <w:bCs/>
            </w:rPr>
            <w:br/>
            <w:t>3.2 Air Pollutants and Health Impacts.............................</w:t>
          </w:r>
          <w:r w:rsidR="00B543E8">
            <w:rPr>
              <w:rFonts w:ascii="Arial" w:hAnsi="Arial" w:cs="Arial"/>
              <w:b/>
              <w:bCs/>
            </w:rPr>
            <w:t>6</w:t>
          </w:r>
          <w:r w:rsidRPr="00925CB7">
            <w:rPr>
              <w:rFonts w:ascii="Arial" w:hAnsi="Arial" w:cs="Arial"/>
              <w:b/>
              <w:bCs/>
            </w:rPr>
            <w:br/>
            <w:t>3.3 Resource Depletion and Fossil Fuel Dependence......</w:t>
          </w:r>
          <w:r w:rsidR="00B543E8">
            <w:rPr>
              <w:rFonts w:ascii="Arial" w:hAnsi="Arial" w:cs="Arial"/>
              <w:b/>
              <w:bCs/>
            </w:rPr>
            <w:t>7</w:t>
          </w:r>
        </w:p>
        <w:p w14:paraId="7C425612" w14:textId="569019DC" w:rsidR="009F6B87" w:rsidRPr="00925CB7" w:rsidRDefault="009F6B87" w:rsidP="000360F6">
          <w:pPr>
            <w:numPr>
              <w:ilvl w:val="0"/>
              <w:numId w:val="6"/>
            </w:numPr>
            <w:spacing w:line="360" w:lineRule="auto"/>
            <w:rPr>
              <w:rFonts w:ascii="Arial" w:hAnsi="Arial" w:cs="Arial"/>
              <w:b/>
              <w:bCs/>
            </w:rPr>
          </w:pPr>
          <w:r w:rsidRPr="00925CB7">
            <w:rPr>
              <w:rFonts w:ascii="Arial" w:hAnsi="Arial" w:cs="Arial"/>
              <w:b/>
              <w:bCs/>
            </w:rPr>
            <w:t>3.4 Noise Pollution and Urban Congestion.....................</w:t>
          </w:r>
          <w:r w:rsidR="00B543E8">
            <w:rPr>
              <w:rFonts w:ascii="Arial" w:hAnsi="Arial" w:cs="Arial"/>
              <w:b/>
              <w:bCs/>
            </w:rPr>
            <w:t>8</w:t>
          </w:r>
        </w:p>
        <w:p w14:paraId="17ECFE15" w14:textId="5548AEB2" w:rsidR="009F6B87" w:rsidRDefault="009F6B87" w:rsidP="000360F6">
          <w:pPr>
            <w:numPr>
              <w:ilvl w:val="0"/>
              <w:numId w:val="6"/>
            </w:numPr>
            <w:spacing w:line="360" w:lineRule="auto"/>
            <w:rPr>
              <w:rFonts w:ascii="Arial" w:hAnsi="Arial" w:cs="Arial"/>
              <w:b/>
              <w:bCs/>
            </w:rPr>
          </w:pPr>
          <w:r w:rsidRPr="00925CB7">
            <w:rPr>
              <w:rFonts w:ascii="Arial" w:hAnsi="Arial" w:cs="Arial"/>
              <w:b/>
              <w:bCs/>
            </w:rPr>
            <w:t>Sustainable Solutions....................................................</w:t>
          </w:r>
          <w:r w:rsidR="00B543E8">
            <w:rPr>
              <w:rFonts w:ascii="Arial" w:hAnsi="Arial" w:cs="Arial"/>
              <w:b/>
              <w:bCs/>
            </w:rPr>
            <w:t>9</w:t>
          </w:r>
          <w:r w:rsidRPr="00925CB7">
            <w:rPr>
              <w:rFonts w:ascii="Arial" w:hAnsi="Arial" w:cs="Arial"/>
              <w:b/>
              <w:bCs/>
            </w:rPr>
            <w:br/>
            <w:t xml:space="preserve">4.1 Electrification of Fleet (Electric </w:t>
          </w:r>
          <w:r w:rsidR="00445FF0" w:rsidRPr="00FD6B43">
            <w:rPr>
              <w:rFonts w:ascii="Arial" w:hAnsi="Arial" w:cs="Arial"/>
              <w:b/>
              <w:bCs/>
            </w:rPr>
            <w:t>Vehicles) ................</w:t>
          </w:r>
          <w:r w:rsidR="00667831" w:rsidRPr="00FD6B43">
            <w:rPr>
              <w:rFonts w:ascii="Arial" w:hAnsi="Arial" w:cs="Arial"/>
              <w:b/>
              <w:bCs/>
            </w:rPr>
            <w:t xml:space="preserve"> </w:t>
          </w:r>
          <w:r w:rsidR="00B543E8">
            <w:rPr>
              <w:rFonts w:ascii="Arial" w:hAnsi="Arial" w:cs="Arial"/>
              <w:b/>
              <w:bCs/>
            </w:rPr>
            <w:t>9</w:t>
          </w:r>
          <w:r w:rsidRPr="00925CB7">
            <w:rPr>
              <w:rFonts w:ascii="Arial" w:hAnsi="Arial" w:cs="Arial"/>
              <w:b/>
              <w:bCs/>
            </w:rPr>
            <w:br/>
            <w:t>4.2 Alternative Fuels: Biodiesel and Hydrogen..............</w:t>
          </w:r>
          <w:r w:rsidR="005D0DC8">
            <w:rPr>
              <w:rFonts w:ascii="Arial" w:hAnsi="Arial" w:cs="Arial"/>
              <w:b/>
              <w:bCs/>
            </w:rPr>
            <w:t>10</w:t>
          </w:r>
          <w:r w:rsidRPr="00925CB7">
            <w:rPr>
              <w:rFonts w:ascii="Arial" w:hAnsi="Arial" w:cs="Arial"/>
              <w:b/>
              <w:bCs/>
            </w:rPr>
            <w:br/>
            <w:t>4.3 Logistics Optimization and Route Planning.............</w:t>
          </w:r>
          <w:r w:rsidR="00445FF0" w:rsidRPr="00FD6B43">
            <w:rPr>
              <w:rFonts w:ascii="Arial" w:hAnsi="Arial" w:cs="Arial"/>
              <w:b/>
              <w:bCs/>
            </w:rPr>
            <w:t xml:space="preserve"> </w:t>
          </w:r>
          <w:r w:rsidR="005D0DC8">
            <w:rPr>
              <w:rFonts w:ascii="Arial" w:hAnsi="Arial" w:cs="Arial"/>
              <w:b/>
              <w:bCs/>
            </w:rPr>
            <w:t>10</w:t>
          </w:r>
          <w:r w:rsidRPr="00925CB7">
            <w:rPr>
              <w:rFonts w:ascii="Arial" w:hAnsi="Arial" w:cs="Arial"/>
              <w:b/>
              <w:bCs/>
            </w:rPr>
            <w:br/>
            <w:t>4.4 Industry Collaboration and Policy Advocacy..........</w:t>
          </w:r>
          <w:r w:rsidR="005D0DC8">
            <w:rPr>
              <w:rFonts w:ascii="Arial" w:hAnsi="Arial" w:cs="Arial"/>
              <w:b/>
              <w:bCs/>
            </w:rPr>
            <w:t>10</w:t>
          </w:r>
        </w:p>
        <w:p w14:paraId="3B629CDB" w14:textId="79810C20" w:rsidR="00DF361F" w:rsidRPr="00925CB7" w:rsidRDefault="005D0DC8" w:rsidP="000360F6">
          <w:pPr>
            <w:numPr>
              <w:ilvl w:val="0"/>
              <w:numId w:val="6"/>
            </w:numPr>
            <w:spacing w:line="360" w:lineRule="auto"/>
            <w:rPr>
              <w:rFonts w:ascii="Arial" w:hAnsi="Arial" w:cs="Arial"/>
              <w:b/>
              <w:bCs/>
            </w:rPr>
          </w:pPr>
          <w:r>
            <w:rPr>
              <w:rFonts w:ascii="Arial" w:hAnsi="Arial" w:cs="Arial"/>
              <w:b/>
              <w:bCs/>
            </w:rPr>
            <w:t>5.</w:t>
          </w:r>
          <w:r w:rsidR="002B60F7">
            <w:rPr>
              <w:rFonts w:ascii="Arial" w:hAnsi="Arial" w:cs="Arial"/>
              <w:b/>
              <w:bCs/>
            </w:rPr>
            <w:t>Recommendations</w:t>
          </w:r>
          <w:r w:rsidR="003C3D60">
            <w:rPr>
              <w:rFonts w:ascii="Arial" w:hAnsi="Arial" w:cs="Arial"/>
              <w:b/>
              <w:bCs/>
            </w:rPr>
            <w:t>……………………………………….</w:t>
          </w:r>
          <w:r>
            <w:rPr>
              <w:rFonts w:ascii="Arial" w:hAnsi="Arial" w:cs="Arial"/>
              <w:b/>
              <w:bCs/>
            </w:rPr>
            <w:t>11</w:t>
          </w:r>
        </w:p>
        <w:p w14:paraId="79DC23BF" w14:textId="39062BC6" w:rsidR="009F6B87" w:rsidRPr="00925CB7" w:rsidRDefault="005D0DC8" w:rsidP="000360F6">
          <w:pPr>
            <w:numPr>
              <w:ilvl w:val="0"/>
              <w:numId w:val="6"/>
            </w:numPr>
            <w:spacing w:line="360" w:lineRule="auto"/>
            <w:rPr>
              <w:rFonts w:ascii="Arial" w:hAnsi="Arial" w:cs="Arial"/>
              <w:b/>
              <w:bCs/>
            </w:rPr>
          </w:pPr>
          <w:r>
            <w:rPr>
              <w:rFonts w:ascii="Arial" w:hAnsi="Arial" w:cs="Arial"/>
              <w:b/>
              <w:bCs/>
            </w:rPr>
            <w:t>6.</w:t>
          </w:r>
          <w:r w:rsidR="009F6B87" w:rsidRPr="00925CB7">
            <w:rPr>
              <w:rFonts w:ascii="Arial" w:hAnsi="Arial" w:cs="Arial"/>
              <w:b/>
              <w:bCs/>
            </w:rPr>
            <w:t>Conclusion....................................................................</w:t>
          </w:r>
          <w:r>
            <w:rPr>
              <w:rFonts w:ascii="Arial" w:hAnsi="Arial" w:cs="Arial"/>
              <w:b/>
              <w:bCs/>
            </w:rPr>
            <w:t>11</w:t>
          </w:r>
        </w:p>
        <w:p w14:paraId="0D545877" w14:textId="02F1DD66" w:rsidR="009F6B87" w:rsidRPr="00925CB7" w:rsidRDefault="005D0DC8" w:rsidP="000360F6">
          <w:pPr>
            <w:numPr>
              <w:ilvl w:val="0"/>
              <w:numId w:val="6"/>
            </w:numPr>
            <w:spacing w:line="360" w:lineRule="auto"/>
            <w:rPr>
              <w:rFonts w:ascii="Arial" w:hAnsi="Arial" w:cs="Arial"/>
              <w:b/>
              <w:bCs/>
            </w:rPr>
          </w:pPr>
          <w:r>
            <w:rPr>
              <w:rFonts w:ascii="Arial" w:hAnsi="Arial" w:cs="Arial"/>
              <w:b/>
              <w:bCs/>
            </w:rPr>
            <w:t>7.</w:t>
          </w:r>
          <w:r w:rsidR="009F6B87" w:rsidRPr="00925CB7">
            <w:rPr>
              <w:rFonts w:ascii="Arial" w:hAnsi="Arial" w:cs="Arial"/>
              <w:b/>
              <w:bCs/>
            </w:rPr>
            <w:t>References....................................................................</w:t>
          </w:r>
          <w:r>
            <w:rPr>
              <w:rFonts w:ascii="Arial" w:hAnsi="Arial" w:cs="Arial"/>
              <w:b/>
              <w:bCs/>
            </w:rPr>
            <w:t>12</w:t>
          </w:r>
        </w:p>
        <w:p w14:paraId="62D46A4D" w14:textId="53711A30" w:rsidR="00DC5C46" w:rsidRPr="009F6B87" w:rsidRDefault="009F6B87" w:rsidP="005413F5">
          <w:pPr>
            <w:spacing w:line="360" w:lineRule="auto"/>
            <w:rPr>
              <w:rFonts w:ascii="Arial" w:hAnsi="Arial" w:cs="Arial"/>
            </w:rPr>
          </w:pPr>
        </w:p>
      </w:sdtContent>
    </w:sdt>
    <w:p w14:paraId="152A5290" w14:textId="77777777" w:rsidR="00DC5C46" w:rsidRDefault="00DC5C46" w:rsidP="005413F5">
      <w:pPr>
        <w:spacing w:line="360" w:lineRule="auto"/>
        <w:rPr>
          <w:rFonts w:ascii="Arial" w:hAnsi="Arial" w:cs="Arial"/>
        </w:rPr>
      </w:pPr>
    </w:p>
    <w:p w14:paraId="17ED440F" w14:textId="77777777" w:rsidR="00DC5C46" w:rsidRDefault="00DC5C46" w:rsidP="00DC5C46">
      <w:pPr>
        <w:spacing w:line="360" w:lineRule="auto"/>
        <w:rPr>
          <w:rFonts w:ascii="Arial" w:hAnsi="Arial" w:cs="Arial"/>
        </w:rPr>
      </w:pPr>
    </w:p>
    <w:p w14:paraId="57F7648B" w14:textId="77777777" w:rsidR="00DC5C46" w:rsidRDefault="00DC5C46" w:rsidP="00DC5C46">
      <w:pPr>
        <w:spacing w:line="360" w:lineRule="auto"/>
        <w:rPr>
          <w:rFonts w:ascii="Arial" w:hAnsi="Arial" w:cs="Arial"/>
        </w:rPr>
      </w:pPr>
    </w:p>
    <w:p w14:paraId="4BDEC503" w14:textId="77777777" w:rsidR="00DC5C46" w:rsidRDefault="00DC5C46" w:rsidP="00DC5C46">
      <w:pPr>
        <w:spacing w:line="360" w:lineRule="auto"/>
        <w:rPr>
          <w:rFonts w:ascii="Arial" w:hAnsi="Arial" w:cs="Arial"/>
        </w:rPr>
      </w:pPr>
    </w:p>
    <w:p w14:paraId="6DB4F8F9" w14:textId="77777777" w:rsidR="00DC5C46" w:rsidRDefault="00DC5C46" w:rsidP="00DC5C46">
      <w:pPr>
        <w:spacing w:line="360" w:lineRule="auto"/>
        <w:rPr>
          <w:rFonts w:ascii="Arial" w:hAnsi="Arial" w:cs="Arial"/>
        </w:rPr>
      </w:pPr>
    </w:p>
    <w:p w14:paraId="39DAF462" w14:textId="77777777" w:rsidR="00DC5C46" w:rsidRDefault="00DC5C46" w:rsidP="00DC5C46">
      <w:pPr>
        <w:spacing w:line="360" w:lineRule="auto"/>
        <w:rPr>
          <w:rFonts w:ascii="Arial" w:hAnsi="Arial" w:cs="Arial"/>
        </w:rPr>
      </w:pPr>
    </w:p>
    <w:p w14:paraId="06D8CB9D" w14:textId="77777777" w:rsidR="00142874" w:rsidRDefault="00142874" w:rsidP="00DC5C46">
      <w:pPr>
        <w:spacing w:line="360" w:lineRule="auto"/>
        <w:rPr>
          <w:rFonts w:ascii="Arial" w:hAnsi="Arial" w:cs="Arial"/>
        </w:rPr>
      </w:pPr>
    </w:p>
    <w:p w14:paraId="2A932D70" w14:textId="77777777" w:rsidR="00DC5C46" w:rsidRDefault="00DC5C46" w:rsidP="00DC5C46">
      <w:pPr>
        <w:spacing w:line="360" w:lineRule="auto"/>
        <w:rPr>
          <w:rFonts w:ascii="Arial" w:hAnsi="Arial" w:cs="Arial"/>
        </w:rPr>
      </w:pPr>
    </w:p>
    <w:p w14:paraId="4F8259D9" w14:textId="77777777" w:rsidR="00DC5C46" w:rsidRPr="00925CB7" w:rsidRDefault="00DC5C46" w:rsidP="00DC5C46">
      <w:pPr>
        <w:spacing w:line="360" w:lineRule="auto"/>
        <w:rPr>
          <w:rFonts w:ascii="Arial" w:hAnsi="Arial" w:cs="Arial"/>
        </w:rPr>
      </w:pPr>
    </w:p>
    <w:p w14:paraId="3CF58CAA" w14:textId="7D1D2108" w:rsidR="00E020F5" w:rsidRPr="00E020F5" w:rsidRDefault="00B03E10" w:rsidP="00142874">
      <w:pPr>
        <w:spacing w:line="360" w:lineRule="auto"/>
        <w:jc w:val="both"/>
        <w:rPr>
          <w:rFonts w:ascii="Arial" w:hAnsi="Arial" w:cs="Arial"/>
        </w:rPr>
      </w:pPr>
      <w:r>
        <w:rPr>
          <w:rFonts w:ascii="Arial" w:hAnsi="Arial" w:cs="Arial"/>
          <w:b/>
          <w:bCs/>
        </w:rPr>
        <w:t>I</w:t>
      </w:r>
      <w:r w:rsidRPr="00E020F5">
        <w:rPr>
          <w:rFonts w:ascii="Arial" w:hAnsi="Arial" w:cs="Arial"/>
          <w:b/>
          <w:bCs/>
        </w:rPr>
        <w:t>ntroduction</w:t>
      </w:r>
      <w:r w:rsidR="00E020F5" w:rsidRPr="00E020F5">
        <w:rPr>
          <w:rFonts w:ascii="Arial" w:hAnsi="Arial" w:cs="Arial"/>
          <w:b/>
          <w:bCs/>
        </w:rPr>
        <w:t xml:space="preserve"> to Hospitality Transport</w:t>
      </w:r>
    </w:p>
    <w:p w14:paraId="3322270E" w14:textId="006E0B02" w:rsidR="00E020F5" w:rsidRDefault="006B2442" w:rsidP="00142874">
      <w:pPr>
        <w:spacing w:line="360" w:lineRule="auto"/>
        <w:jc w:val="both"/>
        <w:rPr>
          <w:rFonts w:ascii="Arial" w:hAnsi="Arial" w:cs="Arial"/>
        </w:rPr>
      </w:pPr>
      <w:r>
        <w:rPr>
          <w:rFonts w:ascii="Arial" w:hAnsi="Arial" w:cs="Arial"/>
        </w:rPr>
        <w:t>Hospitality transport refers to the vehicles and logistics systems utilized within the industry to enhance guest services, streamline supply chains, and improve operational efficiency. This includes hotel shuttles, food delivery vans, and freight trucks responsible for transporting goods. Importantly, global tourism contributes to 8% of carbon emissions (Lenzen et al., 2018), positioning road transport as a significant yet often overlooked contributor to environmental degradation. This report focuses on road transport due to its widespread presence in hospitality operations and the substantial opportunities for scalable sustainability initiatives.</w:t>
      </w:r>
    </w:p>
    <w:p w14:paraId="6494D01C" w14:textId="77777777" w:rsidR="00B03E10" w:rsidRPr="00E020F5" w:rsidRDefault="00B03E10" w:rsidP="00142874">
      <w:pPr>
        <w:spacing w:line="360" w:lineRule="auto"/>
        <w:jc w:val="both"/>
        <w:rPr>
          <w:rFonts w:ascii="Arial" w:hAnsi="Arial" w:cs="Arial"/>
        </w:rPr>
      </w:pPr>
    </w:p>
    <w:p w14:paraId="404120FF"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1. The Role of Transport in the Hospitality Industry</w:t>
      </w:r>
    </w:p>
    <w:p w14:paraId="0CCBF57D" w14:textId="77777777" w:rsidR="00287A9E" w:rsidRDefault="00287A9E" w:rsidP="00142874">
      <w:pPr>
        <w:spacing w:line="360" w:lineRule="auto"/>
        <w:jc w:val="both"/>
        <w:rPr>
          <w:rFonts w:ascii="Arial" w:hAnsi="Arial" w:cs="Arial"/>
        </w:rPr>
      </w:pPr>
      <w:r>
        <w:rPr>
          <w:rFonts w:ascii="Arial" w:hAnsi="Arial" w:cs="Arial"/>
        </w:rPr>
        <w:t>Transport is an essential element of the hospitality sector, enabling hotels, resorts, restaurants, and tourism-related businesses to function effectively. Hospitality transport refers to the movement of guests, employees, and goods necessary for daily operations. This includes services such as airport shuttles, hotel limousines, ride-hailing options, food and beverage logistics, as well as the transportation of linens, cleaning supplies, and waste collection services.</w:t>
      </w:r>
    </w:p>
    <w:p w14:paraId="0900DF84" w14:textId="77777777" w:rsidR="00287A9E" w:rsidRDefault="00287A9E" w:rsidP="00142874">
      <w:pPr>
        <w:spacing w:line="360" w:lineRule="auto"/>
        <w:jc w:val="both"/>
        <w:rPr>
          <w:rFonts w:ascii="Arial" w:hAnsi="Arial" w:cs="Arial"/>
        </w:rPr>
      </w:pPr>
    </w:p>
    <w:p w14:paraId="7A26FA78" w14:textId="78303E67" w:rsidR="00E020F5" w:rsidRPr="00E020F5" w:rsidRDefault="00287A9E" w:rsidP="00142874">
      <w:pPr>
        <w:spacing w:line="360" w:lineRule="auto"/>
        <w:jc w:val="both"/>
        <w:rPr>
          <w:rFonts w:ascii="Arial" w:hAnsi="Arial" w:cs="Arial"/>
        </w:rPr>
      </w:pPr>
      <w:r>
        <w:rPr>
          <w:rFonts w:ascii="Arial" w:hAnsi="Arial" w:cs="Arial"/>
        </w:rPr>
        <w:t xml:space="preserve">Effective transportation services not only enhance customer satisfaction but also ensure the smooth operation of businesses. However, they also present significant environmental challenges. For instance, large hotel chains often maintain fleets of vehicles to shuttle guests between airports, railway stations, and their properties. Additionally, the transportation of food and beverages is crucial for the supply chain of </w:t>
      </w:r>
      <w:r>
        <w:rPr>
          <w:rFonts w:ascii="Arial" w:hAnsi="Arial" w:cs="Arial"/>
        </w:rPr>
        <w:lastRenderedPageBreak/>
        <w:t>restaurants, catering services, and event venues.</w:t>
      </w:r>
      <w:r w:rsidR="00AC14F2">
        <w:rPr>
          <w:rFonts w:ascii="Arial" w:hAnsi="Arial" w:cs="Arial"/>
        </w:rPr>
        <w:t xml:space="preserve"> </w:t>
      </w:r>
      <w:r>
        <w:rPr>
          <w:rFonts w:ascii="Arial" w:hAnsi="Arial" w:cs="Arial"/>
        </w:rPr>
        <w:t>Given the energy-intensive nature of these logistics, it is vital to pursue sustainable transportation solutions.</w:t>
      </w:r>
    </w:p>
    <w:p w14:paraId="4463D18B"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2. Chosen Mode: Road Transport</w:t>
      </w:r>
    </w:p>
    <w:p w14:paraId="34990AA8" w14:textId="77777777" w:rsidR="00D75972" w:rsidRDefault="00D75972" w:rsidP="00142874">
      <w:pPr>
        <w:spacing w:line="360" w:lineRule="auto"/>
        <w:jc w:val="both"/>
        <w:rPr>
          <w:rFonts w:ascii="Arial" w:hAnsi="Arial" w:cs="Arial"/>
        </w:rPr>
      </w:pPr>
      <w:r>
        <w:rPr>
          <w:rFonts w:ascii="Arial" w:hAnsi="Arial" w:cs="Arial"/>
        </w:rPr>
        <w:t>Road transport, encompassing cars, vans, and trucks, is crucial for the hospitality industry. Hotels utilize shuttle services for airport transfers, restaurants rely on delivery fleets, and supply chains depend on heavy-duty trucks for goods distribution. However, despite its convenience, road transport accounts for 17% of global CO</w:t>
      </w:r>
      <w:r>
        <w:rPr>
          <w:rFonts w:ascii="Cambria Math" w:hAnsi="Cambria Math" w:cs="Cambria Math"/>
        </w:rPr>
        <w:t>₂</w:t>
      </w:r>
      <w:r>
        <w:rPr>
          <w:rFonts w:ascii="Arial" w:hAnsi="Arial" w:cs="Arial"/>
        </w:rPr>
        <w:t xml:space="preserve"> emissions (IEA, 2022), underscoring the urgent need for decarbonization initiatives.</w:t>
      </w:r>
    </w:p>
    <w:p w14:paraId="48184C73" w14:textId="35E7DCDA" w:rsidR="00E020F5" w:rsidRPr="00E020F5" w:rsidRDefault="00D75972" w:rsidP="00142874">
      <w:pPr>
        <w:spacing w:line="360" w:lineRule="auto"/>
        <w:jc w:val="both"/>
        <w:rPr>
          <w:rFonts w:ascii="Arial" w:hAnsi="Arial" w:cs="Arial"/>
        </w:rPr>
      </w:pPr>
      <w:r>
        <w:rPr>
          <w:rFonts w:ascii="Arial" w:hAnsi="Arial" w:cs="Arial"/>
        </w:rPr>
        <w:t>This mode of transport is integral to the hospitality sector due to its flexibility, cost-effectiveness, and efficiency. In comparison to other forms of transport, such as rail or air, road transport provides door-to-door service, making it the most viable option for urban and regional travel. Nonetheless, its environmental footprint raises significant concerns, making it essential to pursue innovations and strategic measures to enhance its sustainability.</w:t>
      </w:r>
    </w:p>
    <w:p w14:paraId="6739B49D"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3. Environmental Damage Caused by Road Transport</w:t>
      </w:r>
    </w:p>
    <w:p w14:paraId="2BD2C6E6"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3.1 Greenhouse Gas Emissions</w:t>
      </w:r>
    </w:p>
    <w:p w14:paraId="5025338E" w14:textId="77777777" w:rsidR="00E020F5" w:rsidRDefault="00E020F5" w:rsidP="00142874">
      <w:pPr>
        <w:spacing w:line="360" w:lineRule="auto"/>
        <w:jc w:val="both"/>
        <w:rPr>
          <w:rFonts w:ascii="Arial" w:hAnsi="Arial" w:cs="Arial"/>
        </w:rPr>
      </w:pPr>
      <w:r w:rsidRPr="00E020F5">
        <w:rPr>
          <w:rFonts w:ascii="Arial" w:hAnsi="Arial" w:cs="Arial"/>
        </w:rPr>
        <w:t>Road transport in hospitality generates significant CO</w:t>
      </w:r>
      <w:r w:rsidRPr="00E020F5">
        <w:rPr>
          <w:rFonts w:ascii="Cambria Math" w:hAnsi="Cambria Math" w:cs="Cambria Math"/>
        </w:rPr>
        <w:t>₂</w:t>
      </w:r>
      <w:r w:rsidRPr="00E020F5">
        <w:rPr>
          <w:rFonts w:ascii="Arial" w:hAnsi="Arial" w:cs="Arial"/>
        </w:rPr>
        <w:t xml:space="preserve"> emissions. For instance, a single diesel truck emits 2.68 kg CO</w:t>
      </w:r>
      <w:r w:rsidRPr="00E020F5">
        <w:rPr>
          <w:rFonts w:ascii="Cambria Math" w:hAnsi="Cambria Math" w:cs="Cambria Math"/>
        </w:rPr>
        <w:t>₂</w:t>
      </w:r>
      <w:r w:rsidRPr="00E020F5">
        <w:rPr>
          <w:rFonts w:ascii="Arial" w:hAnsi="Arial" w:cs="Arial"/>
        </w:rPr>
        <w:t xml:space="preserve"> per liter (EPA, 2021). The U.S. hotel industry alone consumes 100 million gallons of fuel annually for shuttles (AHLA, 2020), highlighting its climate impact.</w:t>
      </w:r>
    </w:p>
    <w:p w14:paraId="6F74DDA3" w14:textId="2853DA24" w:rsidR="00EF0155" w:rsidRPr="00E020F5" w:rsidRDefault="00B85004" w:rsidP="00142874">
      <w:pPr>
        <w:spacing w:line="360" w:lineRule="auto"/>
        <w:jc w:val="both"/>
        <w:rPr>
          <w:rFonts w:ascii="Arial" w:hAnsi="Arial" w:cs="Arial"/>
        </w:rPr>
      </w:pPr>
      <w:r w:rsidRPr="00B85004">
        <w:rPr>
          <w:rFonts w:ascii="Arial" w:hAnsi="Arial" w:cs="Arial"/>
        </w:rPr>
        <w:lastRenderedPageBreak/>
        <w:drawing>
          <wp:inline distT="0" distB="0" distL="0" distR="0" wp14:anchorId="33E45EB6" wp14:editId="6194ABEA">
            <wp:extent cx="5895975" cy="4676775"/>
            <wp:effectExtent l="0" t="0" r="9525" b="9525"/>
            <wp:docPr id="1725846410" name="Picture 1" descr="A graph of a gas emission break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846410" name="Picture 1" descr="A graph of a gas emission breakdown"/>
                    <pic:cNvPicPr/>
                  </pic:nvPicPr>
                  <pic:blipFill>
                    <a:blip r:embed="rId7"/>
                    <a:stretch>
                      <a:fillRect/>
                    </a:stretch>
                  </pic:blipFill>
                  <pic:spPr>
                    <a:xfrm>
                      <a:off x="0" y="0"/>
                      <a:ext cx="5896805" cy="4677433"/>
                    </a:xfrm>
                    <a:prstGeom prst="rect">
                      <a:avLst/>
                    </a:prstGeom>
                  </pic:spPr>
                </pic:pic>
              </a:graphicData>
            </a:graphic>
          </wp:inline>
        </w:drawing>
      </w:r>
    </w:p>
    <w:p w14:paraId="3E37ABCC" w14:textId="6BD129ED" w:rsidR="00E020F5" w:rsidRPr="00E020F5" w:rsidRDefault="00E020F5" w:rsidP="00142874">
      <w:pPr>
        <w:spacing w:line="360" w:lineRule="auto"/>
        <w:jc w:val="both"/>
        <w:rPr>
          <w:rFonts w:ascii="Arial" w:hAnsi="Arial" w:cs="Arial"/>
        </w:rPr>
      </w:pPr>
      <w:r w:rsidRPr="00E020F5">
        <w:rPr>
          <w:rFonts w:ascii="Arial" w:hAnsi="Arial" w:cs="Arial"/>
        </w:rPr>
        <w:t>Graph 1: CO</w:t>
      </w:r>
      <w:r w:rsidRPr="00E020F5">
        <w:rPr>
          <w:rFonts w:ascii="Cambria Math" w:hAnsi="Cambria Math" w:cs="Cambria Math"/>
        </w:rPr>
        <w:t>₂</w:t>
      </w:r>
      <w:r w:rsidRPr="00E020F5">
        <w:rPr>
          <w:rFonts w:ascii="Arial" w:hAnsi="Arial" w:cs="Arial"/>
        </w:rPr>
        <w:t xml:space="preserve"> emissions by transport mode </w:t>
      </w:r>
      <w:r w:rsidR="00373B75" w:rsidRPr="00A4287A">
        <w:rPr>
          <w:rFonts w:ascii="Arial" w:hAnsi="Arial" w:cs="Arial"/>
        </w:rPr>
        <w:t xml:space="preserve">Transport CO2 emissions in the EU and breakdown by transport mode.... </w:t>
      </w:r>
      <w:r w:rsidR="00E978AA" w:rsidRPr="00E978AA">
        <w:rPr>
          <w:rFonts w:ascii="Arial" w:hAnsi="Arial" w:cs="Arial"/>
        </w:rPr>
        <w:t>https://www.europarl.europa.eu/</w:t>
      </w:r>
    </w:p>
    <w:p w14:paraId="78C68972" w14:textId="77777777" w:rsidR="00E020F5" w:rsidRPr="00E020F5" w:rsidRDefault="00E020F5" w:rsidP="00142874">
      <w:pPr>
        <w:spacing w:line="360" w:lineRule="auto"/>
        <w:jc w:val="both"/>
        <w:rPr>
          <w:rFonts w:ascii="Arial" w:hAnsi="Arial" w:cs="Arial"/>
        </w:rPr>
      </w:pPr>
      <w:r w:rsidRPr="00E020F5">
        <w:rPr>
          <w:rFonts w:ascii="Arial" w:hAnsi="Arial" w:cs="Arial"/>
        </w:rPr>
        <w:t>The carbon footprint of transportation is a pressing issue, as the burning of fossil fuels contributes to climate change. Gasoline- and diesel-powered vehicles release greenhouse gases (GHGs) such as carbon dioxide (CO</w:t>
      </w:r>
      <w:r w:rsidRPr="00E020F5">
        <w:rPr>
          <w:rFonts w:ascii="Cambria Math" w:hAnsi="Cambria Math" w:cs="Cambria Math"/>
        </w:rPr>
        <w:t>₂</w:t>
      </w:r>
      <w:r w:rsidRPr="00E020F5">
        <w:rPr>
          <w:rFonts w:ascii="Arial" w:hAnsi="Arial" w:cs="Arial"/>
        </w:rPr>
        <w:t>), methane (CH</w:t>
      </w:r>
      <w:r w:rsidRPr="00E020F5">
        <w:rPr>
          <w:rFonts w:ascii="Cambria Math" w:hAnsi="Cambria Math" w:cs="Cambria Math"/>
        </w:rPr>
        <w:t>₄</w:t>
      </w:r>
      <w:r w:rsidRPr="00E020F5">
        <w:rPr>
          <w:rFonts w:ascii="Arial" w:hAnsi="Arial" w:cs="Arial"/>
        </w:rPr>
        <w:t>), and nitrous oxide (N</w:t>
      </w:r>
      <w:r w:rsidRPr="00E020F5">
        <w:rPr>
          <w:rFonts w:ascii="Cambria Math" w:hAnsi="Cambria Math" w:cs="Cambria Math"/>
        </w:rPr>
        <w:t>₂</w:t>
      </w:r>
      <w:r w:rsidRPr="00E020F5">
        <w:rPr>
          <w:rFonts w:ascii="Arial" w:hAnsi="Arial" w:cs="Arial"/>
        </w:rPr>
        <w:t>O). These emissions lead to rising global temperatures, melting ice caps, and extreme weather conditions, all of which affect tourism and hospitality.</w:t>
      </w:r>
    </w:p>
    <w:p w14:paraId="11E80DA1" w14:textId="77777777" w:rsidR="00562366" w:rsidRPr="00562366" w:rsidRDefault="00562366" w:rsidP="00562366">
      <w:pPr>
        <w:spacing w:line="360" w:lineRule="auto"/>
        <w:jc w:val="both"/>
        <w:rPr>
          <w:rFonts w:ascii="Arial" w:hAnsi="Arial" w:cs="Arial"/>
          <w:b/>
          <w:bCs/>
        </w:rPr>
      </w:pPr>
      <w:r w:rsidRPr="00562366">
        <w:rPr>
          <w:rFonts w:ascii="Arial" w:hAnsi="Arial" w:cs="Arial"/>
          <w:b/>
          <w:bCs/>
        </w:rPr>
        <w:t>3.2 Air Pollutants and Health Impacts</w:t>
      </w:r>
    </w:p>
    <w:p w14:paraId="0E5F9D4D" w14:textId="77777777" w:rsidR="00562366" w:rsidRPr="00562366" w:rsidRDefault="00562366" w:rsidP="00562366">
      <w:pPr>
        <w:spacing w:line="360" w:lineRule="auto"/>
        <w:jc w:val="both"/>
        <w:rPr>
          <w:rFonts w:ascii="Arial" w:hAnsi="Arial" w:cs="Arial"/>
        </w:rPr>
      </w:pPr>
      <w:r w:rsidRPr="00562366">
        <w:rPr>
          <w:rFonts w:ascii="Arial" w:hAnsi="Arial" w:cs="Arial"/>
        </w:rPr>
        <w:t>Diesel engines emit nitrogen oxides (NOx) and particulate matter (PM2.5), both of which are linked to respiratory diseases. Urban hotels contribute significantly to localized pollution; for example, London’s hospitality sector accounts for 12% of NOx emissions from transport (GLA, 2019). These pollutants are particularly harmful in urban environments, where traffic congestion and high vehicle density increase emissions and worsen air quality.</w:t>
      </w:r>
    </w:p>
    <w:p w14:paraId="05225537" w14:textId="77777777" w:rsidR="00562366" w:rsidRPr="00562366" w:rsidRDefault="00562366" w:rsidP="00562366">
      <w:pPr>
        <w:spacing w:line="360" w:lineRule="auto"/>
        <w:jc w:val="both"/>
        <w:rPr>
          <w:rFonts w:ascii="Arial" w:hAnsi="Arial" w:cs="Arial"/>
        </w:rPr>
      </w:pPr>
      <w:r w:rsidRPr="00562366">
        <w:rPr>
          <w:rFonts w:ascii="Arial" w:hAnsi="Arial" w:cs="Arial"/>
        </w:rPr>
        <w:lastRenderedPageBreak/>
        <w:t>Pollution from hospitality transport is a major concern in densely populated areas where hotels, restaurants, and entertainment venues are concentrated. Poor air quality negatively affects human health, leading to conditions such as asthma, bronchitis, and cardiovascular diseases. Employees and guests in hospitality establishments located near busy roads are at higher risk of exposure to harmful pollutants. Studies have shown that prolonged exposure to NOx and PM2.5 can lead to chronic respiratory conditions, decreased lung function, and even premature mortality (WHO, 2021). Children, the elderly, and individuals with pre-existing health conditions are particularly vulnerable.</w:t>
      </w:r>
    </w:p>
    <w:p w14:paraId="112BC1FA" w14:textId="77777777" w:rsidR="00562366" w:rsidRPr="00562366" w:rsidRDefault="00562366" w:rsidP="00562366">
      <w:pPr>
        <w:spacing w:line="360" w:lineRule="auto"/>
        <w:jc w:val="both"/>
        <w:rPr>
          <w:rFonts w:ascii="Arial" w:hAnsi="Arial" w:cs="Arial"/>
        </w:rPr>
      </w:pPr>
      <w:r w:rsidRPr="00562366">
        <w:rPr>
          <w:rFonts w:ascii="Arial" w:hAnsi="Arial" w:cs="Arial"/>
        </w:rPr>
        <w:t>Hotels also indirectly contribute to air pollution through their supply chains. The transportation of goods, including food, beverages, and cleaning supplies, involves a fleet of delivery vehicles that operate daily, emitting substantial amounts of pollutants. Similarly, the tourism industry’s reliance on air travel contributes to significant greenhouse gas emissions, further exacerbating the problem. Addressing these issues requires a combination of regulatory policies, cleaner transportation options, and investment in low-emission technologies. Initiatives such as electric shuttle services, improved public transportation links, and incentives for guests to use eco-friendly travel options can help mitigate the industry’s impact on air quality.</w:t>
      </w:r>
    </w:p>
    <w:p w14:paraId="56BD40A0" w14:textId="77777777" w:rsidR="00562366" w:rsidRPr="00562366" w:rsidRDefault="00562366" w:rsidP="00562366">
      <w:pPr>
        <w:spacing w:line="360" w:lineRule="auto"/>
        <w:jc w:val="both"/>
        <w:rPr>
          <w:rFonts w:ascii="Arial" w:hAnsi="Arial" w:cs="Arial"/>
          <w:b/>
          <w:bCs/>
        </w:rPr>
      </w:pPr>
      <w:r w:rsidRPr="00562366">
        <w:rPr>
          <w:rFonts w:ascii="Arial" w:hAnsi="Arial" w:cs="Arial"/>
          <w:b/>
          <w:bCs/>
        </w:rPr>
        <w:t>3.3 Resource Depletion</w:t>
      </w:r>
    </w:p>
    <w:p w14:paraId="35652BCB" w14:textId="77777777" w:rsidR="00562366" w:rsidRPr="00562366" w:rsidRDefault="00562366" w:rsidP="00562366">
      <w:pPr>
        <w:spacing w:line="360" w:lineRule="auto"/>
        <w:jc w:val="both"/>
        <w:rPr>
          <w:rFonts w:ascii="Arial" w:hAnsi="Arial" w:cs="Arial"/>
        </w:rPr>
      </w:pPr>
      <w:r w:rsidRPr="00562366">
        <w:rPr>
          <w:rFonts w:ascii="Arial" w:hAnsi="Arial" w:cs="Arial"/>
        </w:rPr>
        <w:t>The hospitality industry’s reliance on fossil fuels exacerbates resource scarcity. The global industry uses approximately 30 billion liters of fuel yearly for road logistics (WTTC, 2021), placing significant stress on finite oil reserves. As the demand for fuel continues to rise, competition for these resources increases, leading to higher operational costs and economic instability for businesses dependent on traditional energy sources.</w:t>
      </w:r>
    </w:p>
    <w:p w14:paraId="054DD348" w14:textId="77777777" w:rsidR="00562366" w:rsidRPr="00562366" w:rsidRDefault="00562366" w:rsidP="00562366">
      <w:pPr>
        <w:spacing w:line="360" w:lineRule="auto"/>
        <w:jc w:val="both"/>
        <w:rPr>
          <w:rFonts w:ascii="Arial" w:hAnsi="Arial" w:cs="Arial"/>
        </w:rPr>
      </w:pPr>
      <w:r w:rsidRPr="00562366">
        <w:rPr>
          <w:rFonts w:ascii="Arial" w:hAnsi="Arial" w:cs="Arial"/>
        </w:rPr>
        <w:t>The depletion of non-renewable energy sources, such as petroleum, poses long-term risks to the hospitality industry. As demand for fuel increases, costs rise, making operations more expensive. Hotels, restaurants, and tourism businesses must allocate a larger portion of their budgets to transportation and energy costs, which can lead to higher prices for consumers. Additionally, geopolitical conflicts and supply chain disruptions can further impact fuel availability, adding uncertainty to the industry's future sustainability.</w:t>
      </w:r>
    </w:p>
    <w:p w14:paraId="15AF1E0B" w14:textId="77777777" w:rsidR="00562366" w:rsidRPr="00562366" w:rsidRDefault="00562366" w:rsidP="00562366">
      <w:pPr>
        <w:spacing w:line="360" w:lineRule="auto"/>
        <w:jc w:val="both"/>
        <w:rPr>
          <w:rFonts w:ascii="Arial" w:hAnsi="Arial" w:cs="Arial"/>
        </w:rPr>
      </w:pPr>
      <w:r w:rsidRPr="00562366">
        <w:rPr>
          <w:rFonts w:ascii="Arial" w:hAnsi="Arial" w:cs="Arial"/>
        </w:rPr>
        <w:lastRenderedPageBreak/>
        <w:t>Transitioning to renewable energy and alternative fuels is necessary to mitigate these challenges and ensure the long-term viability of the sector. Many hospitality businesses are exploring solutions such as electric or hydrogen-powered vehicles, solar energy, and biofuels. Sustainable initiatives, such as installing energy-efficient appliances, using LED lighting, and optimizing HVAC systems, can help reduce overall energy consumption. Governments and industry leaders must collaborate to provide incentives, such as tax breaks or subsidies, for businesses that invest in green technology and renewable energy sources.</w:t>
      </w:r>
    </w:p>
    <w:p w14:paraId="7A2037E7" w14:textId="77777777" w:rsidR="00562366" w:rsidRPr="00562366" w:rsidRDefault="00562366" w:rsidP="00562366">
      <w:pPr>
        <w:spacing w:line="360" w:lineRule="auto"/>
        <w:jc w:val="both"/>
        <w:rPr>
          <w:rFonts w:ascii="Arial" w:hAnsi="Arial" w:cs="Arial"/>
        </w:rPr>
      </w:pPr>
      <w:r w:rsidRPr="00562366">
        <w:rPr>
          <w:rFonts w:ascii="Arial" w:hAnsi="Arial" w:cs="Arial"/>
        </w:rPr>
        <w:t>Another major contributor to resource depletion is the water-intensive nature of the hospitality industry. Hotels consume vast amounts of water for laundry, cleaning, swimming pools, and guest use. In regions facing water scarcity, excessive water consumption places additional strain on local resources, leading to conflicts with surrounding communities. Implementing water-saving technologies, such as low-flow fixtures, rainwater harvesting systems, and wastewater recycling, can help reduce water usage and promote sustainable operations.</w:t>
      </w:r>
    </w:p>
    <w:p w14:paraId="410D83B1" w14:textId="77777777" w:rsidR="00562366" w:rsidRPr="00562366" w:rsidRDefault="00562366" w:rsidP="00562366">
      <w:pPr>
        <w:spacing w:line="360" w:lineRule="auto"/>
        <w:jc w:val="both"/>
        <w:rPr>
          <w:rFonts w:ascii="Arial" w:hAnsi="Arial" w:cs="Arial"/>
          <w:b/>
          <w:bCs/>
        </w:rPr>
      </w:pPr>
      <w:r w:rsidRPr="00562366">
        <w:rPr>
          <w:rFonts w:ascii="Arial" w:hAnsi="Arial" w:cs="Arial"/>
          <w:b/>
          <w:bCs/>
        </w:rPr>
        <w:t>3.4 Noise and Congestion</w:t>
      </w:r>
    </w:p>
    <w:p w14:paraId="3E81F0FF" w14:textId="77777777" w:rsidR="00562366" w:rsidRPr="00562366" w:rsidRDefault="00562366" w:rsidP="00562366">
      <w:pPr>
        <w:spacing w:line="360" w:lineRule="auto"/>
        <w:jc w:val="both"/>
        <w:rPr>
          <w:rFonts w:ascii="Arial" w:hAnsi="Arial" w:cs="Arial"/>
        </w:rPr>
      </w:pPr>
      <w:r w:rsidRPr="00562366">
        <w:rPr>
          <w:rFonts w:ascii="Arial" w:hAnsi="Arial" w:cs="Arial"/>
        </w:rPr>
        <w:t>Hotel shuttles and delivery vans contribute significantly to urban noise pollution, often reaching levels of 65–75 dB, which can negatively affect guest well-being (WHO, 2018). Noise pollution is particularly problematic in major cities where high levels of vehicle traffic, construction, and nightlife activities exacerbate the issue. Exposure to prolonged noise pollution can lead to sleep disturbances, increased stress levels, and even long-term health problems such as hypertension and cardiovascular diseases.</w:t>
      </w:r>
    </w:p>
    <w:p w14:paraId="1A073C5B" w14:textId="77777777" w:rsidR="00562366" w:rsidRPr="00562366" w:rsidRDefault="00562366" w:rsidP="00562366">
      <w:pPr>
        <w:spacing w:line="360" w:lineRule="auto"/>
        <w:jc w:val="both"/>
        <w:rPr>
          <w:rFonts w:ascii="Arial" w:hAnsi="Arial" w:cs="Arial"/>
        </w:rPr>
      </w:pPr>
      <w:r w:rsidRPr="00562366">
        <w:rPr>
          <w:rFonts w:ascii="Arial" w:hAnsi="Arial" w:cs="Arial"/>
        </w:rPr>
        <w:t>The impact of noise pollution extends beyond hotel guests to employees and local residents. Staff members working near busy roads or in high-traffic areas may experience increased stress and fatigue due to constant exposure to high noise levels. Additionally, excessive noise can deter tourists from choosing certain accommodations or destinations, affecting business revenue and long-term economic growth.</w:t>
      </w:r>
    </w:p>
    <w:p w14:paraId="22A3411B" w14:textId="77777777" w:rsidR="00562366" w:rsidRPr="00562366" w:rsidRDefault="00562366" w:rsidP="00562366">
      <w:pPr>
        <w:spacing w:line="360" w:lineRule="auto"/>
        <w:jc w:val="both"/>
        <w:rPr>
          <w:rFonts w:ascii="Arial" w:hAnsi="Arial" w:cs="Arial"/>
        </w:rPr>
      </w:pPr>
      <w:r w:rsidRPr="00562366">
        <w:rPr>
          <w:rFonts w:ascii="Arial" w:hAnsi="Arial" w:cs="Arial"/>
        </w:rPr>
        <w:t xml:space="preserve">Congestion from tourism vehicles is another critical issue, particularly in popular urban destinations. Cities like Barcelona face significant economic costs due to traffic congestion, with annual losses estimated at €2.5 billion (C40 Cities, 2020). The high volume of taxis, buses, and private vehicles catering to tourists contributes to </w:t>
      </w:r>
      <w:r w:rsidRPr="00562366">
        <w:rPr>
          <w:rFonts w:ascii="Arial" w:hAnsi="Arial" w:cs="Arial"/>
        </w:rPr>
        <w:lastRenderedPageBreak/>
        <w:t>gridlocked streets, longer travel times, and increased pollution. Traffic congestion also affects emergency services, making it more difficult for ambulances and fire trucks to navigate through crowded areas.</w:t>
      </w:r>
    </w:p>
    <w:p w14:paraId="6C057EAD" w14:textId="77777777" w:rsidR="00562366" w:rsidRPr="00562366" w:rsidRDefault="00562366" w:rsidP="00562366">
      <w:pPr>
        <w:spacing w:line="360" w:lineRule="auto"/>
        <w:jc w:val="both"/>
        <w:rPr>
          <w:rFonts w:ascii="Arial" w:hAnsi="Arial" w:cs="Arial"/>
        </w:rPr>
      </w:pPr>
      <w:r w:rsidRPr="00562366">
        <w:rPr>
          <w:rFonts w:ascii="Arial" w:hAnsi="Arial" w:cs="Arial"/>
        </w:rPr>
        <w:t>To address these issues, cities and the hospitality industry must adopt sustainable transportation policies. Some potential solutions include expanding pedestrian-only zones, encouraging the use of bicycles and electric scooters, and investing in efficient public transportation systems. Hotels can play a role by offering shuttle services with electric or hybrid vehicles, implementing carpool programs for employees, and incentivizing guests to use sustainable transport options.</w:t>
      </w:r>
    </w:p>
    <w:p w14:paraId="29D992D5" w14:textId="77777777" w:rsidR="00562366" w:rsidRPr="00562366" w:rsidRDefault="00562366" w:rsidP="00562366">
      <w:pPr>
        <w:spacing w:line="360" w:lineRule="auto"/>
        <w:jc w:val="both"/>
        <w:rPr>
          <w:rFonts w:ascii="Arial" w:hAnsi="Arial" w:cs="Arial"/>
        </w:rPr>
      </w:pPr>
      <w:r w:rsidRPr="00562366">
        <w:rPr>
          <w:rFonts w:ascii="Arial" w:hAnsi="Arial" w:cs="Arial"/>
        </w:rPr>
        <w:t>Smart city initiatives, such as real-time traffic monitoring and congestion pricing, can help reduce vehicle emissions and improve mobility. Cities like Amsterdam and Copenhagen have successfully implemented such policies, leading to reduced congestion and a more pleasant urban experience for both residents and visitors.</w:t>
      </w:r>
    </w:p>
    <w:p w14:paraId="018C5EA9" w14:textId="5A4BAF1E" w:rsidR="00E020F5" w:rsidRDefault="00562366" w:rsidP="00142874">
      <w:pPr>
        <w:spacing w:line="360" w:lineRule="auto"/>
        <w:jc w:val="both"/>
        <w:rPr>
          <w:rFonts w:ascii="Arial" w:hAnsi="Arial" w:cs="Arial"/>
        </w:rPr>
      </w:pPr>
      <w:r w:rsidRPr="00562366">
        <w:rPr>
          <w:rFonts w:ascii="Arial" w:hAnsi="Arial" w:cs="Arial"/>
        </w:rPr>
        <w:t>Overall, the hospitality industry must take proactive measures to minimize its impact on air pollution, resource depletion, noise, and congestion. By adopting sustainable practices and leveraging technology, businesses can create a more environmentally friendly and economically viable future while ensuring a high-quality experience for guests and employees alike.</w:t>
      </w:r>
    </w:p>
    <w:p w14:paraId="01181859" w14:textId="77777777" w:rsidR="00E020F5" w:rsidRPr="00E020F5" w:rsidRDefault="00E020F5" w:rsidP="00142874">
      <w:pPr>
        <w:spacing w:line="360" w:lineRule="auto"/>
        <w:jc w:val="both"/>
        <w:rPr>
          <w:rFonts w:ascii="Arial" w:hAnsi="Arial" w:cs="Arial"/>
        </w:rPr>
      </w:pPr>
      <w:r w:rsidRPr="00E020F5">
        <w:rPr>
          <w:rFonts w:ascii="Arial" w:hAnsi="Arial" w:cs="Arial"/>
        </w:rPr>
        <w:t>Noise pollution from transport negatively affects guests' experiences in hotels and resorts. Excessive noise levels from delivery trucks, buses, and taxis can lead to sleep disturbances and reduced customer satisfaction. Furthermore, traffic congestion caused by hospitality transport contributes to delays, increased fuel consumption, and higher emissions.</w:t>
      </w:r>
    </w:p>
    <w:p w14:paraId="146AB31E"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4. Sustainable Solutions</w:t>
      </w:r>
    </w:p>
    <w:p w14:paraId="5C6653BB"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4.1 Electrification of Fleet</w:t>
      </w:r>
    </w:p>
    <w:p w14:paraId="5CA7040E" w14:textId="04CC29DC" w:rsidR="00E020F5" w:rsidRDefault="00E020F5" w:rsidP="00142874">
      <w:pPr>
        <w:spacing w:line="360" w:lineRule="auto"/>
        <w:jc w:val="both"/>
        <w:rPr>
          <w:rFonts w:ascii="Arial" w:hAnsi="Arial" w:cs="Arial"/>
        </w:rPr>
      </w:pPr>
      <w:r w:rsidRPr="00E020F5">
        <w:rPr>
          <w:rFonts w:ascii="Arial" w:hAnsi="Arial" w:cs="Arial"/>
        </w:rPr>
        <w:t>Electric vehicles (EVs) reduce tailpipe emissions by 50–70% over their lifecycle (ICCT, 2021). Marriott International transitioned 20% of its U.S. shuttles to EVs, cutting 800 tons of CO</w:t>
      </w:r>
      <w:r w:rsidRPr="00E020F5">
        <w:rPr>
          <w:rFonts w:ascii="Cambria Math" w:hAnsi="Cambria Math" w:cs="Cambria Math"/>
        </w:rPr>
        <w:t>₂</w:t>
      </w:r>
      <w:r w:rsidRPr="00E020F5">
        <w:rPr>
          <w:rFonts w:ascii="Arial" w:hAnsi="Arial" w:cs="Arial"/>
        </w:rPr>
        <w:t xml:space="preserve"> annually (Marriott, 2022). Deliveroo employs e-bikes in London, reducing </w:t>
      </w:r>
      <w:r w:rsidRPr="00E020F5">
        <w:rPr>
          <w:rFonts w:ascii="Arial" w:hAnsi="Arial" w:cs="Arial"/>
        </w:rPr>
        <w:lastRenderedPageBreak/>
        <w:t>delivery emissions by 88% (Clean Air Fund, 2023).</w:t>
      </w:r>
      <w:r w:rsidR="000360F6">
        <w:rPr>
          <w:rFonts w:ascii="Arial" w:hAnsi="Arial" w:cs="Arial"/>
          <w:noProof/>
        </w:rPr>
        <w:drawing>
          <wp:inline distT="0" distB="0" distL="0" distR="0" wp14:anchorId="276E9904" wp14:editId="759C2DED">
            <wp:extent cx="5731510" cy="3780790"/>
            <wp:effectExtent l="0" t="0" r="2540" b="0"/>
            <wp:docPr id="987600042" name="Picture 4" descr="A green and white car with a bi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00042" name="Picture 4" descr="A green and white car with a bicycl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780790"/>
                    </a:xfrm>
                    <a:prstGeom prst="rect">
                      <a:avLst/>
                    </a:prstGeom>
                  </pic:spPr>
                </pic:pic>
              </a:graphicData>
            </a:graphic>
          </wp:inline>
        </w:drawing>
      </w:r>
    </w:p>
    <w:p w14:paraId="1F720B89" w14:textId="77777777" w:rsidR="000360F6" w:rsidRPr="00E020F5" w:rsidRDefault="000360F6" w:rsidP="000360F6">
      <w:pPr>
        <w:spacing w:line="360" w:lineRule="auto"/>
        <w:jc w:val="both"/>
        <w:rPr>
          <w:rFonts w:ascii="Arial" w:hAnsi="Arial" w:cs="Arial"/>
        </w:rPr>
      </w:pPr>
      <w:r w:rsidRPr="00E020F5">
        <w:rPr>
          <w:rFonts w:ascii="Arial" w:hAnsi="Arial" w:cs="Arial"/>
        </w:rPr>
        <w:t xml:space="preserve">Graph </w:t>
      </w:r>
      <w:r>
        <w:rPr>
          <w:rFonts w:ascii="Arial" w:hAnsi="Arial" w:cs="Arial"/>
        </w:rPr>
        <w:t xml:space="preserve">2 – source  </w:t>
      </w:r>
      <w:r w:rsidRPr="009E0538">
        <w:rPr>
          <w:rFonts w:ascii="Arial" w:hAnsi="Arial" w:cs="Arial"/>
        </w:rPr>
        <w:t>https://www.sgcarmart.com/</w:t>
      </w:r>
    </w:p>
    <w:p w14:paraId="59B56860" w14:textId="77777777" w:rsidR="000360F6" w:rsidRPr="00E020F5" w:rsidRDefault="000360F6" w:rsidP="00142874">
      <w:pPr>
        <w:spacing w:line="360" w:lineRule="auto"/>
        <w:jc w:val="both"/>
        <w:rPr>
          <w:rFonts w:ascii="Arial" w:hAnsi="Arial" w:cs="Arial"/>
        </w:rPr>
      </w:pPr>
    </w:p>
    <w:p w14:paraId="333B45C4" w14:textId="77777777" w:rsidR="00E020F5" w:rsidRPr="00E020F5" w:rsidRDefault="00E020F5" w:rsidP="00142874">
      <w:pPr>
        <w:spacing w:line="360" w:lineRule="auto"/>
        <w:jc w:val="both"/>
        <w:rPr>
          <w:rFonts w:ascii="Arial" w:hAnsi="Arial" w:cs="Arial"/>
        </w:rPr>
      </w:pPr>
      <w:r w:rsidRPr="00E020F5">
        <w:rPr>
          <w:rFonts w:ascii="Arial" w:hAnsi="Arial" w:cs="Arial"/>
        </w:rPr>
        <w:t>The hospitality industry can significantly reduce emissions by transitioning to electric vehicles (EVs) and hybrid models. Hotels can invest in electric shuttles, while restaurants and delivery services can adopt electric or bicycle-powered solutions. EVs have lower maintenance costs and benefit from government incentives and subsidies.</w:t>
      </w:r>
    </w:p>
    <w:p w14:paraId="03F04C98"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4.2 Alternative Fuels</w:t>
      </w:r>
    </w:p>
    <w:p w14:paraId="34B71546" w14:textId="77777777" w:rsidR="00E020F5" w:rsidRPr="00E020F5" w:rsidRDefault="00E020F5" w:rsidP="00142874">
      <w:pPr>
        <w:spacing w:line="360" w:lineRule="auto"/>
        <w:jc w:val="both"/>
        <w:rPr>
          <w:rFonts w:ascii="Arial" w:hAnsi="Arial" w:cs="Arial"/>
        </w:rPr>
      </w:pPr>
      <w:r w:rsidRPr="00E020F5">
        <w:rPr>
          <w:rFonts w:ascii="Arial" w:hAnsi="Arial" w:cs="Arial"/>
        </w:rPr>
        <w:t>McDonald’s UK uses biodiesel from cooking oil, slashing fleet emissions by 60% (McDonald’s, 2021). Hydrogen fuel cells, piloted by Toyota for hotel logistics in Japan, emit only water vapor.</w:t>
      </w:r>
    </w:p>
    <w:p w14:paraId="6EB7DECA" w14:textId="77777777" w:rsidR="00E020F5" w:rsidRPr="00E020F5" w:rsidRDefault="00E020F5" w:rsidP="00142874">
      <w:pPr>
        <w:spacing w:line="360" w:lineRule="auto"/>
        <w:jc w:val="both"/>
        <w:rPr>
          <w:rFonts w:ascii="Arial" w:hAnsi="Arial" w:cs="Arial"/>
        </w:rPr>
      </w:pPr>
      <w:r w:rsidRPr="00E020F5">
        <w:rPr>
          <w:rFonts w:ascii="Arial" w:hAnsi="Arial" w:cs="Arial"/>
        </w:rPr>
        <w:t>Alternative fuels such as biodiesel, hydrogen, and compressed natural gas (CNG) offer viable solutions for reducing carbon emissions. Hotels and restaurants can explore these sustainable options to power their transport operations while minimizing their environmental impact.</w:t>
      </w:r>
    </w:p>
    <w:p w14:paraId="1EEAECB6"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4.3 Logistics Optimization</w:t>
      </w:r>
    </w:p>
    <w:p w14:paraId="3587C960" w14:textId="77777777" w:rsidR="00E020F5" w:rsidRPr="00E020F5" w:rsidRDefault="00E020F5" w:rsidP="00142874">
      <w:pPr>
        <w:spacing w:line="360" w:lineRule="auto"/>
        <w:jc w:val="both"/>
        <w:rPr>
          <w:rFonts w:ascii="Arial" w:hAnsi="Arial" w:cs="Arial"/>
        </w:rPr>
      </w:pPr>
      <w:r w:rsidRPr="00E020F5">
        <w:rPr>
          <w:rFonts w:ascii="Arial" w:hAnsi="Arial" w:cs="Arial"/>
        </w:rPr>
        <w:lastRenderedPageBreak/>
        <w:t>AI-driven route optimization (e.g., OptimoRoute) reduces mileage by 20% for Sysco’s food deliveries (Forbes, 2022). Hilton uses GPS tracking to streamline shuttle routes, saving 15% in fuel costs.</w:t>
      </w:r>
    </w:p>
    <w:p w14:paraId="354537C0" w14:textId="77777777" w:rsidR="00E020F5" w:rsidRPr="00E020F5" w:rsidRDefault="00E020F5" w:rsidP="00142874">
      <w:pPr>
        <w:spacing w:line="360" w:lineRule="auto"/>
        <w:jc w:val="both"/>
        <w:rPr>
          <w:rFonts w:ascii="Arial" w:hAnsi="Arial" w:cs="Arial"/>
        </w:rPr>
      </w:pPr>
      <w:r w:rsidRPr="00E020F5">
        <w:rPr>
          <w:rFonts w:ascii="Arial" w:hAnsi="Arial" w:cs="Arial"/>
        </w:rPr>
        <w:t>Smart logistics can enhance efficiency in hospitality transport. Technologies such as artificial intelligence (AI), machine learning, and real-time tracking can optimize routes, reduce idle times, and lower fuel consumption.</w:t>
      </w:r>
    </w:p>
    <w:p w14:paraId="3B788C5A" w14:textId="77777777" w:rsidR="00E020F5" w:rsidRPr="00E020F5" w:rsidRDefault="00E020F5" w:rsidP="00142874">
      <w:pPr>
        <w:spacing w:line="360" w:lineRule="auto"/>
        <w:jc w:val="both"/>
        <w:rPr>
          <w:rFonts w:ascii="Arial" w:hAnsi="Arial" w:cs="Arial"/>
          <w:b/>
          <w:bCs/>
        </w:rPr>
      </w:pPr>
      <w:r w:rsidRPr="00E020F5">
        <w:rPr>
          <w:rFonts w:ascii="Arial" w:hAnsi="Arial" w:cs="Arial"/>
          <w:b/>
          <w:bCs/>
        </w:rPr>
        <w:t>4.4 Collaboration and Policy</w:t>
      </w:r>
    </w:p>
    <w:p w14:paraId="1AAD3D1A" w14:textId="77777777" w:rsidR="00E020F5" w:rsidRPr="00E020F5" w:rsidRDefault="00E020F5" w:rsidP="00142874">
      <w:pPr>
        <w:spacing w:line="360" w:lineRule="auto"/>
        <w:jc w:val="both"/>
        <w:rPr>
          <w:rFonts w:ascii="Arial" w:hAnsi="Arial" w:cs="Arial"/>
        </w:rPr>
      </w:pPr>
      <w:r w:rsidRPr="00E020F5">
        <w:rPr>
          <w:rFonts w:ascii="Arial" w:hAnsi="Arial" w:cs="Arial"/>
        </w:rPr>
        <w:t>Partnerships like TERRA’s EV100 Initiative unite Hilton and IKEA in electrifying fleets by 2030. Advocacy for subsidies, as seen in California’s HVIP program, supports EV adoption.</w:t>
      </w:r>
    </w:p>
    <w:p w14:paraId="030DD136" w14:textId="77777777" w:rsidR="00E020F5" w:rsidRDefault="00E020F5" w:rsidP="00142874">
      <w:pPr>
        <w:spacing w:line="360" w:lineRule="auto"/>
        <w:jc w:val="both"/>
        <w:rPr>
          <w:rFonts w:ascii="Arial" w:hAnsi="Arial" w:cs="Arial"/>
        </w:rPr>
      </w:pPr>
      <w:r w:rsidRPr="00E020F5">
        <w:rPr>
          <w:rFonts w:ascii="Arial" w:hAnsi="Arial" w:cs="Arial"/>
        </w:rPr>
        <w:t>Collaboration between hospitality businesses, policymakers, and transport providers is essential for achieving sustainability goals. Government incentives, corporate sustainability initiatives, and stakeholder partnerships can accelerate the transition to greener transport.</w:t>
      </w:r>
    </w:p>
    <w:p w14:paraId="54067DB5" w14:textId="61709D67" w:rsidR="000D2D3F" w:rsidRPr="000D2D3F" w:rsidRDefault="000D2D3F" w:rsidP="000D2D3F">
      <w:pPr>
        <w:spacing w:line="360" w:lineRule="auto"/>
        <w:jc w:val="both"/>
        <w:rPr>
          <w:rFonts w:ascii="Arial" w:hAnsi="Arial" w:cs="Arial"/>
        </w:rPr>
      </w:pPr>
      <w:r>
        <w:rPr>
          <w:rFonts w:ascii="Arial" w:hAnsi="Arial" w:cs="Arial"/>
          <w:b/>
          <w:bCs/>
        </w:rPr>
        <w:t>5.</w:t>
      </w:r>
      <w:r w:rsidRPr="000D2D3F">
        <w:rPr>
          <w:rFonts w:ascii="Arial" w:hAnsi="Arial" w:cs="Arial"/>
          <w:b/>
          <w:bCs/>
        </w:rPr>
        <w:t>Recommendation</w:t>
      </w:r>
      <w:r w:rsidRPr="000D2D3F">
        <w:rPr>
          <w:rFonts w:ascii="Arial" w:hAnsi="Arial" w:cs="Arial"/>
        </w:rPr>
        <w:br/>
      </w:r>
      <w:r w:rsidR="002547A4">
        <w:rPr>
          <w:rFonts w:ascii="Arial" w:hAnsi="Arial" w:cs="Arial"/>
        </w:rPr>
        <w:t>To advance the transition to sustainable road transport in the hospitality industry, businesses should actively incorporate electrification, alternative fuels, and smart logistics into their operations. Industry leaders must work collaboratively with policymakers to promote supportive regulations and incentives, such as tax advantages for the adoption of electric fleets and investments in green infrastructure. Furthermore, hospitality organizations should pursue public-private partnerships to foster research and development of innovative transportation solutions. By embracing a strategic, multi-stakeholder approach, the sector can significantly lower its environmental impact while maintaining high operational efficiency and ensuring guest satisfaction.</w:t>
      </w:r>
    </w:p>
    <w:p w14:paraId="4D571A3B" w14:textId="77777777" w:rsidR="006D7CAC" w:rsidRPr="00E020F5" w:rsidRDefault="006D7CAC" w:rsidP="00142874">
      <w:pPr>
        <w:spacing w:line="360" w:lineRule="auto"/>
        <w:jc w:val="both"/>
        <w:rPr>
          <w:rFonts w:ascii="Arial" w:hAnsi="Arial" w:cs="Arial"/>
        </w:rPr>
      </w:pPr>
    </w:p>
    <w:p w14:paraId="6D2085AE" w14:textId="770422DB" w:rsidR="00832A3D" w:rsidRDefault="000D2D3F" w:rsidP="00142874">
      <w:pPr>
        <w:spacing w:line="360" w:lineRule="auto"/>
        <w:jc w:val="both"/>
        <w:rPr>
          <w:rFonts w:ascii="Arial" w:hAnsi="Arial" w:cs="Arial"/>
          <w:b/>
          <w:bCs/>
        </w:rPr>
      </w:pPr>
      <w:r>
        <w:rPr>
          <w:rFonts w:ascii="Arial" w:hAnsi="Arial" w:cs="Arial"/>
          <w:b/>
          <w:bCs/>
        </w:rPr>
        <w:t>6</w:t>
      </w:r>
      <w:r w:rsidR="00832A3D">
        <w:rPr>
          <w:rFonts w:ascii="Arial" w:hAnsi="Arial" w:cs="Arial"/>
          <w:b/>
          <w:bCs/>
        </w:rPr>
        <w:t>. Conclusion</w:t>
      </w:r>
    </w:p>
    <w:p w14:paraId="0EFD6CDF" w14:textId="0F582956" w:rsidR="00E020F5" w:rsidRPr="00E020F5" w:rsidRDefault="008A3413" w:rsidP="00142874">
      <w:pPr>
        <w:spacing w:line="360" w:lineRule="auto"/>
        <w:jc w:val="both"/>
        <w:rPr>
          <w:rFonts w:ascii="Arial" w:hAnsi="Arial" w:cs="Arial"/>
        </w:rPr>
      </w:pPr>
      <w:r>
        <w:rPr>
          <w:rFonts w:ascii="Arial" w:hAnsi="Arial" w:cs="Arial"/>
        </w:rPr>
        <w:t xml:space="preserve">Road transport plays a vital role in hospitality operations, yet it carries considerable environmental consequences. To enhance sustainability, the industry should consider alternatives such as electrification, alternative fuels, and smart logistics. Hospitality </w:t>
      </w:r>
      <w:r>
        <w:rPr>
          <w:rFonts w:ascii="Arial" w:hAnsi="Arial" w:cs="Arial"/>
        </w:rPr>
        <w:lastRenderedPageBreak/>
        <w:t>leaders must emphasize collaboration and actively engage in policy initiatives to foster significant change. By investing in innovative transportation solutions, the hospitality sector can pave the way for a more sustainable future while preserving operational efficiency and ensuring guest satisfaction.</w:t>
      </w:r>
    </w:p>
    <w:p w14:paraId="58EE159B" w14:textId="0EDEEACC" w:rsidR="00925CB7" w:rsidRPr="00925CB7" w:rsidRDefault="00DF361F" w:rsidP="00142874">
      <w:pPr>
        <w:spacing w:line="360" w:lineRule="auto"/>
        <w:jc w:val="both"/>
        <w:rPr>
          <w:rFonts w:ascii="Arial" w:hAnsi="Arial" w:cs="Arial"/>
          <w:b/>
          <w:bCs/>
        </w:rPr>
      </w:pPr>
      <w:r>
        <w:rPr>
          <w:rFonts w:ascii="Arial" w:hAnsi="Arial" w:cs="Arial"/>
          <w:b/>
          <w:bCs/>
        </w:rPr>
        <w:t>7</w:t>
      </w:r>
      <w:r w:rsidR="00925CB7" w:rsidRPr="00925CB7">
        <w:rPr>
          <w:rFonts w:ascii="Arial" w:hAnsi="Arial" w:cs="Arial"/>
          <w:b/>
          <w:bCs/>
        </w:rPr>
        <w:t>. References</w:t>
      </w:r>
    </w:p>
    <w:p w14:paraId="7D58F924" w14:textId="77777777" w:rsidR="007F3EB6" w:rsidRPr="007F3EB6" w:rsidRDefault="007F3EB6" w:rsidP="00142874">
      <w:pPr>
        <w:spacing w:line="360" w:lineRule="auto"/>
        <w:jc w:val="both"/>
        <w:rPr>
          <w:rFonts w:ascii="Arial" w:hAnsi="Arial" w:cs="Arial"/>
        </w:rPr>
      </w:pPr>
      <w:r w:rsidRPr="007F3EB6">
        <w:rPr>
          <w:rFonts w:ascii="Arial" w:hAnsi="Arial" w:cs="Arial"/>
          <w:b/>
          <w:bCs/>
        </w:rPr>
        <w:t>AHLA (American Hotel &amp; Lodging Association)</w:t>
      </w:r>
      <w:r w:rsidRPr="007F3EB6">
        <w:rPr>
          <w:rFonts w:ascii="Arial" w:hAnsi="Arial" w:cs="Arial"/>
        </w:rPr>
        <w:t> (2020). </w:t>
      </w:r>
      <w:r w:rsidRPr="007F3EB6">
        <w:rPr>
          <w:rFonts w:ascii="Arial" w:hAnsi="Arial" w:cs="Arial"/>
          <w:i/>
          <w:iCs/>
        </w:rPr>
        <w:t>Hotel Sustainability Benchmarking Report</w:t>
      </w:r>
      <w:r w:rsidRPr="007F3EB6">
        <w:rPr>
          <w:rFonts w:ascii="Arial" w:hAnsi="Arial" w:cs="Arial"/>
        </w:rPr>
        <w:t>. Available from: </w:t>
      </w:r>
      <w:hyperlink r:id="rId9" w:tgtFrame="_blank" w:history="1">
        <w:r w:rsidRPr="007F3EB6">
          <w:rPr>
            <w:rStyle w:val="Hyperlink"/>
            <w:rFonts w:ascii="Arial" w:hAnsi="Arial" w:cs="Arial"/>
          </w:rPr>
          <w:t>https://www.ahla.com/sites/default/files/2020_sustainability_benchmarking_report.pdf</w:t>
        </w:r>
      </w:hyperlink>
      <w:r w:rsidRPr="007F3EB6">
        <w:rPr>
          <w:rFonts w:ascii="Arial" w:hAnsi="Arial" w:cs="Arial"/>
        </w:rPr>
        <w:t> [Accessed 10 October 2023].</w:t>
      </w:r>
    </w:p>
    <w:p w14:paraId="595AD15D" w14:textId="77777777" w:rsidR="007F3EB6" w:rsidRPr="007F3EB6" w:rsidRDefault="007F3EB6" w:rsidP="00142874">
      <w:pPr>
        <w:spacing w:line="360" w:lineRule="auto"/>
        <w:jc w:val="both"/>
        <w:rPr>
          <w:rFonts w:ascii="Arial" w:hAnsi="Arial" w:cs="Arial"/>
        </w:rPr>
      </w:pPr>
      <w:r w:rsidRPr="007F3EB6">
        <w:rPr>
          <w:rFonts w:ascii="Arial" w:hAnsi="Arial" w:cs="Arial"/>
          <w:b/>
          <w:bCs/>
        </w:rPr>
        <w:t>IEA (International Energy Agency)</w:t>
      </w:r>
      <w:r w:rsidRPr="007F3EB6">
        <w:rPr>
          <w:rFonts w:ascii="Arial" w:hAnsi="Arial" w:cs="Arial"/>
        </w:rPr>
        <w:t> (2022). </w:t>
      </w:r>
      <w:r w:rsidRPr="007F3EB6">
        <w:rPr>
          <w:rFonts w:ascii="Arial" w:hAnsi="Arial" w:cs="Arial"/>
          <w:i/>
          <w:iCs/>
        </w:rPr>
        <w:t>CO</w:t>
      </w:r>
      <w:r w:rsidRPr="007F3EB6">
        <w:rPr>
          <w:rFonts w:ascii="Cambria Math" w:hAnsi="Cambria Math" w:cs="Cambria Math"/>
          <w:i/>
          <w:iCs/>
        </w:rPr>
        <w:t>₂</w:t>
      </w:r>
      <w:r w:rsidRPr="007F3EB6">
        <w:rPr>
          <w:rFonts w:ascii="Arial" w:hAnsi="Arial" w:cs="Arial"/>
          <w:i/>
          <w:iCs/>
        </w:rPr>
        <w:t xml:space="preserve"> Emissions from Road Transport</w:t>
      </w:r>
      <w:r w:rsidRPr="007F3EB6">
        <w:rPr>
          <w:rFonts w:ascii="Arial" w:hAnsi="Arial" w:cs="Arial"/>
        </w:rPr>
        <w:t>. Available from: </w:t>
      </w:r>
      <w:hyperlink r:id="rId10" w:tgtFrame="_blank" w:history="1">
        <w:r w:rsidRPr="007F3EB6">
          <w:rPr>
            <w:rStyle w:val="Hyperlink"/>
            <w:rFonts w:ascii="Arial" w:hAnsi="Arial" w:cs="Arial"/>
          </w:rPr>
          <w:t>https://www.iea.org/reports/co2-emissions-from-road-transport</w:t>
        </w:r>
      </w:hyperlink>
      <w:r w:rsidRPr="007F3EB6">
        <w:rPr>
          <w:rFonts w:ascii="Arial" w:hAnsi="Arial" w:cs="Arial"/>
        </w:rPr>
        <w:t> [Accessed 10 October 2023].</w:t>
      </w:r>
    </w:p>
    <w:p w14:paraId="0C1EBD39" w14:textId="77777777" w:rsidR="007F3EB6" w:rsidRPr="007F3EB6" w:rsidRDefault="007F3EB6" w:rsidP="00142874">
      <w:pPr>
        <w:spacing w:line="360" w:lineRule="auto"/>
        <w:jc w:val="both"/>
        <w:rPr>
          <w:rFonts w:ascii="Arial" w:hAnsi="Arial" w:cs="Arial"/>
        </w:rPr>
      </w:pPr>
      <w:r w:rsidRPr="007F3EB6">
        <w:rPr>
          <w:rFonts w:ascii="Arial" w:hAnsi="Arial" w:cs="Arial"/>
          <w:b/>
          <w:bCs/>
        </w:rPr>
        <w:t>Lenzen, M.</w:t>
      </w:r>
      <w:r w:rsidRPr="007F3EB6">
        <w:rPr>
          <w:rFonts w:ascii="Arial" w:hAnsi="Arial" w:cs="Arial"/>
        </w:rPr>
        <w:t> </w:t>
      </w:r>
      <w:r w:rsidRPr="007F3EB6">
        <w:rPr>
          <w:rFonts w:ascii="Arial" w:hAnsi="Arial" w:cs="Arial"/>
          <w:i/>
          <w:iCs/>
        </w:rPr>
        <w:t>et al.</w:t>
      </w:r>
      <w:r w:rsidRPr="007F3EB6">
        <w:rPr>
          <w:rFonts w:ascii="Arial" w:hAnsi="Arial" w:cs="Arial"/>
        </w:rPr>
        <w:t> (2018). ‘The carbon footprint of global tourism’, </w:t>
      </w:r>
      <w:r w:rsidRPr="007F3EB6">
        <w:rPr>
          <w:rFonts w:ascii="Arial" w:hAnsi="Arial" w:cs="Arial"/>
          <w:i/>
          <w:iCs/>
        </w:rPr>
        <w:t>Nature Climate Change</w:t>
      </w:r>
      <w:r w:rsidRPr="007F3EB6">
        <w:rPr>
          <w:rFonts w:ascii="Arial" w:hAnsi="Arial" w:cs="Arial"/>
        </w:rPr>
        <w:t>, 8(6), pp. 522–528. Available from: </w:t>
      </w:r>
      <w:hyperlink r:id="rId11" w:tgtFrame="_blank" w:history="1">
        <w:r w:rsidRPr="007F3EB6">
          <w:rPr>
            <w:rStyle w:val="Hyperlink"/>
            <w:rFonts w:ascii="Arial" w:hAnsi="Arial" w:cs="Arial"/>
          </w:rPr>
          <w:t>https://www.nature.com/articles/s41558-018-0141-x</w:t>
        </w:r>
      </w:hyperlink>
      <w:r w:rsidRPr="007F3EB6">
        <w:rPr>
          <w:rFonts w:ascii="Arial" w:hAnsi="Arial" w:cs="Arial"/>
        </w:rPr>
        <w:t> [Accessed 10 October 2023].</w:t>
      </w:r>
    </w:p>
    <w:p w14:paraId="124DDE6B" w14:textId="77777777" w:rsidR="007F3EB6" w:rsidRPr="007F3EB6" w:rsidRDefault="007F3EB6" w:rsidP="00142874">
      <w:pPr>
        <w:spacing w:line="360" w:lineRule="auto"/>
        <w:jc w:val="both"/>
        <w:rPr>
          <w:rFonts w:ascii="Arial" w:hAnsi="Arial" w:cs="Arial"/>
        </w:rPr>
      </w:pPr>
      <w:r w:rsidRPr="007F3EB6">
        <w:rPr>
          <w:rFonts w:ascii="Arial" w:hAnsi="Arial" w:cs="Arial"/>
          <w:b/>
          <w:bCs/>
        </w:rPr>
        <w:t>Marriott International</w:t>
      </w:r>
      <w:r w:rsidRPr="007F3EB6">
        <w:rPr>
          <w:rFonts w:ascii="Arial" w:hAnsi="Arial" w:cs="Arial"/>
        </w:rPr>
        <w:t> (2022). </w:t>
      </w:r>
      <w:r w:rsidRPr="007F3EB6">
        <w:rPr>
          <w:rFonts w:ascii="Arial" w:hAnsi="Arial" w:cs="Arial"/>
          <w:i/>
          <w:iCs/>
        </w:rPr>
        <w:t>Sustainability Report 2022</w:t>
      </w:r>
      <w:r w:rsidRPr="007F3EB6">
        <w:rPr>
          <w:rFonts w:ascii="Arial" w:hAnsi="Arial" w:cs="Arial"/>
        </w:rPr>
        <w:t>. Available from: </w:t>
      </w:r>
      <w:hyperlink r:id="rId12" w:tgtFrame="_blank" w:history="1">
        <w:r w:rsidRPr="007F3EB6">
          <w:rPr>
            <w:rStyle w:val="Hyperlink"/>
            <w:rFonts w:ascii="Arial" w:hAnsi="Arial" w:cs="Arial"/>
          </w:rPr>
          <w:t>https://marriott.gcs-web.com/static-files/5d62a4a8-4a0b-4c3f-89b2-2b7f9f3d3c4d</w:t>
        </w:r>
      </w:hyperlink>
      <w:r w:rsidRPr="007F3EB6">
        <w:rPr>
          <w:rFonts w:ascii="Arial" w:hAnsi="Arial" w:cs="Arial"/>
        </w:rPr>
        <w:t> [Accessed 10 October 2023].</w:t>
      </w:r>
    </w:p>
    <w:p w14:paraId="505A76E0" w14:textId="77777777" w:rsidR="007F3EB6" w:rsidRPr="007F3EB6" w:rsidRDefault="007F3EB6" w:rsidP="00142874">
      <w:pPr>
        <w:spacing w:line="360" w:lineRule="auto"/>
        <w:jc w:val="both"/>
        <w:rPr>
          <w:rFonts w:ascii="Arial" w:hAnsi="Arial" w:cs="Arial"/>
        </w:rPr>
      </w:pPr>
      <w:r w:rsidRPr="007F3EB6">
        <w:rPr>
          <w:rFonts w:ascii="Arial" w:hAnsi="Arial" w:cs="Arial"/>
          <w:b/>
          <w:bCs/>
        </w:rPr>
        <w:t>McDonald’s UK</w:t>
      </w:r>
      <w:r w:rsidRPr="007F3EB6">
        <w:rPr>
          <w:rFonts w:ascii="Arial" w:hAnsi="Arial" w:cs="Arial"/>
        </w:rPr>
        <w:t> (2021). </w:t>
      </w:r>
      <w:r w:rsidRPr="007F3EB6">
        <w:rPr>
          <w:rFonts w:ascii="Arial" w:hAnsi="Arial" w:cs="Arial"/>
          <w:i/>
          <w:iCs/>
        </w:rPr>
        <w:t>Our Journey to Net Zero</w:t>
      </w:r>
      <w:r w:rsidRPr="007F3EB6">
        <w:rPr>
          <w:rFonts w:ascii="Arial" w:hAnsi="Arial" w:cs="Arial"/>
        </w:rPr>
        <w:t>. Available from: </w:t>
      </w:r>
      <w:hyperlink r:id="rId13" w:tgtFrame="_blank" w:history="1">
        <w:r w:rsidRPr="007F3EB6">
          <w:rPr>
            <w:rStyle w:val="Hyperlink"/>
            <w:rFonts w:ascii="Arial" w:hAnsi="Arial" w:cs="Arial"/>
          </w:rPr>
          <w:t>https://corporate.mcdonalds.com/content/dam/gwscorp/uk/sustainability/UK_Net_Zero_Report.pdf</w:t>
        </w:r>
      </w:hyperlink>
      <w:r w:rsidRPr="007F3EB6">
        <w:rPr>
          <w:rFonts w:ascii="Arial" w:hAnsi="Arial" w:cs="Arial"/>
        </w:rPr>
        <w:t> [Accessed 10 October 2023].</w:t>
      </w:r>
    </w:p>
    <w:p w14:paraId="398F5E92"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t>Clean Air Fund</w:t>
      </w:r>
      <w:r w:rsidRPr="007F3EB6">
        <w:rPr>
          <w:rFonts w:ascii="Arial" w:hAnsi="Arial" w:cs="Arial"/>
        </w:rPr>
        <w:t> (2023). </w:t>
      </w:r>
      <w:r w:rsidRPr="007F3EB6">
        <w:rPr>
          <w:rFonts w:ascii="Arial" w:hAnsi="Arial" w:cs="Arial"/>
          <w:i/>
          <w:iCs/>
        </w:rPr>
        <w:t>Deliveroo’s Shift to E-Bikes</w:t>
      </w:r>
      <w:r w:rsidRPr="007F3EB6">
        <w:rPr>
          <w:rFonts w:ascii="Arial" w:hAnsi="Arial" w:cs="Arial"/>
        </w:rPr>
        <w:t>. Available from: </w:t>
      </w:r>
      <w:hyperlink r:id="rId14" w:tgtFrame="_blank" w:history="1">
        <w:r w:rsidRPr="007F3EB6">
          <w:rPr>
            <w:rStyle w:val="Hyperlink"/>
            <w:rFonts w:ascii="Arial" w:hAnsi="Arial" w:cs="Arial"/>
          </w:rPr>
          <w:t>https://www.cleanairfund.org/case-study/deliveroo/</w:t>
        </w:r>
      </w:hyperlink>
      <w:r w:rsidRPr="007F3EB6">
        <w:rPr>
          <w:rFonts w:ascii="Arial" w:hAnsi="Arial" w:cs="Arial"/>
        </w:rPr>
        <w:t> [Accessed 10 October 2023].</w:t>
      </w:r>
    </w:p>
    <w:p w14:paraId="4C2BCFCB"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t>EPA (Environmental Protection Agency)</w:t>
      </w:r>
      <w:r w:rsidRPr="007F3EB6">
        <w:rPr>
          <w:rFonts w:ascii="Arial" w:hAnsi="Arial" w:cs="Arial"/>
        </w:rPr>
        <w:t> (2021). </w:t>
      </w:r>
      <w:r w:rsidRPr="007F3EB6">
        <w:rPr>
          <w:rFonts w:ascii="Arial" w:hAnsi="Arial" w:cs="Arial"/>
          <w:i/>
          <w:iCs/>
        </w:rPr>
        <w:t>Emissions Factors for Greenhouse Gas Inventories</w:t>
      </w:r>
      <w:r w:rsidRPr="007F3EB6">
        <w:rPr>
          <w:rFonts w:ascii="Arial" w:hAnsi="Arial" w:cs="Arial"/>
        </w:rPr>
        <w:t>. Available from: </w:t>
      </w:r>
      <w:hyperlink r:id="rId15" w:tgtFrame="_blank" w:history="1">
        <w:r w:rsidRPr="007F3EB6">
          <w:rPr>
            <w:rStyle w:val="Hyperlink"/>
            <w:rFonts w:ascii="Arial" w:hAnsi="Arial" w:cs="Arial"/>
          </w:rPr>
          <w:t>https://www.epa.gov/system/files/documents/2021-04/emission-factors_apr2021.pdf</w:t>
        </w:r>
      </w:hyperlink>
      <w:r w:rsidRPr="007F3EB6">
        <w:rPr>
          <w:rFonts w:ascii="Arial" w:hAnsi="Arial" w:cs="Arial"/>
        </w:rPr>
        <w:t> [Accessed 10 October 2023].</w:t>
      </w:r>
    </w:p>
    <w:p w14:paraId="47CF86E5"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lastRenderedPageBreak/>
        <w:t>C40 Cities</w:t>
      </w:r>
      <w:r w:rsidRPr="007F3EB6">
        <w:rPr>
          <w:rFonts w:ascii="Arial" w:hAnsi="Arial" w:cs="Arial"/>
        </w:rPr>
        <w:t> (2020). </w:t>
      </w:r>
      <w:r w:rsidRPr="007F3EB6">
        <w:rPr>
          <w:rFonts w:ascii="Arial" w:hAnsi="Arial" w:cs="Arial"/>
          <w:i/>
          <w:iCs/>
        </w:rPr>
        <w:t>The Cost of Urban Congestion in Barcelona</w:t>
      </w:r>
      <w:r w:rsidRPr="007F3EB6">
        <w:rPr>
          <w:rFonts w:ascii="Arial" w:hAnsi="Arial" w:cs="Arial"/>
        </w:rPr>
        <w:t>. Available from: </w:t>
      </w:r>
      <w:hyperlink r:id="rId16" w:tgtFrame="_blank" w:history="1">
        <w:r w:rsidRPr="007F3EB6">
          <w:rPr>
            <w:rStyle w:val="Hyperlink"/>
            <w:rFonts w:ascii="Arial" w:hAnsi="Arial" w:cs="Arial"/>
          </w:rPr>
          <w:t>https://www.c40.org/case-studies/the-cost-of-urban-congestion-in-barcelona/</w:t>
        </w:r>
      </w:hyperlink>
      <w:r w:rsidRPr="007F3EB6">
        <w:rPr>
          <w:rFonts w:ascii="Arial" w:hAnsi="Arial" w:cs="Arial"/>
        </w:rPr>
        <w:t> [Accessed 10 October 2023].</w:t>
      </w:r>
    </w:p>
    <w:p w14:paraId="7F76EB76"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t>WHO (World Health Organization)</w:t>
      </w:r>
      <w:r w:rsidRPr="007F3EB6">
        <w:rPr>
          <w:rFonts w:ascii="Arial" w:hAnsi="Arial" w:cs="Arial"/>
        </w:rPr>
        <w:t> (2018). </w:t>
      </w:r>
      <w:r w:rsidRPr="007F3EB6">
        <w:rPr>
          <w:rFonts w:ascii="Arial" w:hAnsi="Arial" w:cs="Arial"/>
          <w:i/>
          <w:iCs/>
        </w:rPr>
        <w:t>Environmental Noise Guidelines for the European Region</w:t>
      </w:r>
      <w:r w:rsidRPr="007F3EB6">
        <w:rPr>
          <w:rFonts w:ascii="Arial" w:hAnsi="Arial" w:cs="Arial"/>
        </w:rPr>
        <w:t>. Available from: </w:t>
      </w:r>
      <w:hyperlink r:id="rId17" w:tgtFrame="_blank" w:history="1">
        <w:r w:rsidRPr="007F3EB6">
          <w:rPr>
            <w:rStyle w:val="Hyperlink"/>
            <w:rFonts w:ascii="Arial" w:hAnsi="Arial" w:cs="Arial"/>
          </w:rPr>
          <w:t>https://www.euro.who.int/__data/assets/pdf_file/0008/383921/noise-guidelines-eng.pdf</w:t>
        </w:r>
      </w:hyperlink>
      <w:r w:rsidRPr="007F3EB6">
        <w:rPr>
          <w:rFonts w:ascii="Arial" w:hAnsi="Arial" w:cs="Arial"/>
        </w:rPr>
        <w:t> [Accessed 10 October 2023].</w:t>
      </w:r>
    </w:p>
    <w:p w14:paraId="1033F9C4"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t>ICCT (International Council on Clean Transportation)</w:t>
      </w:r>
      <w:r w:rsidRPr="007F3EB6">
        <w:rPr>
          <w:rFonts w:ascii="Arial" w:hAnsi="Arial" w:cs="Arial"/>
        </w:rPr>
        <w:t> (2021). </w:t>
      </w:r>
      <w:r w:rsidRPr="007F3EB6">
        <w:rPr>
          <w:rFonts w:ascii="Arial" w:hAnsi="Arial" w:cs="Arial"/>
          <w:i/>
          <w:iCs/>
        </w:rPr>
        <w:t>Lifecycle Emissions of Electric Vehicles</w:t>
      </w:r>
      <w:r w:rsidRPr="007F3EB6">
        <w:rPr>
          <w:rFonts w:ascii="Arial" w:hAnsi="Arial" w:cs="Arial"/>
        </w:rPr>
        <w:t>. Available from: </w:t>
      </w:r>
      <w:hyperlink r:id="rId18" w:tgtFrame="_blank" w:history="1">
        <w:r w:rsidRPr="007F3EB6">
          <w:rPr>
            <w:rStyle w:val="Hyperlink"/>
            <w:rFonts w:ascii="Arial" w:hAnsi="Arial" w:cs="Arial"/>
          </w:rPr>
          <w:t>https://theicct.org/sites/default/files/publications/EV-life-cycle-GHG_ICCT-Briefing_09012021_vF.pdf</w:t>
        </w:r>
      </w:hyperlink>
      <w:r w:rsidRPr="007F3EB6">
        <w:rPr>
          <w:rFonts w:ascii="Arial" w:hAnsi="Arial" w:cs="Arial"/>
        </w:rPr>
        <w:t> [Accessed 10 October 2023].</w:t>
      </w:r>
    </w:p>
    <w:p w14:paraId="35019D42"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t>Sysco Corporation</w:t>
      </w:r>
      <w:r w:rsidRPr="007F3EB6">
        <w:rPr>
          <w:rFonts w:ascii="Arial" w:hAnsi="Arial" w:cs="Arial"/>
        </w:rPr>
        <w:t> (2022). </w:t>
      </w:r>
      <w:r w:rsidRPr="007F3EB6">
        <w:rPr>
          <w:rFonts w:ascii="Arial" w:hAnsi="Arial" w:cs="Arial"/>
          <w:i/>
          <w:iCs/>
        </w:rPr>
        <w:t>Sustainability Report: Optimizing Logistics with AI</w:t>
      </w:r>
      <w:r w:rsidRPr="007F3EB6">
        <w:rPr>
          <w:rFonts w:ascii="Arial" w:hAnsi="Arial" w:cs="Arial"/>
        </w:rPr>
        <w:t>. Available from: </w:t>
      </w:r>
      <w:hyperlink r:id="rId19" w:tgtFrame="_blank" w:history="1">
        <w:r w:rsidRPr="007F3EB6">
          <w:rPr>
            <w:rStyle w:val="Hyperlink"/>
            <w:rFonts w:ascii="Arial" w:hAnsi="Arial" w:cs="Arial"/>
          </w:rPr>
          <w:t>https://www.sysco.com/sustainability/Sysco_2022_Sustainability_Report.pdf</w:t>
        </w:r>
      </w:hyperlink>
      <w:r w:rsidRPr="007F3EB6">
        <w:rPr>
          <w:rFonts w:ascii="Arial" w:hAnsi="Arial" w:cs="Arial"/>
        </w:rPr>
        <w:t> [Accessed 10 October 2023].</w:t>
      </w:r>
    </w:p>
    <w:p w14:paraId="19FACAA4"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t>Toyota</w:t>
      </w:r>
      <w:r w:rsidRPr="007F3EB6">
        <w:rPr>
          <w:rFonts w:ascii="Arial" w:hAnsi="Arial" w:cs="Arial"/>
        </w:rPr>
        <w:t> (2023). </w:t>
      </w:r>
      <w:r w:rsidRPr="007F3EB6">
        <w:rPr>
          <w:rFonts w:ascii="Arial" w:hAnsi="Arial" w:cs="Arial"/>
          <w:i/>
          <w:iCs/>
        </w:rPr>
        <w:t>Hydrogen Fuel Cell Technology in Logistics</w:t>
      </w:r>
      <w:r w:rsidRPr="007F3EB6">
        <w:rPr>
          <w:rFonts w:ascii="Arial" w:hAnsi="Arial" w:cs="Arial"/>
        </w:rPr>
        <w:t>. Available from: </w:t>
      </w:r>
      <w:hyperlink r:id="rId20" w:tgtFrame="_blank" w:history="1">
        <w:r w:rsidRPr="007F3EB6">
          <w:rPr>
            <w:rStyle w:val="Hyperlink"/>
            <w:rFonts w:ascii="Arial" w:hAnsi="Arial" w:cs="Arial"/>
          </w:rPr>
          <w:t>https://global.toyota/en/newsroom/corporate/36472225.html</w:t>
        </w:r>
      </w:hyperlink>
      <w:r w:rsidRPr="007F3EB6">
        <w:rPr>
          <w:rFonts w:ascii="Arial" w:hAnsi="Arial" w:cs="Arial"/>
        </w:rPr>
        <w:t> [Accessed 10 October 2023].</w:t>
      </w:r>
    </w:p>
    <w:p w14:paraId="453CAB01"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t>EV100 Initiative</w:t>
      </w:r>
      <w:r w:rsidRPr="007F3EB6">
        <w:rPr>
          <w:rFonts w:ascii="Arial" w:hAnsi="Arial" w:cs="Arial"/>
        </w:rPr>
        <w:t> (2023). </w:t>
      </w:r>
      <w:r w:rsidRPr="007F3EB6">
        <w:rPr>
          <w:rFonts w:ascii="Arial" w:hAnsi="Arial" w:cs="Arial"/>
          <w:i/>
          <w:iCs/>
        </w:rPr>
        <w:t>TERRA’s Collaborative Progress Report</w:t>
      </w:r>
      <w:r w:rsidRPr="007F3EB6">
        <w:rPr>
          <w:rFonts w:ascii="Arial" w:hAnsi="Arial" w:cs="Arial"/>
        </w:rPr>
        <w:t>. Available from: </w:t>
      </w:r>
      <w:hyperlink r:id="rId21" w:tgtFrame="_blank" w:history="1">
        <w:r w:rsidRPr="007F3EB6">
          <w:rPr>
            <w:rStyle w:val="Hyperlink"/>
            <w:rFonts w:ascii="Arial" w:hAnsi="Arial" w:cs="Arial"/>
          </w:rPr>
          <w:t>https://www.theclimategroup.org/ev100-progress-report-2023</w:t>
        </w:r>
      </w:hyperlink>
      <w:r w:rsidRPr="007F3EB6">
        <w:rPr>
          <w:rFonts w:ascii="Arial" w:hAnsi="Arial" w:cs="Arial"/>
        </w:rPr>
        <w:t> [Accessed 10 October 2023].</w:t>
      </w:r>
    </w:p>
    <w:p w14:paraId="43790C65" w14:textId="77777777" w:rsidR="007F3EB6" w:rsidRPr="007F3EB6" w:rsidRDefault="007F3EB6" w:rsidP="00142874">
      <w:pPr>
        <w:spacing w:line="360" w:lineRule="auto"/>
        <w:ind w:left="360"/>
        <w:jc w:val="both"/>
        <w:rPr>
          <w:rFonts w:ascii="Arial" w:hAnsi="Arial" w:cs="Arial"/>
        </w:rPr>
      </w:pPr>
      <w:r w:rsidRPr="007F3EB6">
        <w:rPr>
          <w:rFonts w:ascii="Arial" w:hAnsi="Arial" w:cs="Arial"/>
          <w:b/>
          <w:bCs/>
        </w:rPr>
        <w:t>California HVIP Program</w:t>
      </w:r>
      <w:r w:rsidRPr="007F3EB6">
        <w:rPr>
          <w:rFonts w:ascii="Arial" w:hAnsi="Arial" w:cs="Arial"/>
        </w:rPr>
        <w:t> (2023). </w:t>
      </w:r>
      <w:r w:rsidRPr="007F3EB6">
        <w:rPr>
          <w:rFonts w:ascii="Arial" w:hAnsi="Arial" w:cs="Arial"/>
          <w:i/>
          <w:iCs/>
        </w:rPr>
        <w:t>Incentives for Commercial EVs</w:t>
      </w:r>
      <w:r w:rsidRPr="007F3EB6">
        <w:rPr>
          <w:rFonts w:ascii="Arial" w:hAnsi="Arial" w:cs="Arial"/>
        </w:rPr>
        <w:t>. Available from: </w:t>
      </w:r>
      <w:hyperlink r:id="rId22" w:tgtFrame="_blank" w:history="1">
        <w:r w:rsidRPr="007F3EB6">
          <w:rPr>
            <w:rStyle w:val="Hyperlink"/>
            <w:rFonts w:ascii="Arial" w:hAnsi="Arial" w:cs="Arial"/>
          </w:rPr>
          <w:t>https://californiahvip.org/</w:t>
        </w:r>
      </w:hyperlink>
      <w:r w:rsidRPr="007F3EB6">
        <w:rPr>
          <w:rFonts w:ascii="Arial" w:hAnsi="Arial" w:cs="Arial"/>
        </w:rPr>
        <w:t> [Accessed 10 October 2023].</w:t>
      </w:r>
    </w:p>
    <w:p w14:paraId="15DD6007" w14:textId="77777777" w:rsidR="007F3EB6" w:rsidRDefault="007F3EB6" w:rsidP="00142874">
      <w:pPr>
        <w:spacing w:line="360" w:lineRule="auto"/>
        <w:ind w:left="360"/>
        <w:jc w:val="both"/>
        <w:rPr>
          <w:rFonts w:ascii="Arial" w:hAnsi="Arial" w:cs="Arial"/>
        </w:rPr>
      </w:pPr>
      <w:r w:rsidRPr="007F3EB6">
        <w:rPr>
          <w:rFonts w:ascii="Arial" w:hAnsi="Arial" w:cs="Arial"/>
          <w:b/>
          <w:bCs/>
        </w:rPr>
        <w:t>WTTC (World Travel &amp; Tourism Council)</w:t>
      </w:r>
      <w:r w:rsidRPr="007F3EB6">
        <w:rPr>
          <w:rFonts w:ascii="Arial" w:hAnsi="Arial" w:cs="Arial"/>
        </w:rPr>
        <w:t> (2021). </w:t>
      </w:r>
      <w:r w:rsidRPr="007F3EB6">
        <w:rPr>
          <w:rFonts w:ascii="Arial" w:hAnsi="Arial" w:cs="Arial"/>
          <w:i/>
          <w:iCs/>
        </w:rPr>
        <w:t>Environmental Impact of Hospitality Logistics</w:t>
      </w:r>
      <w:r w:rsidRPr="007F3EB6">
        <w:rPr>
          <w:rFonts w:ascii="Arial" w:hAnsi="Arial" w:cs="Arial"/>
        </w:rPr>
        <w:t>. Available from: </w:t>
      </w:r>
      <w:hyperlink r:id="rId23" w:tgtFrame="_blank" w:history="1">
        <w:r w:rsidRPr="007F3EB6">
          <w:rPr>
            <w:rStyle w:val="Hyperlink"/>
            <w:rFonts w:ascii="Arial" w:hAnsi="Arial" w:cs="Arial"/>
          </w:rPr>
          <w:t>https://wttc.org/Research/Environmental-Social-Research</w:t>
        </w:r>
      </w:hyperlink>
      <w:r w:rsidRPr="007F3EB6">
        <w:rPr>
          <w:rFonts w:ascii="Arial" w:hAnsi="Arial" w:cs="Arial"/>
        </w:rPr>
        <w:t> [Accessed 10 October 2023].</w:t>
      </w:r>
    </w:p>
    <w:p w14:paraId="68E9E1A9" w14:textId="1B921B8F" w:rsidR="00A4287A" w:rsidRDefault="00A4287A" w:rsidP="00142874">
      <w:pPr>
        <w:spacing w:line="360" w:lineRule="auto"/>
        <w:ind w:left="360"/>
        <w:jc w:val="both"/>
        <w:rPr>
          <w:rFonts w:ascii="Arial" w:hAnsi="Arial" w:cs="Arial"/>
        </w:rPr>
      </w:pPr>
      <w:r w:rsidRPr="00E020F5">
        <w:rPr>
          <w:rFonts w:ascii="Arial" w:hAnsi="Arial" w:cs="Arial"/>
        </w:rPr>
        <w:t>Graph 1: CO</w:t>
      </w:r>
      <w:r w:rsidRPr="00E020F5">
        <w:rPr>
          <w:rFonts w:ascii="Cambria Math" w:hAnsi="Cambria Math" w:cs="Cambria Math"/>
        </w:rPr>
        <w:t>₂</w:t>
      </w:r>
      <w:r w:rsidRPr="00E020F5">
        <w:rPr>
          <w:rFonts w:ascii="Arial" w:hAnsi="Arial" w:cs="Arial"/>
        </w:rPr>
        <w:t xml:space="preserve"> emissions by transport mode </w:t>
      </w:r>
      <w:r w:rsidRPr="00A4287A">
        <w:rPr>
          <w:rFonts w:ascii="Arial" w:hAnsi="Arial" w:cs="Arial"/>
        </w:rPr>
        <w:t xml:space="preserve">Transport CO2 </w:t>
      </w:r>
      <w:hyperlink r:id="rId24" w:history="1">
        <w:r w:rsidRPr="00A4287A">
          <w:rPr>
            <w:rStyle w:val="Hyperlink"/>
            <w:rFonts w:ascii="Arial" w:hAnsi="Arial" w:cs="Arial"/>
          </w:rPr>
          <w:t>Transport CO2 emissions in the EU and breakdown by transport mode.... | Download Scientific Diagram</w:t>
        </w:r>
      </w:hyperlink>
      <w:r w:rsidR="00E978AA">
        <w:rPr>
          <w:rFonts w:ascii="Arial" w:hAnsi="Arial" w:cs="Arial"/>
        </w:rPr>
        <w:t xml:space="preserve"> </w:t>
      </w:r>
      <w:hyperlink r:id="rId25" w:history="1">
        <w:r w:rsidR="00E978AA" w:rsidRPr="007769FD">
          <w:rPr>
            <w:rStyle w:val="Hyperlink"/>
            <w:rFonts w:ascii="Arial" w:hAnsi="Arial" w:cs="Arial"/>
          </w:rPr>
          <w:t>https://www.europarl.europa.eu/</w:t>
        </w:r>
      </w:hyperlink>
    </w:p>
    <w:p w14:paraId="31F0B2AC" w14:textId="77777777" w:rsidR="00E978AA" w:rsidRPr="00E020F5" w:rsidRDefault="00E978AA" w:rsidP="00E978AA">
      <w:pPr>
        <w:spacing w:line="360" w:lineRule="auto"/>
        <w:jc w:val="both"/>
        <w:rPr>
          <w:rFonts w:ascii="Arial" w:hAnsi="Arial" w:cs="Arial"/>
        </w:rPr>
      </w:pPr>
      <w:r w:rsidRPr="00E020F5">
        <w:rPr>
          <w:rFonts w:ascii="Arial" w:hAnsi="Arial" w:cs="Arial"/>
        </w:rPr>
        <w:t xml:space="preserve">Graph </w:t>
      </w:r>
      <w:r>
        <w:rPr>
          <w:rFonts w:ascii="Arial" w:hAnsi="Arial" w:cs="Arial"/>
        </w:rPr>
        <w:t xml:space="preserve">2 – source  </w:t>
      </w:r>
      <w:r w:rsidRPr="009E0538">
        <w:rPr>
          <w:rFonts w:ascii="Arial" w:hAnsi="Arial" w:cs="Arial"/>
        </w:rPr>
        <w:t>https://www.sgcarmart.com/</w:t>
      </w:r>
    </w:p>
    <w:p w14:paraId="5F8B9113" w14:textId="77777777" w:rsidR="00E978AA" w:rsidRDefault="00E978AA" w:rsidP="00142874">
      <w:pPr>
        <w:spacing w:line="360" w:lineRule="auto"/>
        <w:ind w:left="360"/>
        <w:jc w:val="both"/>
        <w:rPr>
          <w:rFonts w:ascii="Arial" w:hAnsi="Arial" w:cs="Arial"/>
        </w:rPr>
      </w:pPr>
    </w:p>
    <w:p w14:paraId="4D7A3D30" w14:textId="77777777" w:rsidR="00264337" w:rsidRPr="007F3EB6" w:rsidRDefault="00264337" w:rsidP="00142874">
      <w:pPr>
        <w:spacing w:line="360" w:lineRule="auto"/>
        <w:ind w:left="360"/>
        <w:jc w:val="both"/>
        <w:rPr>
          <w:rFonts w:ascii="Arial" w:hAnsi="Arial" w:cs="Arial"/>
        </w:rPr>
      </w:pPr>
    </w:p>
    <w:p w14:paraId="55F41399" w14:textId="6C42EB12" w:rsidR="00FB7DC3" w:rsidRPr="00DC5C46" w:rsidRDefault="00FB7DC3" w:rsidP="00142874">
      <w:pPr>
        <w:spacing w:line="360" w:lineRule="auto"/>
        <w:jc w:val="both"/>
        <w:rPr>
          <w:rFonts w:ascii="Arial" w:hAnsi="Arial" w:cs="Arial"/>
        </w:rPr>
      </w:pPr>
    </w:p>
    <w:sectPr w:rsidR="00FB7DC3" w:rsidRPr="00DC5C4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D6A16" w14:textId="77777777" w:rsidR="0068432B" w:rsidRDefault="0068432B" w:rsidP="00DC5C46">
      <w:pPr>
        <w:spacing w:after="0" w:line="240" w:lineRule="auto"/>
      </w:pPr>
      <w:r>
        <w:separator/>
      </w:r>
    </w:p>
  </w:endnote>
  <w:endnote w:type="continuationSeparator" w:id="0">
    <w:p w14:paraId="2AA8A42C" w14:textId="77777777" w:rsidR="0068432B" w:rsidRDefault="0068432B" w:rsidP="00DC5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3513613"/>
      <w:docPartObj>
        <w:docPartGallery w:val="Page Numbers (Bottom of Page)"/>
        <w:docPartUnique/>
      </w:docPartObj>
    </w:sdtPr>
    <w:sdtEndPr>
      <w:rPr>
        <w:noProof/>
      </w:rPr>
    </w:sdtEndPr>
    <w:sdtContent>
      <w:p w14:paraId="1791BB09" w14:textId="77777777" w:rsidR="00DC5C46" w:rsidRDefault="00DC5C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2DD32B" w14:textId="77777777" w:rsidR="00DC5C46" w:rsidRDefault="00DC5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E758C" w14:textId="77777777" w:rsidR="0068432B" w:rsidRDefault="0068432B" w:rsidP="00DC5C46">
      <w:pPr>
        <w:spacing w:after="0" w:line="240" w:lineRule="auto"/>
      </w:pPr>
      <w:r>
        <w:separator/>
      </w:r>
    </w:p>
  </w:footnote>
  <w:footnote w:type="continuationSeparator" w:id="0">
    <w:p w14:paraId="2F3B90F8" w14:textId="77777777" w:rsidR="0068432B" w:rsidRDefault="0068432B" w:rsidP="00DC5C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640A4"/>
    <w:multiLevelType w:val="hybridMultilevel"/>
    <w:tmpl w:val="73C25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278F5"/>
    <w:multiLevelType w:val="multilevel"/>
    <w:tmpl w:val="4F6A2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7835F4"/>
    <w:multiLevelType w:val="multilevel"/>
    <w:tmpl w:val="04D01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D05BE4"/>
    <w:multiLevelType w:val="hybridMultilevel"/>
    <w:tmpl w:val="F9F603C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030192"/>
    <w:multiLevelType w:val="multilevel"/>
    <w:tmpl w:val="CF62A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745983"/>
    <w:multiLevelType w:val="hybridMultilevel"/>
    <w:tmpl w:val="6B1461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0562461">
    <w:abstractNumId w:val="1"/>
  </w:num>
  <w:num w:numId="2" w16cid:durableId="308562795">
    <w:abstractNumId w:val="2"/>
  </w:num>
  <w:num w:numId="3" w16cid:durableId="1455715493">
    <w:abstractNumId w:val="4"/>
  </w:num>
  <w:num w:numId="4" w16cid:durableId="180170110">
    <w:abstractNumId w:val="5"/>
  </w:num>
  <w:num w:numId="5" w16cid:durableId="984240940">
    <w:abstractNumId w:val="0"/>
  </w:num>
  <w:num w:numId="6" w16cid:durableId="21119239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DC3"/>
    <w:rsid w:val="000360F6"/>
    <w:rsid w:val="000C7776"/>
    <w:rsid w:val="000D2D3F"/>
    <w:rsid w:val="00142874"/>
    <w:rsid w:val="001A64AC"/>
    <w:rsid w:val="001B6344"/>
    <w:rsid w:val="001D30BF"/>
    <w:rsid w:val="001F70C9"/>
    <w:rsid w:val="002547A4"/>
    <w:rsid w:val="00264337"/>
    <w:rsid w:val="00287A9E"/>
    <w:rsid w:val="002B60F7"/>
    <w:rsid w:val="002B64F3"/>
    <w:rsid w:val="00351D64"/>
    <w:rsid w:val="00373B75"/>
    <w:rsid w:val="00382816"/>
    <w:rsid w:val="003C3D60"/>
    <w:rsid w:val="00445FF0"/>
    <w:rsid w:val="005413F5"/>
    <w:rsid w:val="00553B23"/>
    <w:rsid w:val="00562366"/>
    <w:rsid w:val="0059567E"/>
    <w:rsid w:val="005D0DC8"/>
    <w:rsid w:val="00667831"/>
    <w:rsid w:val="0068432B"/>
    <w:rsid w:val="006A446E"/>
    <w:rsid w:val="006B2442"/>
    <w:rsid w:val="006D7CAC"/>
    <w:rsid w:val="007110CD"/>
    <w:rsid w:val="00756799"/>
    <w:rsid w:val="007F3EB6"/>
    <w:rsid w:val="00832A3D"/>
    <w:rsid w:val="008A3413"/>
    <w:rsid w:val="00925CB7"/>
    <w:rsid w:val="009770A4"/>
    <w:rsid w:val="009A1FCF"/>
    <w:rsid w:val="009E0538"/>
    <w:rsid w:val="009F6B87"/>
    <w:rsid w:val="00A33E5B"/>
    <w:rsid w:val="00A4287A"/>
    <w:rsid w:val="00A95BBE"/>
    <w:rsid w:val="00AC14F2"/>
    <w:rsid w:val="00B03E10"/>
    <w:rsid w:val="00B543E8"/>
    <w:rsid w:val="00B85004"/>
    <w:rsid w:val="00B93472"/>
    <w:rsid w:val="00C91FDD"/>
    <w:rsid w:val="00D058A7"/>
    <w:rsid w:val="00D22311"/>
    <w:rsid w:val="00D75972"/>
    <w:rsid w:val="00D97493"/>
    <w:rsid w:val="00DB7513"/>
    <w:rsid w:val="00DC5C46"/>
    <w:rsid w:val="00DF361F"/>
    <w:rsid w:val="00E020F5"/>
    <w:rsid w:val="00E978AA"/>
    <w:rsid w:val="00EF0155"/>
    <w:rsid w:val="00F616A8"/>
    <w:rsid w:val="00FA4FE7"/>
    <w:rsid w:val="00FB7DC3"/>
    <w:rsid w:val="00FD6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F7D188"/>
  <w15:chartTrackingRefBased/>
  <w15:docId w15:val="{7F2695D8-AF1C-4FDB-B5BC-2B1A015E9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D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7D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7D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7D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7D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7D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D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D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D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D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7D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7D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7D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7D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7D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D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D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DC3"/>
    <w:rPr>
      <w:rFonts w:eastAsiaTheme="majorEastAsia" w:cstheme="majorBidi"/>
      <w:color w:val="272727" w:themeColor="text1" w:themeTint="D8"/>
    </w:rPr>
  </w:style>
  <w:style w:type="paragraph" w:styleId="Title">
    <w:name w:val="Title"/>
    <w:basedOn w:val="Normal"/>
    <w:next w:val="Normal"/>
    <w:link w:val="TitleChar"/>
    <w:uiPriority w:val="10"/>
    <w:qFormat/>
    <w:rsid w:val="00FB7D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D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D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D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DC3"/>
    <w:pPr>
      <w:spacing w:before="160"/>
      <w:jc w:val="center"/>
    </w:pPr>
    <w:rPr>
      <w:i/>
      <w:iCs/>
      <w:color w:val="404040" w:themeColor="text1" w:themeTint="BF"/>
    </w:rPr>
  </w:style>
  <w:style w:type="character" w:customStyle="1" w:styleId="QuoteChar">
    <w:name w:val="Quote Char"/>
    <w:basedOn w:val="DefaultParagraphFont"/>
    <w:link w:val="Quote"/>
    <w:uiPriority w:val="29"/>
    <w:rsid w:val="00FB7DC3"/>
    <w:rPr>
      <w:i/>
      <w:iCs/>
      <w:color w:val="404040" w:themeColor="text1" w:themeTint="BF"/>
    </w:rPr>
  </w:style>
  <w:style w:type="paragraph" w:styleId="ListParagraph">
    <w:name w:val="List Paragraph"/>
    <w:basedOn w:val="Normal"/>
    <w:uiPriority w:val="34"/>
    <w:qFormat/>
    <w:rsid w:val="00FB7DC3"/>
    <w:pPr>
      <w:ind w:left="720"/>
      <w:contextualSpacing/>
    </w:pPr>
  </w:style>
  <w:style w:type="character" w:styleId="IntenseEmphasis">
    <w:name w:val="Intense Emphasis"/>
    <w:basedOn w:val="DefaultParagraphFont"/>
    <w:uiPriority w:val="21"/>
    <w:qFormat/>
    <w:rsid w:val="00FB7DC3"/>
    <w:rPr>
      <w:i/>
      <w:iCs/>
      <w:color w:val="0F4761" w:themeColor="accent1" w:themeShade="BF"/>
    </w:rPr>
  </w:style>
  <w:style w:type="paragraph" w:styleId="IntenseQuote">
    <w:name w:val="Intense Quote"/>
    <w:basedOn w:val="Normal"/>
    <w:next w:val="Normal"/>
    <w:link w:val="IntenseQuoteChar"/>
    <w:uiPriority w:val="30"/>
    <w:qFormat/>
    <w:rsid w:val="00FB7D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7DC3"/>
    <w:rPr>
      <w:i/>
      <w:iCs/>
      <w:color w:val="0F4761" w:themeColor="accent1" w:themeShade="BF"/>
    </w:rPr>
  </w:style>
  <w:style w:type="character" w:styleId="IntenseReference">
    <w:name w:val="Intense Reference"/>
    <w:basedOn w:val="DefaultParagraphFont"/>
    <w:uiPriority w:val="32"/>
    <w:qFormat/>
    <w:rsid w:val="00FB7DC3"/>
    <w:rPr>
      <w:b/>
      <w:bCs/>
      <w:smallCaps/>
      <w:color w:val="0F4761" w:themeColor="accent1" w:themeShade="BF"/>
      <w:spacing w:val="5"/>
    </w:rPr>
  </w:style>
  <w:style w:type="paragraph" w:styleId="Header">
    <w:name w:val="header"/>
    <w:basedOn w:val="Normal"/>
    <w:link w:val="HeaderChar"/>
    <w:uiPriority w:val="99"/>
    <w:unhideWhenUsed/>
    <w:rsid w:val="00DC5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C46"/>
  </w:style>
  <w:style w:type="paragraph" w:styleId="Footer">
    <w:name w:val="footer"/>
    <w:basedOn w:val="Normal"/>
    <w:link w:val="FooterChar"/>
    <w:uiPriority w:val="99"/>
    <w:unhideWhenUsed/>
    <w:rsid w:val="00DC5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C46"/>
  </w:style>
  <w:style w:type="character" w:styleId="Hyperlink">
    <w:name w:val="Hyperlink"/>
    <w:basedOn w:val="DefaultParagraphFont"/>
    <w:uiPriority w:val="99"/>
    <w:unhideWhenUsed/>
    <w:rsid w:val="007F3EB6"/>
    <w:rPr>
      <w:color w:val="467886" w:themeColor="hyperlink"/>
      <w:u w:val="single"/>
    </w:rPr>
  </w:style>
  <w:style w:type="character" w:styleId="UnresolvedMention">
    <w:name w:val="Unresolved Mention"/>
    <w:basedOn w:val="DefaultParagraphFont"/>
    <w:uiPriority w:val="99"/>
    <w:semiHidden/>
    <w:unhideWhenUsed/>
    <w:rsid w:val="007F3EB6"/>
    <w:rPr>
      <w:color w:val="605E5C"/>
      <w:shd w:val="clear" w:color="auto" w:fill="E1DFDD"/>
    </w:rPr>
  </w:style>
  <w:style w:type="paragraph" w:styleId="TOCHeading">
    <w:name w:val="TOC Heading"/>
    <w:basedOn w:val="Heading1"/>
    <w:next w:val="Normal"/>
    <w:uiPriority w:val="39"/>
    <w:unhideWhenUsed/>
    <w:qFormat/>
    <w:rsid w:val="009F6B87"/>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762160">
      <w:bodyDiv w:val="1"/>
      <w:marLeft w:val="0"/>
      <w:marRight w:val="0"/>
      <w:marTop w:val="0"/>
      <w:marBottom w:val="0"/>
      <w:divBdr>
        <w:top w:val="none" w:sz="0" w:space="0" w:color="auto"/>
        <w:left w:val="none" w:sz="0" w:space="0" w:color="auto"/>
        <w:bottom w:val="none" w:sz="0" w:space="0" w:color="auto"/>
        <w:right w:val="none" w:sz="0" w:space="0" w:color="auto"/>
      </w:divBdr>
    </w:div>
    <w:div w:id="503399565">
      <w:bodyDiv w:val="1"/>
      <w:marLeft w:val="0"/>
      <w:marRight w:val="0"/>
      <w:marTop w:val="0"/>
      <w:marBottom w:val="0"/>
      <w:divBdr>
        <w:top w:val="none" w:sz="0" w:space="0" w:color="auto"/>
        <w:left w:val="none" w:sz="0" w:space="0" w:color="auto"/>
        <w:bottom w:val="none" w:sz="0" w:space="0" w:color="auto"/>
        <w:right w:val="none" w:sz="0" w:space="0" w:color="auto"/>
      </w:divBdr>
    </w:div>
    <w:div w:id="880897464">
      <w:bodyDiv w:val="1"/>
      <w:marLeft w:val="0"/>
      <w:marRight w:val="0"/>
      <w:marTop w:val="0"/>
      <w:marBottom w:val="0"/>
      <w:divBdr>
        <w:top w:val="none" w:sz="0" w:space="0" w:color="auto"/>
        <w:left w:val="none" w:sz="0" w:space="0" w:color="auto"/>
        <w:bottom w:val="none" w:sz="0" w:space="0" w:color="auto"/>
        <w:right w:val="none" w:sz="0" w:space="0" w:color="auto"/>
      </w:divBdr>
    </w:div>
    <w:div w:id="889610108">
      <w:bodyDiv w:val="1"/>
      <w:marLeft w:val="0"/>
      <w:marRight w:val="0"/>
      <w:marTop w:val="0"/>
      <w:marBottom w:val="0"/>
      <w:divBdr>
        <w:top w:val="none" w:sz="0" w:space="0" w:color="auto"/>
        <w:left w:val="none" w:sz="0" w:space="0" w:color="auto"/>
        <w:bottom w:val="none" w:sz="0" w:space="0" w:color="auto"/>
        <w:right w:val="none" w:sz="0" w:space="0" w:color="auto"/>
      </w:divBdr>
    </w:div>
    <w:div w:id="913080033">
      <w:bodyDiv w:val="1"/>
      <w:marLeft w:val="0"/>
      <w:marRight w:val="0"/>
      <w:marTop w:val="0"/>
      <w:marBottom w:val="0"/>
      <w:divBdr>
        <w:top w:val="none" w:sz="0" w:space="0" w:color="auto"/>
        <w:left w:val="none" w:sz="0" w:space="0" w:color="auto"/>
        <w:bottom w:val="none" w:sz="0" w:space="0" w:color="auto"/>
        <w:right w:val="none" w:sz="0" w:space="0" w:color="auto"/>
      </w:divBdr>
    </w:div>
    <w:div w:id="966810757">
      <w:bodyDiv w:val="1"/>
      <w:marLeft w:val="0"/>
      <w:marRight w:val="0"/>
      <w:marTop w:val="0"/>
      <w:marBottom w:val="0"/>
      <w:divBdr>
        <w:top w:val="none" w:sz="0" w:space="0" w:color="auto"/>
        <w:left w:val="none" w:sz="0" w:space="0" w:color="auto"/>
        <w:bottom w:val="none" w:sz="0" w:space="0" w:color="auto"/>
        <w:right w:val="none" w:sz="0" w:space="0" w:color="auto"/>
      </w:divBdr>
    </w:div>
    <w:div w:id="1099761489">
      <w:bodyDiv w:val="1"/>
      <w:marLeft w:val="0"/>
      <w:marRight w:val="0"/>
      <w:marTop w:val="0"/>
      <w:marBottom w:val="0"/>
      <w:divBdr>
        <w:top w:val="none" w:sz="0" w:space="0" w:color="auto"/>
        <w:left w:val="none" w:sz="0" w:space="0" w:color="auto"/>
        <w:bottom w:val="none" w:sz="0" w:space="0" w:color="auto"/>
        <w:right w:val="none" w:sz="0" w:space="0" w:color="auto"/>
      </w:divBdr>
      <w:divsChild>
        <w:div w:id="295719811">
          <w:marLeft w:val="0"/>
          <w:marRight w:val="0"/>
          <w:marTop w:val="0"/>
          <w:marBottom w:val="0"/>
          <w:divBdr>
            <w:top w:val="none" w:sz="0" w:space="0" w:color="auto"/>
            <w:left w:val="none" w:sz="0" w:space="0" w:color="auto"/>
            <w:bottom w:val="none" w:sz="0" w:space="0" w:color="auto"/>
            <w:right w:val="none" w:sz="0" w:space="0" w:color="auto"/>
          </w:divBdr>
          <w:divsChild>
            <w:div w:id="417756365">
              <w:marLeft w:val="0"/>
              <w:marRight w:val="0"/>
              <w:marTop w:val="0"/>
              <w:marBottom w:val="0"/>
              <w:divBdr>
                <w:top w:val="none" w:sz="0" w:space="0" w:color="auto"/>
                <w:left w:val="none" w:sz="0" w:space="0" w:color="auto"/>
                <w:bottom w:val="none" w:sz="0" w:space="0" w:color="auto"/>
                <w:right w:val="none" w:sz="0" w:space="0" w:color="auto"/>
              </w:divBdr>
              <w:divsChild>
                <w:div w:id="1671299890">
                  <w:marLeft w:val="0"/>
                  <w:marRight w:val="0"/>
                  <w:marTop w:val="0"/>
                  <w:marBottom w:val="0"/>
                  <w:divBdr>
                    <w:top w:val="none" w:sz="0" w:space="0" w:color="auto"/>
                    <w:left w:val="none" w:sz="0" w:space="0" w:color="auto"/>
                    <w:bottom w:val="none" w:sz="0" w:space="0" w:color="auto"/>
                    <w:right w:val="none" w:sz="0" w:space="0" w:color="auto"/>
                  </w:divBdr>
                  <w:divsChild>
                    <w:div w:id="87465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931689">
          <w:marLeft w:val="0"/>
          <w:marRight w:val="0"/>
          <w:marTop w:val="0"/>
          <w:marBottom w:val="0"/>
          <w:divBdr>
            <w:top w:val="none" w:sz="0" w:space="0" w:color="auto"/>
            <w:left w:val="none" w:sz="0" w:space="0" w:color="auto"/>
            <w:bottom w:val="none" w:sz="0" w:space="0" w:color="auto"/>
            <w:right w:val="none" w:sz="0" w:space="0" w:color="auto"/>
          </w:divBdr>
          <w:divsChild>
            <w:div w:id="389618237">
              <w:marLeft w:val="0"/>
              <w:marRight w:val="0"/>
              <w:marTop w:val="0"/>
              <w:marBottom w:val="0"/>
              <w:divBdr>
                <w:top w:val="none" w:sz="0" w:space="0" w:color="auto"/>
                <w:left w:val="none" w:sz="0" w:space="0" w:color="auto"/>
                <w:bottom w:val="none" w:sz="0" w:space="0" w:color="auto"/>
                <w:right w:val="none" w:sz="0" w:space="0" w:color="auto"/>
              </w:divBdr>
              <w:divsChild>
                <w:div w:id="1604458692">
                  <w:marLeft w:val="0"/>
                  <w:marRight w:val="0"/>
                  <w:marTop w:val="0"/>
                  <w:marBottom w:val="0"/>
                  <w:divBdr>
                    <w:top w:val="none" w:sz="0" w:space="0" w:color="auto"/>
                    <w:left w:val="none" w:sz="0" w:space="0" w:color="auto"/>
                    <w:bottom w:val="none" w:sz="0" w:space="0" w:color="auto"/>
                    <w:right w:val="none" w:sz="0" w:space="0" w:color="auto"/>
                  </w:divBdr>
                  <w:divsChild>
                    <w:div w:id="206236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563049">
      <w:bodyDiv w:val="1"/>
      <w:marLeft w:val="0"/>
      <w:marRight w:val="0"/>
      <w:marTop w:val="0"/>
      <w:marBottom w:val="0"/>
      <w:divBdr>
        <w:top w:val="none" w:sz="0" w:space="0" w:color="auto"/>
        <w:left w:val="none" w:sz="0" w:space="0" w:color="auto"/>
        <w:bottom w:val="none" w:sz="0" w:space="0" w:color="auto"/>
        <w:right w:val="none" w:sz="0" w:space="0" w:color="auto"/>
      </w:divBdr>
    </w:div>
    <w:div w:id="1245411700">
      <w:bodyDiv w:val="1"/>
      <w:marLeft w:val="0"/>
      <w:marRight w:val="0"/>
      <w:marTop w:val="0"/>
      <w:marBottom w:val="0"/>
      <w:divBdr>
        <w:top w:val="none" w:sz="0" w:space="0" w:color="auto"/>
        <w:left w:val="none" w:sz="0" w:space="0" w:color="auto"/>
        <w:bottom w:val="none" w:sz="0" w:space="0" w:color="auto"/>
        <w:right w:val="none" w:sz="0" w:space="0" w:color="auto"/>
      </w:divBdr>
    </w:div>
    <w:div w:id="1278097425">
      <w:bodyDiv w:val="1"/>
      <w:marLeft w:val="0"/>
      <w:marRight w:val="0"/>
      <w:marTop w:val="0"/>
      <w:marBottom w:val="0"/>
      <w:divBdr>
        <w:top w:val="none" w:sz="0" w:space="0" w:color="auto"/>
        <w:left w:val="none" w:sz="0" w:space="0" w:color="auto"/>
        <w:bottom w:val="none" w:sz="0" w:space="0" w:color="auto"/>
        <w:right w:val="none" w:sz="0" w:space="0" w:color="auto"/>
      </w:divBdr>
      <w:divsChild>
        <w:div w:id="915092667">
          <w:marLeft w:val="0"/>
          <w:marRight w:val="0"/>
          <w:marTop w:val="0"/>
          <w:marBottom w:val="0"/>
          <w:divBdr>
            <w:top w:val="none" w:sz="0" w:space="0" w:color="auto"/>
            <w:left w:val="none" w:sz="0" w:space="0" w:color="auto"/>
            <w:bottom w:val="none" w:sz="0" w:space="0" w:color="auto"/>
            <w:right w:val="none" w:sz="0" w:space="0" w:color="auto"/>
          </w:divBdr>
          <w:divsChild>
            <w:div w:id="1879782415">
              <w:marLeft w:val="0"/>
              <w:marRight w:val="0"/>
              <w:marTop w:val="0"/>
              <w:marBottom w:val="0"/>
              <w:divBdr>
                <w:top w:val="none" w:sz="0" w:space="0" w:color="auto"/>
                <w:left w:val="none" w:sz="0" w:space="0" w:color="auto"/>
                <w:bottom w:val="none" w:sz="0" w:space="0" w:color="auto"/>
                <w:right w:val="none" w:sz="0" w:space="0" w:color="auto"/>
              </w:divBdr>
              <w:divsChild>
                <w:div w:id="328677329">
                  <w:marLeft w:val="0"/>
                  <w:marRight w:val="0"/>
                  <w:marTop w:val="0"/>
                  <w:marBottom w:val="0"/>
                  <w:divBdr>
                    <w:top w:val="none" w:sz="0" w:space="0" w:color="auto"/>
                    <w:left w:val="none" w:sz="0" w:space="0" w:color="auto"/>
                    <w:bottom w:val="none" w:sz="0" w:space="0" w:color="auto"/>
                    <w:right w:val="none" w:sz="0" w:space="0" w:color="auto"/>
                  </w:divBdr>
                  <w:divsChild>
                    <w:div w:id="159228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974471">
          <w:marLeft w:val="0"/>
          <w:marRight w:val="0"/>
          <w:marTop w:val="0"/>
          <w:marBottom w:val="0"/>
          <w:divBdr>
            <w:top w:val="none" w:sz="0" w:space="0" w:color="auto"/>
            <w:left w:val="none" w:sz="0" w:space="0" w:color="auto"/>
            <w:bottom w:val="none" w:sz="0" w:space="0" w:color="auto"/>
            <w:right w:val="none" w:sz="0" w:space="0" w:color="auto"/>
          </w:divBdr>
          <w:divsChild>
            <w:div w:id="777413307">
              <w:marLeft w:val="0"/>
              <w:marRight w:val="0"/>
              <w:marTop w:val="0"/>
              <w:marBottom w:val="0"/>
              <w:divBdr>
                <w:top w:val="none" w:sz="0" w:space="0" w:color="auto"/>
                <w:left w:val="none" w:sz="0" w:space="0" w:color="auto"/>
                <w:bottom w:val="none" w:sz="0" w:space="0" w:color="auto"/>
                <w:right w:val="none" w:sz="0" w:space="0" w:color="auto"/>
              </w:divBdr>
              <w:divsChild>
                <w:div w:id="1605457283">
                  <w:marLeft w:val="0"/>
                  <w:marRight w:val="0"/>
                  <w:marTop w:val="0"/>
                  <w:marBottom w:val="0"/>
                  <w:divBdr>
                    <w:top w:val="none" w:sz="0" w:space="0" w:color="auto"/>
                    <w:left w:val="none" w:sz="0" w:space="0" w:color="auto"/>
                    <w:bottom w:val="none" w:sz="0" w:space="0" w:color="auto"/>
                    <w:right w:val="none" w:sz="0" w:space="0" w:color="auto"/>
                  </w:divBdr>
                  <w:divsChild>
                    <w:div w:id="203957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752721">
      <w:bodyDiv w:val="1"/>
      <w:marLeft w:val="0"/>
      <w:marRight w:val="0"/>
      <w:marTop w:val="0"/>
      <w:marBottom w:val="0"/>
      <w:divBdr>
        <w:top w:val="none" w:sz="0" w:space="0" w:color="auto"/>
        <w:left w:val="none" w:sz="0" w:space="0" w:color="auto"/>
        <w:bottom w:val="none" w:sz="0" w:space="0" w:color="auto"/>
        <w:right w:val="none" w:sz="0" w:space="0" w:color="auto"/>
      </w:divBdr>
    </w:div>
    <w:div w:id="1374815704">
      <w:bodyDiv w:val="1"/>
      <w:marLeft w:val="0"/>
      <w:marRight w:val="0"/>
      <w:marTop w:val="0"/>
      <w:marBottom w:val="0"/>
      <w:divBdr>
        <w:top w:val="none" w:sz="0" w:space="0" w:color="auto"/>
        <w:left w:val="none" w:sz="0" w:space="0" w:color="auto"/>
        <w:bottom w:val="none" w:sz="0" w:space="0" w:color="auto"/>
        <w:right w:val="none" w:sz="0" w:space="0" w:color="auto"/>
      </w:divBdr>
    </w:div>
    <w:div w:id="1386491898">
      <w:bodyDiv w:val="1"/>
      <w:marLeft w:val="0"/>
      <w:marRight w:val="0"/>
      <w:marTop w:val="0"/>
      <w:marBottom w:val="0"/>
      <w:divBdr>
        <w:top w:val="none" w:sz="0" w:space="0" w:color="auto"/>
        <w:left w:val="none" w:sz="0" w:space="0" w:color="auto"/>
        <w:bottom w:val="none" w:sz="0" w:space="0" w:color="auto"/>
        <w:right w:val="none" w:sz="0" w:space="0" w:color="auto"/>
      </w:divBdr>
    </w:div>
    <w:div w:id="1615601092">
      <w:bodyDiv w:val="1"/>
      <w:marLeft w:val="0"/>
      <w:marRight w:val="0"/>
      <w:marTop w:val="0"/>
      <w:marBottom w:val="0"/>
      <w:divBdr>
        <w:top w:val="none" w:sz="0" w:space="0" w:color="auto"/>
        <w:left w:val="none" w:sz="0" w:space="0" w:color="auto"/>
        <w:bottom w:val="none" w:sz="0" w:space="0" w:color="auto"/>
        <w:right w:val="none" w:sz="0" w:space="0" w:color="auto"/>
      </w:divBdr>
    </w:div>
    <w:div w:id="1706366283">
      <w:bodyDiv w:val="1"/>
      <w:marLeft w:val="0"/>
      <w:marRight w:val="0"/>
      <w:marTop w:val="0"/>
      <w:marBottom w:val="0"/>
      <w:divBdr>
        <w:top w:val="none" w:sz="0" w:space="0" w:color="auto"/>
        <w:left w:val="none" w:sz="0" w:space="0" w:color="auto"/>
        <w:bottom w:val="none" w:sz="0" w:space="0" w:color="auto"/>
        <w:right w:val="none" w:sz="0" w:space="0" w:color="auto"/>
      </w:divBdr>
    </w:div>
    <w:div w:id="1772361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porate.mcdonalds.com/content/dam/gwscorp/uk/sustainability/UK_Net_Zero_Report.pdf" TargetMode="External"/><Relationship Id="rId18" Type="http://schemas.openxmlformats.org/officeDocument/2006/relationships/hyperlink" Target="https://theicct.org/sites/default/files/publications/EV-life-cycle-GHG_ICCT-Briefing_09012021_vF.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theclimategroup.org/ev100-progress-report-2023" TargetMode="External"/><Relationship Id="rId7" Type="http://schemas.openxmlformats.org/officeDocument/2006/relationships/image" Target="media/image1.png"/><Relationship Id="rId12" Type="http://schemas.openxmlformats.org/officeDocument/2006/relationships/hyperlink" Target="https://marriott.gcs-web.com/static-files/5d62a4a8-4a0b-4c3f-89b2-2b7f9f3d3c4d" TargetMode="External"/><Relationship Id="rId17" Type="http://schemas.openxmlformats.org/officeDocument/2006/relationships/hyperlink" Target="https://www.euro.who.int/__data/assets/pdf_file/0008/383921/noise-guidelines-eng.pdf" TargetMode="External"/><Relationship Id="rId25" Type="http://schemas.openxmlformats.org/officeDocument/2006/relationships/hyperlink" Target="https://www.europarl.europa.eu/" TargetMode="External"/><Relationship Id="rId2" Type="http://schemas.openxmlformats.org/officeDocument/2006/relationships/styles" Target="styles.xml"/><Relationship Id="rId16" Type="http://schemas.openxmlformats.org/officeDocument/2006/relationships/hyperlink" Target="https://www.c40.org/case-studies/the-cost-of-urban-congestion-in-barcelona/" TargetMode="External"/><Relationship Id="rId20" Type="http://schemas.openxmlformats.org/officeDocument/2006/relationships/hyperlink" Target="https://global.toyota/en/newsroom/corporate/36472225.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ure.com/articles/s41558-018-0141-x" TargetMode="External"/><Relationship Id="rId24" Type="http://schemas.openxmlformats.org/officeDocument/2006/relationships/hyperlink" Target="https://www.researchgate.net/figure/Transport-CO2-emissions-in-the-EU-and-breakdown-by-transport-mode-Source-5_fig1_354572007" TargetMode="External"/><Relationship Id="rId5" Type="http://schemas.openxmlformats.org/officeDocument/2006/relationships/footnotes" Target="footnotes.xml"/><Relationship Id="rId15" Type="http://schemas.openxmlformats.org/officeDocument/2006/relationships/hyperlink" Target="https://www.epa.gov/system/files/documents/2021-04/emission-factors_apr2021.pdf" TargetMode="External"/><Relationship Id="rId23" Type="http://schemas.openxmlformats.org/officeDocument/2006/relationships/hyperlink" Target="https://wttc.org/Research/Environmental-Social-Research" TargetMode="External"/><Relationship Id="rId28" Type="http://schemas.openxmlformats.org/officeDocument/2006/relationships/theme" Target="theme/theme1.xml"/><Relationship Id="rId10" Type="http://schemas.openxmlformats.org/officeDocument/2006/relationships/hyperlink" Target="https://www.iea.org/reports/co2-emissions-from-road-transport" TargetMode="External"/><Relationship Id="rId19" Type="http://schemas.openxmlformats.org/officeDocument/2006/relationships/hyperlink" Target="https://www.sysco.com/sustainability/Sysco_2022_Sustainability_Report.pdf" TargetMode="External"/><Relationship Id="rId4" Type="http://schemas.openxmlformats.org/officeDocument/2006/relationships/webSettings" Target="webSettings.xml"/><Relationship Id="rId9" Type="http://schemas.openxmlformats.org/officeDocument/2006/relationships/hyperlink" Target="https://www.ahla.com/sites/default/files/2020_sustainability_benchmarking_report.pdf" TargetMode="External"/><Relationship Id="rId14" Type="http://schemas.openxmlformats.org/officeDocument/2006/relationships/hyperlink" Target="https://www.cleanairfund.org/case-study/deliveroo/" TargetMode="External"/><Relationship Id="rId22" Type="http://schemas.openxmlformats.org/officeDocument/2006/relationships/hyperlink" Target="https://californiahvip.or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289</TotalTime>
  <Pages>14</Pages>
  <Words>2724</Words>
  <Characters>19097</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Modrzejewska;Tudor Radu</dc:creator>
  <cp:keywords/>
  <dc:description/>
  <cp:lastModifiedBy>Klaudia Modrzejewska</cp:lastModifiedBy>
  <cp:revision>59</cp:revision>
  <dcterms:created xsi:type="dcterms:W3CDTF">2025-03-03T10:03:00Z</dcterms:created>
  <dcterms:modified xsi:type="dcterms:W3CDTF">2025-03-06T20:25:00Z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47c3e410-9fff-42cc-9235-963f471d0839</vt:lpwstr>
  </property>
</Properties>
</file>