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svg" ContentType="image/svg+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jc w:val="center"/>
        <w:rPr>
          <w:sz w:val="40"/>
        </w:rPr>
      </w:pPr>
    </w:p>
    <w:p w14:paraId="00000006">
      <w:pPr>
        <w:jc w:val="center"/>
        <w:rPr>
          <w:b/>
          <w:bCs/>
          <w:sz w:val="72"/>
          <w:szCs w:val="36"/>
        </w:rPr>
      </w:pPr>
      <w:r>
        <w:rPr>
          <w:b/>
          <w:bCs/>
          <w:sz w:val="72"/>
          <w:szCs w:val="36"/>
        </w:rPr>
        <w:t>Business Plan for</w:t>
      </w:r>
    </w:p>
    <w:p w14:paraId="00000007">
      <w:pPr>
        <w:pBdr>
          <w:top w:val="single" w:color="auto" w:sz="4" w:space="1"/>
          <w:left w:val="single" w:color="auto" w:sz="4" w:space="4"/>
          <w:bottom w:val="single" w:color="auto" w:sz="4" w:space="17"/>
          <w:right w:val="single" w:color="auto" w:sz="4" w:space="4"/>
        </w:pBdr>
        <w:jc w:val="center"/>
        <w:rPr>
          <w:color w:val="bfbfbf" w:themeColor="background1" w:themeShade="bf"/>
          <w:sz w:val="40"/>
        </w:rPr>
      </w:pPr>
      <w:r>
        <w:rPr>
          <w:color w:val="bfbfbf" w:themeColor="background1" w:themeShade="bf"/>
          <w:sz w:val="40"/>
        </w:rPr>
        <w:t>Seafood Shack</w:t>
      </w:r>
    </w:p>
    <w:p w14:paraId="00000008">
      <w:pPr>
        <w:jc w:val="center"/>
        <w:rPr>
          <w:sz w:val="40"/>
        </w:rPr>
      </w:pPr>
    </w:p>
    <w:p w14:paraId="00000009">
      <w:pPr>
        <w:jc w:val="center"/>
        <w:rPr>
          <w:sz w:val="40"/>
        </w:rPr>
      </w:pPr>
      <w:r>
        <w:rPr/>
        <w:drawing xmlns:mc="http://schemas.openxmlformats.org/markup-compatibility/2006">
          <wp:inline distT="0" distB="0" distL="0" distR="0">
            <wp:extent cx="1964739" cy="1291992"/>
            <wp:effectExtent l="0" t="0" r="0" b="0"/>
            <wp:docPr id="200949316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389847" name="Picture 2"/>
                    <pic:cNvPicPr>
                      <a:picLocks noChangeAspect="1" noChangeArrowheads="1"/>
                    </pic:cNvPicPr>
                  </pic:nvPicPr>
                  <pic:blipFill>
                    <a:blip r:embed="rId38"/>
                    <a:srcRect/>
                    <a:stretch>
                      <a:fillRect/>
                    </a:stretch>
                  </pic:blipFill>
                  <pic:spPr>
                    <a:xfrm>
                      <a:off x="0" y="0"/>
                      <a:ext cx="1964739" cy="1291992"/>
                    </a:xfrm>
                    <a:prstGeom prst="rect">
                      <a:avLst/>
                    </a:prstGeom>
                    <a:noFill/>
                    <a:ln>
                      <a:noFill/>
                    </a:ln>
                  </pic:spPr>
                </pic:pic>
              </a:graphicData>
            </a:graphic>
          </wp:inline>
        </w:drawing>
      </w:r>
    </w:p>
    <w:p w14:paraId="0000000A">
      <w:pPr>
        <w:rPr>
          <w:sz w:val="40"/>
        </w:rPr>
      </w:pPr>
    </w:p>
    <w:p w14:paraId="0000000B">
      <w:pPr>
        <w:jc w:val="center"/>
        <w:rPr>
          <w:b/>
          <w:bCs/>
          <w:sz w:val="40"/>
        </w:rPr>
      </w:pPr>
      <w:r>
        <w:rPr>
          <w:b/>
          <w:bCs/>
          <w:sz w:val="40"/>
        </w:rPr>
        <w:t>Produced By:</w:t>
      </w:r>
    </w:p>
    <w:p w14:paraId="0000000C">
      <w:pPr>
        <w:jc w:val="center"/>
        <w:rPr>
          <w:sz w:val="40"/>
        </w:rPr>
      </w:pPr>
    </w:p>
    <w:p w14:paraId="0000000D">
      <w:pPr>
        <w:jc w:val="center"/>
        <w:rPr>
          <w:sz w:val="40"/>
        </w:rPr>
      </w:pPr>
    </w:p>
    <w:p w14:paraId="0000000E">
      <w:pPr>
        <w:rPr>
          <w:i/>
          <w:iCs/>
          <w:sz w:val="40"/>
        </w:rPr>
      </w:pPr>
      <w:r>
        <w:rPr>
          <w:i/>
          <w:iCs/>
          <w:sz w:val="40"/>
        </w:rPr>
        <w:t>GROUP MEMBERS:</w:t>
      </w:r>
    </w:p>
    <w:tbl>
      <w:tblPr>
        <w:tblStyle w:val="TableGrid"/>
        <w:tblW w:w="9067" w:type="dxa"/>
        <w:tblLook w:val="04A0"/>
      </w:tblPr>
      <w:tblGrid>
        <w:gridCol w:w="5949"/>
        <w:gridCol w:w="3118"/>
      </w:tblGrid>
      <w:tr>
        <w:trPr/>
        <w:tc>
          <w:tcPr>
            <w:cnfStyle w:val="101000000000"/>
            <w:tcW w:w="5949" w:type="dxa"/>
          </w:tcPr>
          <w:p w14:paraId="0000000F">
            <w:pPr>
              <w:rPr>
                <w:sz w:val="40"/>
              </w:rPr>
            </w:pPr>
            <w:r>
              <w:rPr>
                <w:sz w:val="40"/>
              </w:rPr>
              <w:t>Student Name</w:t>
            </w:r>
          </w:p>
        </w:tc>
        <w:tc>
          <w:tcPr>
            <w:cnfStyle w:val="100000000000"/>
            <w:tcW w:w="3118" w:type="dxa"/>
          </w:tcPr>
          <w:p w14:paraId="00000010">
            <w:pPr>
              <w:jc w:val="center"/>
              <w:rPr>
                <w:sz w:val="40"/>
              </w:rPr>
            </w:pPr>
            <w:r>
              <w:rPr>
                <w:sz w:val="40"/>
              </w:rPr>
              <w:t>Student No.</w:t>
            </w:r>
          </w:p>
        </w:tc>
      </w:tr>
      <w:tr>
        <w:trPr/>
        <w:tc>
          <w:tcPr>
            <w:cnfStyle w:val="001000100000"/>
            <w:tcW w:w="5949" w:type="dxa"/>
          </w:tcPr>
          <w:p w14:paraId="00000011">
            <w:pPr>
              <w:jc w:val="center"/>
              <w:rPr>
                <w:sz w:val="40"/>
              </w:rPr>
            </w:pPr>
            <w:r>
              <w:rPr>
                <w:sz w:val="40"/>
              </w:rPr>
              <w:t>Farhad Chowdhury</w:t>
            </w:r>
          </w:p>
        </w:tc>
        <w:tc>
          <w:tcPr>
            <w:cnfStyle w:val="000000100000"/>
            <w:tcW w:w="3118" w:type="dxa"/>
          </w:tcPr>
          <w:p w14:paraId="00000012">
            <w:pPr>
              <w:jc w:val="center"/>
              <w:rPr>
                <w:sz w:val="40"/>
              </w:rPr>
            </w:pPr>
            <w:r>
              <w:rPr>
                <w:sz w:val="40"/>
              </w:rPr>
              <w:t>2233893</w:t>
            </w:r>
          </w:p>
        </w:tc>
      </w:tr>
      <w:tr>
        <w:trPr/>
        <w:tc>
          <w:tcPr>
            <w:cnfStyle w:val="001000010000"/>
            <w:tcW w:w="5949" w:type="dxa"/>
          </w:tcPr>
          <w:p w14:paraId="00000013">
            <w:pPr>
              <w:rPr>
                <w:sz w:val="40"/>
              </w:rPr>
            </w:pPr>
            <w:r>
              <w:rPr>
                <w:sz w:val="40"/>
              </w:rPr>
              <w:t xml:space="preserve">             </w:t>
            </w:r>
            <w:r>
              <w:rPr>
                <w:sz w:val="40"/>
              </w:rPr>
              <w:t>Vasile Pitirici</w:t>
            </w:r>
          </w:p>
        </w:tc>
        <w:tc>
          <w:tcPr>
            <w:cnfStyle w:val="000000010000"/>
            <w:tcW w:w="3118" w:type="dxa"/>
          </w:tcPr>
          <w:p w14:paraId="00000014">
            <w:pPr>
              <w:jc w:val="center"/>
              <w:rPr>
                <w:sz w:val="40"/>
              </w:rPr>
            </w:pPr>
            <w:r>
              <w:rPr>
                <w:sz w:val="40"/>
              </w:rPr>
              <w:t>2213442</w:t>
            </w:r>
          </w:p>
        </w:tc>
      </w:tr>
      <w:tr>
        <w:trPr/>
        <w:tc>
          <w:tcPr>
            <w:cnfStyle w:val="001000100000"/>
            <w:tcW w:w="5949" w:type="dxa"/>
          </w:tcPr>
          <w:p w14:paraId="00000015">
            <w:pPr>
              <w:rPr>
                <w:sz w:val="40"/>
              </w:rPr>
            </w:pPr>
            <w:r>
              <w:rPr>
                <w:sz w:val="40"/>
              </w:rPr>
              <w:t xml:space="preserve">             </w:t>
            </w:r>
            <w:r>
              <w:rPr>
                <w:sz w:val="40"/>
              </w:rPr>
              <w:t>Mohammed Miah</w:t>
            </w:r>
          </w:p>
        </w:tc>
        <w:tc>
          <w:tcPr>
            <w:cnfStyle w:val="000000100000"/>
            <w:tcW w:w="3118" w:type="dxa"/>
          </w:tcPr>
          <w:p w14:paraId="00000016">
            <w:pPr>
              <w:jc w:val="center"/>
              <w:rPr>
                <w:sz w:val="40"/>
              </w:rPr>
            </w:pPr>
            <w:r>
              <w:rPr>
                <w:sz w:val="40"/>
              </w:rPr>
              <w:t>2118790</w:t>
            </w:r>
          </w:p>
        </w:tc>
      </w:tr>
      <w:tr>
        <w:trPr/>
        <w:tc>
          <w:tcPr>
            <w:cnfStyle w:val="001000010000"/>
            <w:tcW w:w="5949" w:type="dxa"/>
          </w:tcPr>
          <w:p w14:paraId="00000017">
            <w:pPr>
              <w:rPr>
                <w:sz w:val="40"/>
              </w:rPr>
            </w:pPr>
            <w:r>
              <w:rPr>
                <w:sz w:val="40"/>
              </w:rPr>
              <w:t xml:space="preserve">             </w:t>
            </w:r>
            <w:r>
              <w:rPr>
                <w:sz w:val="40"/>
              </w:rPr>
              <w:t>Kamrul khan</w:t>
            </w:r>
          </w:p>
        </w:tc>
        <w:tc>
          <w:tcPr>
            <w:cnfStyle w:val="000000010000"/>
            <w:tcW w:w="3118" w:type="dxa"/>
          </w:tcPr>
          <w:p w14:paraId="00000018">
            <w:pPr>
              <w:jc w:val="center"/>
              <w:rPr>
                <w:sz w:val="40"/>
              </w:rPr>
            </w:pPr>
            <w:r>
              <w:rPr>
                <w:sz w:val="40"/>
              </w:rPr>
              <w:t>2230751</w:t>
            </w:r>
          </w:p>
        </w:tc>
      </w:tr>
      <w:tr>
        <w:trPr/>
        <w:tc>
          <w:tcPr>
            <w:cnfStyle w:val="001000100000"/>
            <w:tcW w:w="5949" w:type="dxa"/>
          </w:tcPr>
          <w:p w14:paraId="00000019">
            <w:pPr>
              <w:jc w:val="center"/>
              <w:rPr>
                <w:sz w:val="40"/>
              </w:rPr>
            </w:pPr>
          </w:p>
        </w:tc>
        <w:tc>
          <w:tcPr>
            <w:cnfStyle w:val="000000100000"/>
            <w:tcW w:w="3118" w:type="dxa"/>
          </w:tcPr>
          <w:p w14:paraId="0000001A">
            <w:pPr>
              <w:jc w:val="center"/>
              <w:rPr>
                <w:sz w:val="40"/>
              </w:rPr>
            </w:pPr>
          </w:p>
        </w:tc>
      </w:tr>
      <w:tr>
        <w:trPr/>
        <w:tc>
          <w:tcPr>
            <w:cnfStyle w:val="001000010000"/>
            <w:tcW w:w="5949" w:type="dxa"/>
          </w:tcPr>
          <w:p w14:paraId="0000001B">
            <w:pPr>
              <w:jc w:val="center"/>
              <w:rPr>
                <w:sz w:val="40"/>
              </w:rPr>
            </w:pPr>
          </w:p>
        </w:tc>
        <w:tc>
          <w:tcPr>
            <w:cnfStyle w:val="000000010000"/>
            <w:tcW w:w="3118" w:type="dxa"/>
          </w:tcPr>
          <w:p w14:paraId="0000001C">
            <w:pPr>
              <w:jc w:val="center"/>
              <w:rPr>
                <w:sz w:val="40"/>
              </w:rPr>
            </w:pPr>
          </w:p>
        </w:tc>
      </w:tr>
    </w:tbl>
    <w:p w14:paraId="0000001D">
      <w:pPr>
        <w:jc w:val="center"/>
        <w:rPr>
          <w:sz w:val="40"/>
        </w:rPr>
      </w:pPr>
    </w:p>
    <w:p w14:paraId="0000001E">
      <w:pPr>
        <w:jc w:val="center"/>
        <w:rPr>
          <w:sz w:val="40"/>
        </w:rPr>
      </w:pPr>
      <w:r>
        <w:rPr>
          <w:b/>
          <w:bCs/>
          <w:sz w:val="40"/>
        </w:rPr>
        <w:t>Dated</w:t>
      </w:r>
      <w:r>
        <w:rPr>
          <w:sz w:val="40"/>
        </w:rPr>
        <w:t>:  __06/06/2024____________</w:t>
      </w:r>
    </w:p>
    <w:p w14:paraId="0000001F">
      <w:pPr>
        <w:rPr>
          <w:sz w:val="40"/>
        </w:rPr>
      </w:pPr>
    </w:p>
    <w:p w14:paraId="00000020">
      <w:pPr>
        <w:rPr>
          <w:sz w:val="40"/>
        </w:rPr>
      </w:pPr>
      <w:r>
        <w:rPr>
          <w:b/>
          <w:bCs/>
          <w:sz w:val="40"/>
        </w:rPr>
        <w:t>Module Name</w:t>
      </w:r>
      <w:r>
        <w:rPr>
          <w:sz w:val="40"/>
        </w:rPr>
        <w:t>: Entrepreneurship</w:t>
      </w:r>
    </w:p>
    <w:p w14:paraId="00000021">
      <w:pPr>
        <w:rPr>
          <w:sz w:val="40"/>
        </w:rPr>
      </w:pPr>
      <w:r>
        <w:rPr>
          <w:b/>
          <w:bCs/>
          <w:sz w:val="40"/>
        </w:rPr>
        <w:t>Module Code</w:t>
      </w:r>
      <w:r>
        <w:rPr>
          <w:sz w:val="40"/>
        </w:rPr>
        <w:t>: BMIH5001</w:t>
      </w:r>
    </w:p>
    <w:p w14:paraId="00000022">
      <w:pPr>
        <w:rPr>
          <w:b/>
          <w:bCs/>
          <w:sz w:val="40"/>
        </w:rPr>
      </w:pPr>
      <w:r>
        <w:rPr>
          <w:b/>
          <w:bCs/>
          <w:sz w:val="40"/>
        </w:rPr>
        <w:t>Lecturer Name</w:t>
      </w:r>
      <w:r>
        <w:rPr>
          <w:sz w:val="40"/>
        </w:rPr>
        <w:t>:</w:t>
      </w:r>
      <w:r>
        <w:rPr>
          <w:sz w:val="40"/>
        </w:rPr>
        <w:t xml:space="preserve"> </w:t>
      </w:r>
      <w:r>
        <w:rPr>
          <w:sz w:val="40"/>
        </w:rPr>
        <w:t>Charlotte Joyner_____________</w:t>
      </w:r>
      <w:r>
        <w:rPr/>
        <w:br w:type="page"/>
      </w:r>
    </w:p>
    <w:p w14:paraId="00000023">
      <w:pPr>
        <w:pStyle w:val="Heading4"/>
        <w:rPr>
          <w:rFonts w:ascii="Times New Roman" w:cs="Times New Roman" w:hAnsi="Times New Roman"/>
        </w:rPr>
      </w:pPr>
      <w:r>
        <w:rPr>
          <w:rFonts w:ascii="Times New Roman" w:cs="Times New Roman" w:hAnsi="Times New Roman"/>
        </w:rPr>
        <w:t>CONTENTS</w:t>
      </w:r>
    </w:p>
    <w:p w14:paraId="00000024"/>
    <w:p w14:paraId="00000025"/>
    <w:p w14:paraId="00000026"/>
    <w:tbl>
      <w:tblPr>
        <w:tblW w:w="0" w:type="auto"/>
        <w:tblLook w:val="01E0"/>
      </w:tblPr>
      <w:tblGrid>
        <w:gridCol w:w="948"/>
        <w:gridCol w:w="404"/>
        <w:gridCol w:w="1162"/>
        <w:gridCol w:w="3230"/>
        <w:gridCol w:w="1886"/>
        <w:gridCol w:w="360"/>
        <w:gridCol w:w="1081"/>
      </w:tblGrid>
      <w:tr>
        <w:trPr/>
        <w:tc>
          <w:tcPr>
            <w:cnfStyle w:val="101000000000"/>
            <w:tcW w:w="948" w:type="dxa"/>
            <w:shd w:val="clear" w:color="auto" w:fill="auto"/>
          </w:tcPr>
          <w:p w14:paraId="00000027">
            <w:pPr>
              <w:spacing w:before="120" w:after="120"/>
              <w:rPr>
                <w:sz w:val="28"/>
                <w:szCs w:val="28"/>
              </w:rPr>
            </w:pPr>
          </w:p>
        </w:tc>
        <w:tc>
          <w:tcPr>
            <w:cnfStyle w:val="100010000000"/>
            <w:tcW w:w="4796" w:type="dxa"/>
            <w:gridSpan w:val="3"/>
            <w:shd w:val="clear" w:color="auto" w:fill="auto"/>
          </w:tcPr>
          <w:p w14:paraId="00000028">
            <w:pPr>
              <w:spacing w:before="120" w:after="120"/>
              <w:rPr>
                <w:sz w:val="28"/>
                <w:szCs w:val="28"/>
              </w:rPr>
            </w:pPr>
          </w:p>
        </w:tc>
        <w:tc>
          <w:tcPr>
            <w:cnfStyle w:val="100001000000"/>
            <w:tcW w:w="2246" w:type="dxa"/>
            <w:gridSpan w:val="2"/>
            <w:shd w:val="clear" w:color="auto" w:fill="auto"/>
          </w:tcPr>
          <w:p w14:paraId="00000029">
            <w:pPr>
              <w:spacing w:before="120" w:after="120"/>
              <w:rPr>
                <w:sz w:val="28"/>
                <w:szCs w:val="28"/>
              </w:rPr>
            </w:pPr>
            <w:r>
              <w:rPr>
                <w:sz w:val="28"/>
                <w:szCs w:val="28"/>
              </w:rPr>
              <w:t>PAGE</w:t>
            </w:r>
          </w:p>
        </w:tc>
        <w:tc>
          <w:tcPr>
            <w:cnfStyle w:val="100100000000"/>
            <w:tcW w:w="1081" w:type="dxa"/>
            <w:shd w:val="clear" w:color="auto" w:fill="auto"/>
          </w:tcPr>
          <w:p w14:paraId="0000002A">
            <w:pPr>
              <w:spacing w:before="120" w:after="120"/>
              <w:rPr>
                <w:sz w:val="28"/>
                <w:szCs w:val="28"/>
              </w:rPr>
            </w:pPr>
          </w:p>
        </w:tc>
      </w:tr>
      <w:tr>
        <w:trPr/>
        <w:tc>
          <w:tcPr>
            <w:cnfStyle w:val="001000100000"/>
            <w:tcW w:w="948" w:type="dxa"/>
            <w:shd w:val="clear" w:color="auto" w:fill="auto"/>
          </w:tcPr>
          <w:p w14:paraId="0000002B">
            <w:pPr>
              <w:spacing w:before="120" w:after="120"/>
              <w:rPr>
                <w:b/>
                <w:sz w:val="28"/>
                <w:szCs w:val="28"/>
              </w:rPr>
            </w:pPr>
            <w:r>
              <w:rPr>
                <w:b/>
                <w:sz w:val="28"/>
                <w:szCs w:val="28"/>
              </w:rPr>
              <w:t xml:space="preserve">1. </w:t>
            </w:r>
          </w:p>
        </w:tc>
        <w:tc>
          <w:tcPr>
            <w:cnfStyle w:val="000010100000"/>
            <w:tcW w:w="4796" w:type="dxa"/>
            <w:gridSpan w:val="3"/>
            <w:shd w:val="clear" w:color="auto" w:fill="auto"/>
          </w:tcPr>
          <w:p w14:paraId="0000002C">
            <w:pPr>
              <w:spacing w:before="120" w:after="120"/>
              <w:rPr>
                <w:sz w:val="28"/>
                <w:szCs w:val="28"/>
              </w:rPr>
            </w:pPr>
            <w:r>
              <w:rPr>
                <w:sz w:val="28"/>
                <w:szCs w:val="28"/>
              </w:rPr>
              <w:t>Executive Summary</w:t>
            </w:r>
          </w:p>
        </w:tc>
        <w:tc>
          <w:tcPr>
            <w:cnfStyle w:val="000001100000"/>
            <w:tcW w:w="2246" w:type="dxa"/>
            <w:gridSpan w:val="2"/>
            <w:shd w:val="clear" w:color="auto" w:fill="auto"/>
          </w:tcPr>
          <w:p w14:paraId="0000002D">
            <w:pPr>
              <w:spacing w:before="120" w:after="120"/>
              <w:rPr>
                <w:sz w:val="28"/>
                <w:szCs w:val="28"/>
              </w:rPr>
            </w:pPr>
            <w:r>
              <w:rPr>
                <w:sz w:val="28"/>
                <w:szCs w:val="28"/>
              </w:rPr>
              <w:t>2</w:t>
            </w:r>
          </w:p>
        </w:tc>
        <w:tc>
          <w:tcPr>
            <w:cnfStyle w:val="000100100000"/>
            <w:tcW w:w="1081" w:type="dxa"/>
            <w:shd w:val="clear" w:color="auto" w:fill="auto"/>
          </w:tcPr>
          <w:p w14:paraId="0000002E">
            <w:pPr>
              <w:spacing w:before="120" w:after="120"/>
              <w:rPr>
                <w:sz w:val="28"/>
                <w:szCs w:val="28"/>
              </w:rPr>
            </w:pPr>
          </w:p>
        </w:tc>
      </w:tr>
      <w:tr>
        <w:trPr/>
        <w:tc>
          <w:tcPr>
            <w:cnfStyle w:val="001000010000"/>
            <w:tcW w:w="948" w:type="dxa"/>
            <w:shd w:val="clear" w:color="auto" w:fill="auto"/>
          </w:tcPr>
          <w:p w14:paraId="0000002F">
            <w:pPr>
              <w:spacing w:before="120" w:after="120"/>
              <w:rPr>
                <w:b/>
                <w:sz w:val="28"/>
                <w:szCs w:val="28"/>
              </w:rPr>
            </w:pPr>
            <w:r>
              <w:rPr>
                <w:b/>
                <w:sz w:val="28"/>
                <w:szCs w:val="28"/>
              </w:rPr>
              <w:t>2.</w:t>
            </w:r>
          </w:p>
        </w:tc>
        <w:tc>
          <w:tcPr>
            <w:cnfStyle w:val="000010010000"/>
            <w:tcW w:w="4796" w:type="dxa"/>
            <w:gridSpan w:val="3"/>
            <w:shd w:val="clear" w:color="auto" w:fill="auto"/>
          </w:tcPr>
          <w:p w14:paraId="00000030">
            <w:pPr>
              <w:spacing w:before="120" w:after="120"/>
              <w:rPr>
                <w:sz w:val="28"/>
                <w:szCs w:val="28"/>
              </w:rPr>
            </w:pPr>
            <w:r>
              <w:rPr>
                <w:sz w:val="28"/>
                <w:szCs w:val="28"/>
              </w:rPr>
              <w:t xml:space="preserve">The Business Idea </w:t>
            </w:r>
          </w:p>
        </w:tc>
        <w:tc>
          <w:tcPr>
            <w:cnfStyle w:val="000001010000"/>
            <w:tcW w:w="2246" w:type="dxa"/>
            <w:gridSpan w:val="2"/>
            <w:shd w:val="clear" w:color="auto" w:fill="auto"/>
          </w:tcPr>
          <w:p w14:paraId="00000031">
            <w:pPr>
              <w:spacing w:before="120" w:after="120"/>
              <w:rPr>
                <w:sz w:val="28"/>
                <w:szCs w:val="28"/>
              </w:rPr>
            </w:pPr>
            <w:r>
              <w:rPr>
                <w:sz w:val="28"/>
                <w:szCs w:val="28"/>
              </w:rPr>
              <w:t>3</w:t>
            </w:r>
          </w:p>
        </w:tc>
        <w:tc>
          <w:tcPr>
            <w:cnfStyle w:val="000100010000"/>
            <w:tcW w:w="1081" w:type="dxa"/>
            <w:shd w:val="clear" w:color="auto" w:fill="auto"/>
          </w:tcPr>
          <w:p w14:paraId="00000032">
            <w:pPr>
              <w:spacing w:before="120" w:after="120"/>
              <w:rPr>
                <w:sz w:val="28"/>
                <w:szCs w:val="28"/>
              </w:rPr>
            </w:pPr>
          </w:p>
        </w:tc>
      </w:tr>
      <w:tr>
        <w:trPr/>
        <w:tc>
          <w:tcPr>
            <w:cnfStyle w:val="001000100000"/>
            <w:tcW w:w="948" w:type="dxa"/>
            <w:shd w:val="clear" w:color="auto" w:fill="auto"/>
          </w:tcPr>
          <w:p w14:paraId="00000033">
            <w:pPr>
              <w:spacing w:before="120" w:after="120"/>
              <w:rPr>
                <w:b/>
                <w:sz w:val="28"/>
                <w:szCs w:val="28"/>
              </w:rPr>
            </w:pPr>
            <w:r>
              <w:rPr>
                <w:b/>
                <w:sz w:val="28"/>
                <w:szCs w:val="28"/>
              </w:rPr>
              <w:t>3.</w:t>
            </w:r>
          </w:p>
        </w:tc>
        <w:tc>
          <w:tcPr>
            <w:cnfStyle w:val="000010100000"/>
            <w:tcW w:w="4796" w:type="dxa"/>
            <w:gridSpan w:val="3"/>
            <w:shd w:val="clear" w:color="auto" w:fill="auto"/>
          </w:tcPr>
          <w:p w14:paraId="00000034">
            <w:pPr>
              <w:spacing w:before="120" w:after="120"/>
              <w:rPr>
                <w:sz w:val="28"/>
                <w:szCs w:val="28"/>
              </w:rPr>
            </w:pPr>
            <w:r>
              <w:rPr>
                <w:sz w:val="28"/>
                <w:szCs w:val="28"/>
              </w:rPr>
              <w:t xml:space="preserve">The Team </w:t>
            </w:r>
          </w:p>
        </w:tc>
        <w:tc>
          <w:tcPr>
            <w:cnfStyle w:val="000001100000"/>
            <w:tcW w:w="2246" w:type="dxa"/>
            <w:gridSpan w:val="2"/>
            <w:shd w:val="clear" w:color="auto" w:fill="auto"/>
          </w:tcPr>
          <w:p w14:paraId="00000035">
            <w:pPr>
              <w:spacing w:before="120" w:after="120"/>
              <w:rPr>
                <w:sz w:val="28"/>
                <w:szCs w:val="28"/>
              </w:rPr>
            </w:pPr>
            <w:r>
              <w:rPr>
                <w:sz w:val="28"/>
                <w:szCs w:val="28"/>
              </w:rPr>
              <w:t>5</w:t>
            </w:r>
          </w:p>
        </w:tc>
        <w:tc>
          <w:tcPr>
            <w:cnfStyle w:val="000100100000"/>
            <w:tcW w:w="1081" w:type="dxa"/>
            <w:shd w:val="clear" w:color="auto" w:fill="auto"/>
          </w:tcPr>
          <w:p w14:paraId="00000036">
            <w:pPr>
              <w:spacing w:before="120" w:after="120"/>
              <w:rPr>
                <w:sz w:val="28"/>
                <w:szCs w:val="28"/>
              </w:rPr>
            </w:pPr>
          </w:p>
        </w:tc>
      </w:tr>
      <w:tr>
        <w:trPr/>
        <w:tc>
          <w:tcPr>
            <w:cnfStyle w:val="001000010000"/>
            <w:tcW w:w="948" w:type="dxa"/>
            <w:shd w:val="clear" w:color="auto" w:fill="auto"/>
          </w:tcPr>
          <w:p w14:paraId="00000037">
            <w:pPr>
              <w:spacing w:before="120" w:after="120"/>
              <w:rPr>
                <w:b/>
                <w:sz w:val="28"/>
                <w:szCs w:val="28"/>
              </w:rPr>
            </w:pPr>
            <w:r>
              <w:rPr>
                <w:b/>
                <w:sz w:val="28"/>
                <w:szCs w:val="28"/>
              </w:rPr>
              <w:t>4.</w:t>
            </w:r>
          </w:p>
        </w:tc>
        <w:tc>
          <w:tcPr>
            <w:cnfStyle w:val="000010010000"/>
            <w:tcW w:w="4796" w:type="dxa"/>
            <w:gridSpan w:val="3"/>
            <w:shd w:val="clear" w:color="auto" w:fill="auto"/>
          </w:tcPr>
          <w:p w14:paraId="00000038">
            <w:pPr>
              <w:spacing w:before="120" w:after="120"/>
              <w:rPr>
                <w:sz w:val="28"/>
                <w:szCs w:val="28"/>
              </w:rPr>
            </w:pPr>
            <w:r>
              <w:rPr>
                <w:sz w:val="28"/>
                <w:szCs w:val="28"/>
              </w:rPr>
              <w:t xml:space="preserve">Market Research </w:t>
            </w:r>
          </w:p>
        </w:tc>
        <w:tc>
          <w:tcPr>
            <w:cnfStyle w:val="000001010000"/>
            <w:tcW w:w="2246" w:type="dxa"/>
            <w:gridSpan w:val="2"/>
            <w:shd w:val="clear" w:color="auto" w:fill="auto"/>
          </w:tcPr>
          <w:p w14:paraId="00000039">
            <w:pPr>
              <w:spacing w:before="120" w:after="120"/>
              <w:rPr>
                <w:sz w:val="28"/>
                <w:szCs w:val="28"/>
              </w:rPr>
            </w:pPr>
            <w:r>
              <w:rPr>
                <w:sz w:val="28"/>
                <w:szCs w:val="28"/>
              </w:rPr>
              <w:t>8</w:t>
            </w:r>
          </w:p>
        </w:tc>
        <w:tc>
          <w:tcPr>
            <w:cnfStyle w:val="000100010000"/>
            <w:tcW w:w="1081" w:type="dxa"/>
            <w:shd w:val="clear" w:color="auto" w:fill="auto"/>
          </w:tcPr>
          <w:p w14:paraId="0000003A">
            <w:pPr>
              <w:spacing w:before="120" w:after="120"/>
              <w:rPr>
                <w:sz w:val="28"/>
                <w:szCs w:val="28"/>
              </w:rPr>
            </w:pPr>
          </w:p>
        </w:tc>
      </w:tr>
      <w:tr>
        <w:trPr/>
        <w:tc>
          <w:tcPr>
            <w:cnfStyle w:val="001000100000"/>
            <w:tcW w:w="948" w:type="dxa"/>
            <w:shd w:val="clear" w:color="auto" w:fill="auto"/>
          </w:tcPr>
          <w:p w14:paraId="0000003B">
            <w:pPr>
              <w:spacing w:before="120" w:after="120"/>
              <w:rPr>
                <w:b/>
                <w:sz w:val="28"/>
                <w:szCs w:val="28"/>
              </w:rPr>
            </w:pPr>
            <w:r>
              <w:rPr>
                <w:b/>
                <w:sz w:val="28"/>
                <w:szCs w:val="28"/>
              </w:rPr>
              <w:t>5.</w:t>
            </w:r>
          </w:p>
        </w:tc>
        <w:tc>
          <w:tcPr>
            <w:cnfStyle w:val="000010100000"/>
            <w:tcW w:w="4796" w:type="dxa"/>
            <w:gridSpan w:val="3"/>
            <w:shd w:val="clear" w:color="auto" w:fill="auto"/>
          </w:tcPr>
          <w:p w14:paraId="0000003C">
            <w:pPr>
              <w:spacing w:before="120" w:after="120"/>
              <w:rPr>
                <w:sz w:val="28"/>
                <w:szCs w:val="28"/>
              </w:rPr>
            </w:pPr>
            <w:r>
              <w:rPr>
                <w:sz w:val="28"/>
                <w:szCs w:val="28"/>
              </w:rPr>
              <w:t>Marketing Plan</w:t>
            </w:r>
          </w:p>
        </w:tc>
        <w:tc>
          <w:tcPr>
            <w:cnfStyle w:val="000001100000"/>
            <w:tcW w:w="2246" w:type="dxa"/>
            <w:gridSpan w:val="2"/>
            <w:shd w:val="clear" w:color="auto" w:fill="auto"/>
          </w:tcPr>
          <w:p w14:paraId="0000003D">
            <w:pPr>
              <w:spacing w:before="120" w:after="120"/>
              <w:rPr>
                <w:sz w:val="28"/>
                <w:szCs w:val="28"/>
              </w:rPr>
            </w:pPr>
            <w:r>
              <w:rPr>
                <w:sz w:val="28"/>
                <w:szCs w:val="28"/>
              </w:rPr>
              <w:t>10</w:t>
            </w:r>
          </w:p>
        </w:tc>
        <w:tc>
          <w:tcPr>
            <w:cnfStyle w:val="000100100000"/>
            <w:tcW w:w="1081" w:type="dxa"/>
            <w:shd w:val="clear" w:color="auto" w:fill="auto"/>
          </w:tcPr>
          <w:p w14:paraId="0000003E">
            <w:pPr>
              <w:spacing w:before="120" w:after="120"/>
              <w:rPr>
                <w:sz w:val="28"/>
                <w:szCs w:val="28"/>
              </w:rPr>
            </w:pPr>
          </w:p>
        </w:tc>
      </w:tr>
      <w:tr>
        <w:trPr/>
        <w:tc>
          <w:tcPr>
            <w:cnfStyle w:val="001000010000"/>
            <w:tcW w:w="948" w:type="dxa"/>
            <w:shd w:val="clear" w:color="auto" w:fill="auto"/>
          </w:tcPr>
          <w:p w14:paraId="0000003F">
            <w:pPr>
              <w:spacing w:before="120" w:after="120"/>
              <w:rPr>
                <w:b/>
                <w:sz w:val="28"/>
                <w:szCs w:val="28"/>
              </w:rPr>
            </w:pPr>
            <w:r>
              <w:rPr>
                <w:b/>
                <w:sz w:val="28"/>
                <w:szCs w:val="28"/>
              </w:rPr>
              <w:t>6.</w:t>
            </w:r>
          </w:p>
        </w:tc>
        <w:tc>
          <w:tcPr>
            <w:cnfStyle w:val="000010010000"/>
            <w:tcW w:w="4796" w:type="dxa"/>
            <w:gridSpan w:val="3"/>
            <w:shd w:val="clear" w:color="auto" w:fill="auto"/>
          </w:tcPr>
          <w:p w14:paraId="00000040">
            <w:pPr>
              <w:spacing w:before="120" w:after="120"/>
              <w:rPr>
                <w:sz w:val="28"/>
                <w:szCs w:val="28"/>
              </w:rPr>
            </w:pPr>
            <w:r>
              <w:rPr>
                <w:sz w:val="28"/>
                <w:szCs w:val="28"/>
              </w:rPr>
              <w:t xml:space="preserve">Key Resources </w:t>
            </w:r>
          </w:p>
        </w:tc>
        <w:tc>
          <w:tcPr>
            <w:cnfStyle w:val="000001010000"/>
            <w:tcW w:w="2246" w:type="dxa"/>
            <w:gridSpan w:val="2"/>
            <w:shd w:val="clear" w:color="auto" w:fill="auto"/>
          </w:tcPr>
          <w:p w14:paraId="00000041">
            <w:pPr>
              <w:spacing w:before="120" w:after="120"/>
              <w:rPr>
                <w:sz w:val="28"/>
                <w:szCs w:val="28"/>
              </w:rPr>
            </w:pPr>
            <w:r>
              <w:rPr>
                <w:sz w:val="28"/>
                <w:szCs w:val="28"/>
              </w:rPr>
              <w:t>11</w:t>
            </w:r>
          </w:p>
        </w:tc>
        <w:tc>
          <w:tcPr>
            <w:cnfStyle w:val="000100010000"/>
            <w:tcW w:w="1081" w:type="dxa"/>
            <w:shd w:val="clear" w:color="auto" w:fill="auto"/>
          </w:tcPr>
          <w:p w14:paraId="00000042">
            <w:pPr>
              <w:spacing w:before="120" w:after="120"/>
              <w:rPr>
                <w:sz w:val="28"/>
                <w:szCs w:val="28"/>
              </w:rPr>
            </w:pPr>
          </w:p>
        </w:tc>
      </w:tr>
      <w:tr>
        <w:trPr/>
        <w:tc>
          <w:tcPr>
            <w:cnfStyle w:val="001000100000"/>
            <w:tcW w:w="948" w:type="dxa"/>
            <w:shd w:val="clear" w:color="auto" w:fill="auto"/>
          </w:tcPr>
          <w:p w14:paraId="00000043">
            <w:pPr>
              <w:spacing w:before="120" w:after="120"/>
              <w:rPr>
                <w:b/>
                <w:sz w:val="28"/>
                <w:szCs w:val="28"/>
              </w:rPr>
            </w:pPr>
            <w:r>
              <w:rPr>
                <w:b/>
                <w:sz w:val="28"/>
                <w:szCs w:val="28"/>
              </w:rPr>
              <w:t>7.</w:t>
            </w:r>
          </w:p>
        </w:tc>
        <w:tc>
          <w:tcPr>
            <w:cnfStyle w:val="000010100000"/>
            <w:tcW w:w="4796" w:type="dxa"/>
            <w:gridSpan w:val="3"/>
            <w:shd w:val="clear" w:color="auto" w:fill="auto"/>
          </w:tcPr>
          <w:p w14:paraId="00000044">
            <w:pPr>
              <w:spacing w:before="120" w:after="120"/>
              <w:rPr>
                <w:sz w:val="28"/>
                <w:szCs w:val="28"/>
              </w:rPr>
            </w:pPr>
            <w:r>
              <w:rPr>
                <w:sz w:val="28"/>
                <w:szCs w:val="28"/>
              </w:rPr>
              <w:t>Finances &amp; Start-Up Support</w:t>
            </w:r>
          </w:p>
        </w:tc>
        <w:tc>
          <w:tcPr>
            <w:cnfStyle w:val="000001100000"/>
            <w:tcW w:w="2246" w:type="dxa"/>
            <w:gridSpan w:val="2"/>
            <w:shd w:val="clear" w:color="auto" w:fill="auto"/>
          </w:tcPr>
          <w:p w14:paraId="00000045">
            <w:pPr>
              <w:spacing w:before="120" w:after="120"/>
              <w:rPr>
                <w:sz w:val="28"/>
                <w:szCs w:val="28"/>
              </w:rPr>
            </w:pPr>
            <w:r>
              <w:rPr>
                <w:sz w:val="28"/>
                <w:szCs w:val="28"/>
              </w:rPr>
              <w:t>13</w:t>
            </w:r>
          </w:p>
        </w:tc>
        <w:tc>
          <w:tcPr>
            <w:cnfStyle w:val="000100100000"/>
            <w:tcW w:w="1081" w:type="dxa"/>
            <w:shd w:val="clear" w:color="auto" w:fill="auto"/>
          </w:tcPr>
          <w:p w14:paraId="00000046">
            <w:pPr>
              <w:spacing w:before="120" w:after="120"/>
              <w:rPr>
                <w:sz w:val="28"/>
                <w:szCs w:val="28"/>
              </w:rPr>
            </w:pPr>
          </w:p>
        </w:tc>
      </w:tr>
      <w:tr>
        <w:trPr/>
        <w:tc>
          <w:tcPr>
            <w:cnfStyle w:val="001000010000"/>
            <w:tcW w:w="948" w:type="dxa"/>
            <w:shd w:val="clear" w:color="auto" w:fill="auto"/>
          </w:tcPr>
          <w:p w14:paraId="00000047">
            <w:pPr>
              <w:spacing w:before="120" w:after="120"/>
              <w:rPr>
                <w:sz w:val="28"/>
                <w:szCs w:val="28"/>
              </w:rPr>
            </w:pPr>
          </w:p>
        </w:tc>
        <w:tc>
          <w:tcPr>
            <w:cnfStyle w:val="000010010000"/>
            <w:tcW w:w="4796" w:type="dxa"/>
            <w:gridSpan w:val="3"/>
            <w:shd w:val="clear" w:color="auto" w:fill="auto"/>
          </w:tcPr>
          <w:p w14:paraId="00000048">
            <w:pPr>
              <w:spacing w:before="120" w:after="120"/>
              <w:rPr>
                <w:sz w:val="28"/>
                <w:szCs w:val="28"/>
              </w:rPr>
            </w:pPr>
          </w:p>
        </w:tc>
        <w:tc>
          <w:tcPr>
            <w:cnfStyle w:val="000001010000"/>
            <w:tcW w:w="2246" w:type="dxa"/>
            <w:gridSpan w:val="2"/>
            <w:shd w:val="clear" w:color="auto" w:fill="auto"/>
          </w:tcPr>
          <w:p w14:paraId="00000049">
            <w:pPr>
              <w:spacing w:before="120" w:after="120"/>
              <w:rPr>
                <w:sz w:val="28"/>
                <w:szCs w:val="28"/>
              </w:rPr>
            </w:pPr>
          </w:p>
        </w:tc>
        <w:tc>
          <w:tcPr>
            <w:cnfStyle w:val="000100010000"/>
            <w:tcW w:w="1081" w:type="dxa"/>
            <w:shd w:val="clear" w:color="auto" w:fill="auto"/>
          </w:tcPr>
          <w:p w14:paraId="0000004A">
            <w:pPr>
              <w:spacing w:before="120" w:after="120"/>
              <w:rPr>
                <w:sz w:val="28"/>
                <w:szCs w:val="28"/>
              </w:rPr>
            </w:pPr>
          </w:p>
        </w:tc>
      </w:tr>
      <w:tr>
        <w:trPr/>
        <w:tc>
          <w:tcPr>
            <w:cnfStyle w:val="001000100000"/>
            <w:tcW w:w="2514" w:type="dxa"/>
            <w:gridSpan w:val="3"/>
            <w:shd w:val="clear" w:color="auto" w:fill="auto"/>
          </w:tcPr>
          <w:p w14:paraId="0000004B">
            <w:pPr>
              <w:spacing w:before="120" w:after="120"/>
              <w:rPr>
                <w:b/>
                <w:sz w:val="28"/>
                <w:szCs w:val="28"/>
              </w:rPr>
            </w:pPr>
            <w:r>
              <w:rPr>
                <w:b/>
                <w:sz w:val="28"/>
                <w:szCs w:val="28"/>
              </w:rPr>
              <w:t>APPENDICES:</w:t>
            </w:r>
          </w:p>
        </w:tc>
        <w:tc>
          <w:tcPr>
            <w:cnfStyle w:val="000010100000"/>
            <w:tcW w:w="5116" w:type="dxa"/>
            <w:gridSpan w:val="2"/>
            <w:shd w:val="clear" w:color="auto" w:fill="auto"/>
          </w:tcPr>
          <w:p w14:paraId="0000004C">
            <w:pPr>
              <w:jc w:val="both"/>
              <w:rPr>
                <w:sz w:val="28"/>
                <w:szCs w:val="28"/>
              </w:rPr>
            </w:pPr>
          </w:p>
        </w:tc>
        <w:tc>
          <w:tcPr>
            <w:cnfStyle w:val="000001100000"/>
            <w:tcW w:w="360" w:type="dxa"/>
            <w:shd w:val="clear" w:color="auto" w:fill="auto"/>
          </w:tcPr>
          <w:p w14:paraId="0000004D">
            <w:pPr>
              <w:spacing w:before="120" w:after="120"/>
              <w:rPr>
                <w:sz w:val="28"/>
                <w:szCs w:val="28"/>
              </w:rPr>
            </w:pPr>
          </w:p>
        </w:tc>
        <w:tc>
          <w:tcPr>
            <w:cnfStyle w:val="000100100000"/>
            <w:tcW w:w="1081" w:type="dxa"/>
            <w:shd w:val="clear" w:color="auto" w:fill="auto"/>
          </w:tcPr>
          <w:p w14:paraId="0000004E">
            <w:pPr>
              <w:spacing w:before="120" w:after="120"/>
              <w:rPr>
                <w:sz w:val="28"/>
                <w:szCs w:val="28"/>
              </w:rPr>
            </w:pPr>
          </w:p>
        </w:tc>
      </w:tr>
      <w:tr>
        <w:trPr/>
        <w:tc>
          <w:tcPr>
            <w:cnfStyle w:val="001000010000"/>
            <w:tcW w:w="2514" w:type="dxa"/>
            <w:gridSpan w:val="3"/>
            <w:shd w:val="clear" w:color="auto" w:fill="auto"/>
          </w:tcPr>
          <w:p w14:paraId="0000004F">
            <w:pPr>
              <w:spacing w:before="120" w:after="120"/>
              <w:rPr>
                <w:b/>
                <w:sz w:val="28"/>
                <w:szCs w:val="28"/>
              </w:rPr>
            </w:pPr>
            <w:r>
              <w:rPr>
                <w:b/>
                <w:sz w:val="28"/>
                <w:szCs w:val="28"/>
              </w:rPr>
              <w:t>Appendix A</w:t>
            </w:r>
          </w:p>
        </w:tc>
        <w:tc>
          <w:tcPr>
            <w:cnfStyle w:val="000010010000"/>
            <w:tcW w:w="3230" w:type="dxa"/>
            <w:shd w:val="clear" w:color="auto" w:fill="auto"/>
          </w:tcPr>
          <w:p w14:paraId="00000050">
            <w:pPr>
              <w:spacing w:before="120" w:after="120"/>
              <w:rPr>
                <w:sz w:val="28"/>
                <w:szCs w:val="28"/>
              </w:rPr>
            </w:pPr>
            <w:r>
              <w:rPr>
                <w:sz w:val="28"/>
                <w:szCs w:val="28"/>
              </w:rPr>
              <w:t>SWOT Analysis</w:t>
            </w:r>
          </w:p>
        </w:tc>
        <w:tc>
          <w:tcPr>
            <w:cnfStyle w:val="000001010000"/>
            <w:tcW w:w="2246" w:type="dxa"/>
            <w:gridSpan w:val="2"/>
            <w:shd w:val="clear" w:color="auto" w:fill="auto"/>
          </w:tcPr>
          <w:p w14:paraId="00000051">
            <w:pPr>
              <w:spacing w:before="120" w:after="120"/>
              <w:rPr>
                <w:sz w:val="28"/>
                <w:szCs w:val="28"/>
              </w:rPr>
            </w:pPr>
            <w:r>
              <w:rPr>
                <w:sz w:val="28"/>
                <w:szCs w:val="28"/>
              </w:rPr>
              <w:t>16</w:t>
            </w:r>
          </w:p>
        </w:tc>
        <w:tc>
          <w:tcPr>
            <w:cnfStyle w:val="000100010000"/>
            <w:tcW w:w="1081" w:type="dxa"/>
            <w:shd w:val="clear" w:color="auto" w:fill="auto"/>
          </w:tcPr>
          <w:p w14:paraId="00000052">
            <w:pPr>
              <w:spacing w:before="120" w:after="120"/>
              <w:rPr>
                <w:sz w:val="28"/>
                <w:szCs w:val="28"/>
              </w:rPr>
            </w:pPr>
          </w:p>
        </w:tc>
      </w:tr>
      <w:tr>
        <w:trPr/>
        <w:tc>
          <w:tcPr>
            <w:cnfStyle w:val="001000100000"/>
            <w:tcW w:w="2514" w:type="dxa"/>
            <w:gridSpan w:val="3"/>
            <w:shd w:val="clear" w:color="auto" w:fill="auto"/>
          </w:tcPr>
          <w:p w14:paraId="00000053">
            <w:pPr>
              <w:spacing w:before="120" w:after="120"/>
              <w:rPr>
                <w:b/>
                <w:sz w:val="28"/>
                <w:szCs w:val="28"/>
              </w:rPr>
            </w:pPr>
            <w:r>
              <w:rPr>
                <w:b/>
                <w:sz w:val="28"/>
                <w:szCs w:val="28"/>
              </w:rPr>
              <w:t>Appendix B</w:t>
            </w:r>
          </w:p>
        </w:tc>
        <w:tc>
          <w:tcPr>
            <w:cnfStyle w:val="000010100000"/>
            <w:tcW w:w="3230" w:type="dxa"/>
            <w:shd w:val="clear" w:color="auto" w:fill="auto"/>
          </w:tcPr>
          <w:p w14:paraId="00000054">
            <w:pPr>
              <w:spacing w:before="120" w:after="120"/>
              <w:rPr>
                <w:sz w:val="28"/>
                <w:szCs w:val="28"/>
              </w:rPr>
            </w:pPr>
            <w:r>
              <w:rPr>
                <w:sz w:val="28"/>
                <w:szCs w:val="28"/>
              </w:rPr>
              <w:t>PEST Analysis</w:t>
            </w:r>
          </w:p>
        </w:tc>
        <w:tc>
          <w:tcPr>
            <w:cnfStyle w:val="000001100000"/>
            <w:tcW w:w="2246" w:type="dxa"/>
            <w:gridSpan w:val="2"/>
            <w:shd w:val="clear" w:color="auto" w:fill="auto"/>
          </w:tcPr>
          <w:p w14:paraId="00000055">
            <w:pPr>
              <w:spacing w:before="120" w:after="120"/>
              <w:rPr>
                <w:sz w:val="28"/>
                <w:szCs w:val="28"/>
              </w:rPr>
            </w:pPr>
            <w:r>
              <w:rPr>
                <w:sz w:val="28"/>
                <w:szCs w:val="28"/>
              </w:rPr>
              <w:t>17</w:t>
            </w:r>
          </w:p>
        </w:tc>
        <w:tc>
          <w:tcPr>
            <w:cnfStyle w:val="000100100000"/>
            <w:tcW w:w="1081" w:type="dxa"/>
            <w:shd w:val="clear" w:color="auto" w:fill="auto"/>
          </w:tcPr>
          <w:p w14:paraId="00000056">
            <w:pPr>
              <w:spacing w:before="120" w:after="120"/>
              <w:rPr>
                <w:sz w:val="28"/>
                <w:szCs w:val="28"/>
              </w:rPr>
            </w:pPr>
          </w:p>
        </w:tc>
      </w:tr>
      <w:tr>
        <w:trPr/>
        <w:tc>
          <w:tcPr>
            <w:cnfStyle w:val="001000010000"/>
            <w:tcW w:w="2514" w:type="dxa"/>
            <w:gridSpan w:val="3"/>
            <w:shd w:val="clear" w:color="auto" w:fill="auto"/>
          </w:tcPr>
          <w:p w14:paraId="00000057">
            <w:pPr>
              <w:spacing w:before="120" w:after="120"/>
              <w:rPr>
                <w:b/>
                <w:sz w:val="28"/>
                <w:szCs w:val="28"/>
              </w:rPr>
            </w:pPr>
            <w:r>
              <w:rPr>
                <w:b/>
                <w:sz w:val="28"/>
                <w:szCs w:val="28"/>
              </w:rPr>
              <w:t>Appendix C</w:t>
            </w:r>
          </w:p>
        </w:tc>
        <w:tc>
          <w:tcPr>
            <w:cnfStyle w:val="000010010000"/>
            <w:tcW w:w="3230" w:type="dxa"/>
            <w:shd w:val="clear" w:color="auto" w:fill="auto"/>
          </w:tcPr>
          <w:p w14:paraId="00000058">
            <w:pPr>
              <w:spacing w:before="120" w:after="120"/>
              <w:rPr>
                <w:sz w:val="28"/>
                <w:szCs w:val="28"/>
              </w:rPr>
            </w:pPr>
            <w:r>
              <w:rPr>
                <w:sz w:val="28"/>
                <w:szCs w:val="28"/>
              </w:rPr>
              <w:t>Copy of Pitch Supporting Material</w:t>
            </w:r>
          </w:p>
        </w:tc>
        <w:tc>
          <w:tcPr>
            <w:cnfStyle w:val="000001010000"/>
            <w:tcW w:w="2246" w:type="dxa"/>
            <w:gridSpan w:val="2"/>
            <w:shd w:val="clear" w:color="auto" w:fill="auto"/>
          </w:tcPr>
          <w:p w14:paraId="00000059">
            <w:pPr>
              <w:spacing w:before="120" w:after="120"/>
              <w:rPr>
                <w:sz w:val="28"/>
                <w:szCs w:val="28"/>
              </w:rPr>
            </w:pPr>
            <w:r>
              <w:rPr>
                <w:sz w:val="28"/>
                <w:szCs w:val="28"/>
              </w:rPr>
              <w:t>18</w:t>
            </w:r>
          </w:p>
        </w:tc>
        <w:tc>
          <w:tcPr>
            <w:cnfStyle w:val="000100010000"/>
            <w:tcW w:w="1081" w:type="dxa"/>
            <w:shd w:val="clear" w:color="auto" w:fill="auto"/>
          </w:tcPr>
          <w:p w14:paraId="0000005A">
            <w:pPr>
              <w:spacing w:before="120" w:after="120"/>
              <w:rPr>
                <w:sz w:val="28"/>
                <w:szCs w:val="28"/>
              </w:rPr>
            </w:pPr>
          </w:p>
        </w:tc>
      </w:tr>
      <w:tr>
        <w:trPr/>
        <w:tc>
          <w:tcPr>
            <w:cnfStyle w:val="001000100000"/>
            <w:tcW w:w="2514" w:type="dxa"/>
            <w:gridSpan w:val="3"/>
            <w:shd w:val="clear" w:color="auto" w:fill="auto"/>
          </w:tcPr>
          <w:p w14:paraId="0000005B">
            <w:pPr>
              <w:spacing w:before="120" w:after="120"/>
              <w:rPr>
                <w:bCs/>
                <w:sz w:val="28"/>
                <w:szCs w:val="28"/>
              </w:rPr>
            </w:pPr>
            <w:r>
              <w:rPr>
                <w:bCs/>
                <w:sz w:val="28"/>
                <w:szCs w:val="28"/>
              </w:rPr>
              <w:t>Reference List</w:t>
            </w:r>
          </w:p>
        </w:tc>
        <w:tc>
          <w:tcPr>
            <w:cnfStyle w:val="000010100000"/>
            <w:tcW w:w="3230" w:type="dxa"/>
            <w:shd w:val="clear" w:color="auto" w:fill="auto"/>
          </w:tcPr>
          <w:p w14:paraId="0000005C">
            <w:pPr>
              <w:spacing w:before="120" w:after="120"/>
              <w:rPr>
                <w:sz w:val="28"/>
                <w:szCs w:val="28"/>
              </w:rPr>
            </w:pPr>
          </w:p>
        </w:tc>
        <w:tc>
          <w:tcPr>
            <w:cnfStyle w:val="000001100000"/>
            <w:tcW w:w="2246" w:type="dxa"/>
            <w:gridSpan w:val="2"/>
            <w:shd w:val="clear" w:color="auto" w:fill="auto"/>
          </w:tcPr>
          <w:p w14:paraId="0000005D">
            <w:pPr>
              <w:spacing w:before="120" w:after="120"/>
              <w:rPr>
                <w:sz w:val="28"/>
                <w:szCs w:val="28"/>
              </w:rPr>
            </w:pPr>
            <w:r>
              <w:rPr>
                <w:sz w:val="28"/>
                <w:szCs w:val="28"/>
              </w:rPr>
              <w:t>28</w:t>
            </w:r>
          </w:p>
        </w:tc>
        <w:tc>
          <w:tcPr>
            <w:cnfStyle w:val="000100100000"/>
            <w:tcW w:w="1081" w:type="dxa"/>
            <w:shd w:val="clear" w:color="auto" w:fill="auto"/>
          </w:tcPr>
          <w:p w14:paraId="0000005E">
            <w:pPr>
              <w:spacing w:before="120" w:after="120"/>
              <w:rPr>
                <w:sz w:val="28"/>
                <w:szCs w:val="28"/>
              </w:rPr>
            </w:pPr>
          </w:p>
        </w:tc>
      </w:tr>
      <w:tr>
        <w:trPr>
          <w:gridAfter w:val="5"/>
          <w:wAfter w:w="7719" w:type="dxa"/>
        </w:trPr>
        <w:tc>
          <w:tcPr>
            <w:cnfStyle w:val="001000010000"/>
            <w:tcW w:w="1352" w:type="dxa"/>
            <w:gridSpan w:val="2"/>
            <w:shd w:val="clear" w:color="auto" w:fill="auto"/>
          </w:tcPr>
          <w:p w14:paraId="0000005F">
            <w:pPr>
              <w:spacing w:before="120" w:after="120"/>
              <w:rPr>
                <w:sz w:val="28"/>
                <w:szCs w:val="28"/>
              </w:rPr>
            </w:pPr>
          </w:p>
        </w:tc>
      </w:tr>
      <w:tr>
        <w:trPr>
          <w:gridAfter w:val="5"/>
          <w:wAfter w:w="7719" w:type="dxa"/>
        </w:trPr>
        <w:tc>
          <w:tcPr>
            <w:cnfStyle w:val="011000000000"/>
            <w:tcW w:w="1352" w:type="dxa"/>
            <w:gridSpan w:val="2"/>
            <w:shd w:val="clear" w:color="auto" w:fill="auto"/>
          </w:tcPr>
          <w:p w14:paraId="00000060">
            <w:pPr>
              <w:spacing w:before="120" w:after="120"/>
              <w:rPr>
                <w:sz w:val="28"/>
                <w:szCs w:val="28"/>
              </w:rPr>
            </w:pPr>
          </w:p>
        </w:tc>
      </w:tr>
    </w:tbl>
    <w:p w14:paraId="00000061">
      <w:pPr>
        <w:jc w:val="both"/>
        <w:rPr>
          <w:bCs/>
          <w:sz w:val="28"/>
        </w:rPr>
      </w:pPr>
    </w:p>
    <w:p w14:paraId="00000062">
      <w:pPr>
        <w:jc w:val="center"/>
        <w:rPr>
          <w:bCs/>
          <w:color w:val="ff0000"/>
          <w:sz w:val="28"/>
        </w:rPr>
      </w:pPr>
    </w:p>
    <w:p w14:paraId="00000063">
      <w:pPr>
        <w:jc w:val="both"/>
        <w:rPr>
          <w:b/>
          <w:sz w:val="28"/>
          <w:szCs w:val="18"/>
        </w:rPr>
      </w:pPr>
    </w:p>
    <w:p w14:paraId="00000064">
      <w:pPr>
        <w:spacing w:after="200" w:line="276" w:lineRule="auto"/>
        <w:rPr>
          <w:b/>
          <w:sz w:val="28"/>
          <w:szCs w:val="18"/>
        </w:rPr>
      </w:pPr>
      <w:r>
        <w:rPr>
          <w:b/>
          <w:sz w:val="28"/>
          <w:szCs w:val="18"/>
        </w:rPr>
        <w:br w:type="page"/>
      </w:r>
    </w:p>
    <w:p w14:paraId="00000065">
      <w:pPr>
        <w:spacing w:line="360" w:lineRule="auto"/>
        <w:jc w:val="both"/>
        <w:rPr>
          <w:b/>
          <w:sz w:val="28"/>
          <w:szCs w:val="18"/>
        </w:rPr>
      </w:pPr>
      <w:r>
        <w:rPr>
          <w:b/>
          <w:sz w:val="28"/>
          <w:szCs w:val="18"/>
        </w:rPr>
        <w:t>1. EXECUTIVE SUMMARY</w:t>
      </w:r>
    </w:p>
    <w:p w14:paraId="00000066">
      <w:pPr>
        <w:spacing w:line="360" w:lineRule="auto"/>
        <w:jc w:val="both"/>
        <w:rPr>
          <w:bCs/>
          <w:sz w:val="28"/>
        </w:rPr>
      </w:pPr>
    </w:p>
    <w:p w14:paraId="00000067">
      <w:pPr>
        <w:spacing w:line="360" w:lineRule="auto"/>
        <w:jc w:val="both"/>
        <w:rPr>
          <w:bCs/>
          <w:sz w:val="24"/>
          <w:szCs w:val="24"/>
        </w:rPr>
      </w:pPr>
      <w:r>
        <w:rPr>
          <w:bCs/>
          <w:sz w:val="24"/>
          <w:szCs w:val="24"/>
        </w:rPr>
        <w:t>The Business plan is on a restaurant which will be located in London, the UK. It will offer a variety of seafood items to the different customer segments. The name of the restaurant is Seafood Shack. It will have an expenditure of £297,500 in the first year. The total income will be 410,000. Hence, the business will have a net profit of £112,500. The business will also address the sustainability aspects to meet the customer preferences for healthy and sustainable foods. It will use both digital and traditional marketing channels to raise awareness and create a strong position in London.</w:t>
      </w:r>
      <w:r>
        <w:rPr>
          <w:bCs/>
          <w:sz w:val="24"/>
          <w:szCs w:val="24"/>
        </w:rPr>
        <w:br w:type="page"/>
      </w:r>
    </w:p>
    <w:p w14:paraId="00000068">
      <w:pPr>
        <w:spacing w:line="360" w:lineRule="auto"/>
        <w:jc w:val="both"/>
        <w:rPr>
          <w:b/>
          <w:sz w:val="28"/>
          <w:szCs w:val="18"/>
        </w:rPr>
      </w:pPr>
      <w:r>
        <w:rPr>
          <w:b/>
          <w:sz w:val="28"/>
          <w:szCs w:val="18"/>
        </w:rPr>
        <w:t>2. THE BUSINESS IDEA</w:t>
      </w:r>
    </w:p>
    <w:p w14:paraId="00000069">
      <w:pPr>
        <w:spacing w:line="360" w:lineRule="auto"/>
        <w:jc w:val="both"/>
        <w:rPr>
          <w:b/>
          <w:sz w:val="32"/>
          <w:u w:val="single"/>
        </w:rPr>
      </w:pPr>
    </w:p>
    <w:p w14:paraId="0000006A">
      <w:pPr>
        <w:spacing w:line="360" w:lineRule="auto"/>
        <w:jc w:val="both"/>
        <w:rPr>
          <w:color w:val="a6a6a6" w:themeColor="background1" w:themeShade="a6"/>
          <w:sz w:val="24"/>
          <w:szCs w:val="24"/>
        </w:rPr>
      </w:pPr>
      <w:r>
        <w:rPr>
          <w:b/>
          <w:i/>
          <w:iCs/>
          <w:sz w:val="24"/>
          <w:szCs w:val="16"/>
        </w:rPr>
        <w:t>2.1 The Product/Service</w:t>
      </w:r>
    </w:p>
    <w:p w14:paraId="0000006B">
      <w:pPr>
        <w:spacing w:line="360" w:lineRule="auto"/>
        <w:jc w:val="both"/>
        <w:rPr>
          <w:sz w:val="24"/>
          <w:szCs w:val="24"/>
        </w:rPr>
      </w:pPr>
      <w:r>
        <w:rPr>
          <w:sz w:val="24"/>
          <w:szCs w:val="24"/>
        </w:rPr>
        <w:t>Company Name: Seafood Shack</w:t>
      </w:r>
    </w:p>
    <w:p w14:paraId="0000006C">
      <w:pPr>
        <w:spacing w:line="360" w:lineRule="auto"/>
        <w:jc w:val="both"/>
        <w:rPr>
          <w:sz w:val="24"/>
          <w:szCs w:val="24"/>
        </w:rPr>
      </w:pPr>
      <w:r>
        <w:rPr>
          <w:sz w:val="24"/>
          <w:szCs w:val="24"/>
        </w:rPr>
        <w:t>Location: London, the UK</w:t>
      </w:r>
    </w:p>
    <w:p w14:paraId="0000006D">
      <w:pPr>
        <w:spacing w:line="360" w:lineRule="auto"/>
        <w:jc w:val="both"/>
        <w:rPr>
          <w:sz w:val="24"/>
          <w:szCs w:val="24"/>
        </w:rPr>
      </w:pPr>
      <w:r>
        <w:rPr>
          <w:sz w:val="24"/>
          <w:szCs w:val="24"/>
        </w:rPr>
        <w:t xml:space="preserve">Industry: Food and Beverage </w:t>
      </w:r>
    </w:p>
    <w:p w14:paraId="0000006E">
      <w:pPr>
        <w:spacing w:line="360" w:lineRule="auto"/>
        <w:jc w:val="both"/>
        <w:rPr>
          <w:sz w:val="24"/>
          <w:szCs w:val="24"/>
        </w:rPr>
      </w:pPr>
      <w:r>
        <w:rPr>
          <w:b/>
          <w:bCs/>
          <w:sz w:val="24"/>
          <w:szCs w:val="24"/>
          <w:u w:val="single"/>
        </w:rPr>
        <w:t>Business Activities:</w:t>
      </w:r>
      <w:r>
        <w:rPr>
          <w:sz w:val="24"/>
          <w:szCs w:val="24"/>
        </w:rPr>
        <w:t xml:space="preserve"> It is a casual dining restaurant that offers a variety of seafood options to seafood lovers and health-conscious people in London. The business manages sustainable sources for its seafood by creating partnerships with local fishermen and suppliers.</w:t>
      </w:r>
    </w:p>
    <w:p w14:paraId="0000006F">
      <w:pPr>
        <w:spacing w:line="360" w:lineRule="auto"/>
        <w:jc w:val="both"/>
        <w:rPr>
          <w:sz w:val="24"/>
          <w:szCs w:val="24"/>
        </w:rPr>
      </w:pPr>
      <w:r>
        <w:rPr>
          <w:b/>
          <w:bCs/>
          <w:sz w:val="24"/>
          <w:szCs w:val="24"/>
          <w:u w:val="single"/>
        </w:rPr>
        <w:t>Product/Service:</w:t>
      </w:r>
      <w:r>
        <w:rPr>
          <w:sz w:val="24"/>
          <w:szCs w:val="24"/>
        </w:rPr>
        <w:t xml:space="preserve"> The restaurant offers a diverse menu of seafood. The customers can find fresh fish, shellfish, and speciality dishes prepared from local ingredients.</w:t>
      </w:r>
    </w:p>
    <w:p w14:paraId="00000070">
      <w:pPr>
        <w:spacing w:line="360" w:lineRule="auto"/>
        <w:jc w:val="both"/>
        <w:rPr>
          <w:b/>
          <w:bCs/>
          <w:sz w:val="24"/>
          <w:szCs w:val="24"/>
          <w:u w:val="single"/>
        </w:rPr>
      </w:pPr>
      <w:r>
        <w:rPr>
          <w:b/>
          <w:bCs/>
          <w:sz w:val="24"/>
          <w:szCs w:val="24"/>
          <w:u w:val="single"/>
        </w:rPr>
        <w:t>Features and Benefits:</w:t>
      </w:r>
    </w:p>
    <w:p w14:paraId="00000071">
      <w:pPr>
        <w:spacing w:line="360" w:lineRule="auto"/>
        <w:jc w:val="both"/>
        <w:rPr>
          <w:sz w:val="24"/>
          <w:szCs w:val="24"/>
        </w:rPr>
      </w:pPr>
      <w:r>
        <w:rPr>
          <w:sz w:val="24"/>
          <w:szCs w:val="24"/>
        </w:rPr>
        <w:t>Sustainability: The restaurant will integrate sustainability into its business operations. The sourcing of ingredients should be from the suppliers who promote sustainability.</w:t>
      </w:r>
    </w:p>
    <w:p w14:paraId="00000072">
      <w:pPr>
        <w:spacing w:line="360" w:lineRule="auto"/>
        <w:jc w:val="both"/>
        <w:rPr>
          <w:sz w:val="24"/>
          <w:szCs w:val="24"/>
        </w:rPr>
      </w:pPr>
      <w:r>
        <w:rPr>
          <w:sz w:val="24"/>
          <w:szCs w:val="24"/>
        </w:rPr>
        <w:t>Freshness: The quality of the seafood will be high as the fresh fish will be purchased daily.</w:t>
      </w:r>
    </w:p>
    <w:p w14:paraId="00000073">
      <w:pPr>
        <w:spacing w:line="360" w:lineRule="auto"/>
        <w:jc w:val="both"/>
        <w:rPr>
          <w:sz w:val="24"/>
          <w:szCs w:val="24"/>
        </w:rPr>
      </w:pPr>
      <w:r>
        <w:rPr>
          <w:sz w:val="24"/>
          <w:szCs w:val="24"/>
        </w:rPr>
        <w:t>Local Sourcing: The local fisheries will be chosen for making a partnership.</w:t>
      </w:r>
    </w:p>
    <w:p w14:paraId="00000074">
      <w:pPr>
        <w:spacing w:line="360" w:lineRule="auto"/>
        <w:jc w:val="both"/>
        <w:rPr>
          <w:sz w:val="24"/>
          <w:szCs w:val="24"/>
        </w:rPr>
      </w:pPr>
      <w:r>
        <w:rPr>
          <w:b/>
          <w:bCs/>
          <w:sz w:val="24"/>
          <w:szCs w:val="24"/>
          <w:u w:val="single"/>
        </w:rPr>
        <w:t>Value Proposition:</w:t>
      </w:r>
      <w:r>
        <w:rPr>
          <w:sz w:val="24"/>
          <w:szCs w:val="24"/>
        </w:rPr>
        <w:t xml:space="preserve"> Seafood Shack offers the freshest and most sustainable seafood that provides a unique experience to the guests</w:t>
      </w:r>
      <w:r>
        <w:rPr>
          <w:sz w:val="24"/>
          <w:szCs w:val="24"/>
        </w:rPr>
        <w:t xml:space="preserve"> (Barringer and Ireland, 2018)</w:t>
      </w:r>
      <w:r>
        <w:rPr>
          <w:sz w:val="24"/>
          <w:szCs w:val="24"/>
        </w:rPr>
        <w:t>.</w:t>
      </w:r>
    </w:p>
    <w:p w14:paraId="00000075">
      <w:pPr>
        <w:spacing w:line="360" w:lineRule="auto"/>
        <w:jc w:val="both"/>
        <w:rPr>
          <w:color w:val="a6a6a6" w:themeColor="background1" w:themeShade="a6"/>
          <w:sz w:val="24"/>
          <w:szCs w:val="24"/>
        </w:rPr>
      </w:pPr>
    </w:p>
    <w:p w14:paraId="00000076">
      <w:pPr>
        <w:pStyle w:val="BodyText"/>
        <w:spacing w:line="360" w:lineRule="auto"/>
        <w:jc w:val="both"/>
        <w:rPr>
          <w:i/>
          <w:iCs/>
          <w:color w:val="ff0000"/>
        </w:rPr>
      </w:pPr>
      <w:r>
        <w:rPr>
          <w:i/>
          <w:iCs/>
          <w:szCs w:val="16"/>
        </w:rPr>
        <w:t>2.2 SWOT Analysis Summary</w:t>
      </w:r>
    </w:p>
    <w:p w14:paraId="00000077">
      <w:pPr>
        <w:spacing w:line="360" w:lineRule="auto"/>
        <w:jc w:val="both"/>
        <w:rPr>
          <w:sz w:val="24"/>
          <w:szCs w:val="24"/>
        </w:rPr>
      </w:pPr>
      <w:r>
        <w:rPr>
          <w:sz w:val="24"/>
          <w:szCs w:val="24"/>
        </w:rPr>
        <w:t xml:space="preserve">The SWOT Analysis has been performed below: </w:t>
      </w:r>
    </w:p>
    <w:p w14:paraId="00000078">
      <w:pPr>
        <w:spacing w:line="360" w:lineRule="auto"/>
        <w:jc w:val="both"/>
        <w:rPr>
          <w:b/>
          <w:bCs/>
          <w:sz w:val="24"/>
          <w:szCs w:val="24"/>
          <w:u w:val="single"/>
        </w:rPr>
      </w:pPr>
      <w:r>
        <w:rPr>
          <w:b/>
          <w:bCs/>
          <w:sz w:val="24"/>
          <w:szCs w:val="24"/>
          <w:u w:val="single"/>
        </w:rPr>
        <w:t xml:space="preserve">Strengths: </w:t>
      </w:r>
    </w:p>
    <w:p w14:paraId="00000079">
      <w:pPr>
        <w:pStyle w:val="ListParagraph"/>
        <w:numPr>
          <w:ilvl w:val="0"/>
          <w:numId w:val="19"/>
        </w:numPr>
        <w:spacing w:line="360" w:lineRule="auto"/>
        <w:jc w:val="both"/>
        <w:rPr>
          <w:sz w:val="24"/>
          <w:szCs w:val="24"/>
        </w:rPr>
      </w:pPr>
      <w:r>
        <w:rPr>
          <w:sz w:val="24"/>
          <w:szCs w:val="24"/>
        </w:rPr>
        <w:t>Key location in London</w:t>
      </w:r>
    </w:p>
    <w:p w14:paraId="0000007A">
      <w:pPr>
        <w:pStyle w:val="ListParagraph"/>
        <w:numPr>
          <w:ilvl w:val="0"/>
          <w:numId w:val="19"/>
        </w:numPr>
        <w:spacing w:line="360" w:lineRule="auto"/>
        <w:jc w:val="both"/>
        <w:rPr>
          <w:sz w:val="24"/>
          <w:szCs w:val="24"/>
        </w:rPr>
      </w:pPr>
      <w:r>
        <w:rPr>
          <w:sz w:val="24"/>
          <w:szCs w:val="24"/>
        </w:rPr>
        <w:t>Sustainability and ethical practices</w:t>
      </w:r>
    </w:p>
    <w:p w14:paraId="0000007B">
      <w:pPr>
        <w:pStyle w:val="ListParagraph"/>
        <w:numPr>
          <w:ilvl w:val="0"/>
          <w:numId w:val="19"/>
        </w:numPr>
        <w:spacing w:line="360" w:lineRule="auto"/>
        <w:jc w:val="both"/>
        <w:rPr>
          <w:sz w:val="24"/>
          <w:szCs w:val="24"/>
        </w:rPr>
      </w:pPr>
      <w:r>
        <w:rPr>
          <w:sz w:val="24"/>
          <w:szCs w:val="24"/>
        </w:rPr>
        <w:t>High quality foods and services</w:t>
      </w:r>
      <w:r>
        <w:rPr>
          <w:sz w:val="24"/>
          <w:szCs w:val="24"/>
        </w:rPr>
        <w:t xml:space="preserve"> (Gurel, 2017)</w:t>
      </w:r>
      <w:r>
        <w:rPr>
          <w:sz w:val="24"/>
          <w:szCs w:val="24"/>
        </w:rPr>
        <w:t xml:space="preserve">. </w:t>
      </w:r>
    </w:p>
    <w:p w14:paraId="0000007C">
      <w:pPr>
        <w:spacing w:line="360" w:lineRule="auto"/>
        <w:jc w:val="both"/>
        <w:rPr>
          <w:b/>
          <w:bCs/>
          <w:sz w:val="24"/>
          <w:szCs w:val="24"/>
          <w:u w:val="single"/>
        </w:rPr>
      </w:pPr>
      <w:r>
        <w:rPr>
          <w:b/>
          <w:bCs/>
          <w:sz w:val="24"/>
          <w:szCs w:val="24"/>
          <w:u w:val="single"/>
        </w:rPr>
        <w:t>Weaknesses:</w:t>
      </w:r>
    </w:p>
    <w:p w14:paraId="0000007D">
      <w:pPr>
        <w:pStyle w:val="ListParagraph"/>
        <w:numPr>
          <w:ilvl w:val="0"/>
          <w:numId w:val="20"/>
        </w:numPr>
        <w:spacing w:line="360" w:lineRule="auto"/>
        <w:jc w:val="both"/>
        <w:rPr>
          <w:sz w:val="24"/>
          <w:szCs w:val="24"/>
        </w:rPr>
      </w:pPr>
      <w:r>
        <w:rPr>
          <w:sz w:val="24"/>
          <w:szCs w:val="24"/>
        </w:rPr>
        <w:t>Higher initial costs</w:t>
      </w:r>
    </w:p>
    <w:p w14:paraId="0000007E">
      <w:pPr>
        <w:pStyle w:val="ListParagraph"/>
        <w:numPr>
          <w:ilvl w:val="0"/>
          <w:numId w:val="20"/>
        </w:numPr>
        <w:spacing w:line="360" w:lineRule="auto"/>
        <w:jc w:val="both"/>
        <w:rPr>
          <w:sz w:val="24"/>
          <w:szCs w:val="24"/>
        </w:rPr>
      </w:pPr>
      <w:r>
        <w:rPr>
          <w:sz w:val="24"/>
          <w:szCs w:val="24"/>
        </w:rPr>
        <w:t>Intense Competition</w:t>
      </w:r>
    </w:p>
    <w:p w14:paraId="0000007F">
      <w:pPr>
        <w:spacing w:line="360" w:lineRule="auto"/>
        <w:jc w:val="both"/>
        <w:rPr>
          <w:b/>
          <w:bCs/>
          <w:sz w:val="24"/>
          <w:szCs w:val="24"/>
          <w:u w:val="single"/>
        </w:rPr>
      </w:pPr>
      <w:r>
        <w:rPr>
          <w:b/>
          <w:bCs/>
          <w:sz w:val="24"/>
          <w:szCs w:val="24"/>
          <w:u w:val="single"/>
        </w:rPr>
        <w:t>Opportunities:</w:t>
      </w:r>
    </w:p>
    <w:p w14:paraId="00000080">
      <w:pPr>
        <w:pStyle w:val="ListParagraph"/>
        <w:numPr>
          <w:ilvl w:val="0"/>
          <w:numId w:val="21"/>
        </w:numPr>
        <w:spacing w:line="360" w:lineRule="auto"/>
        <w:jc w:val="both"/>
        <w:rPr>
          <w:sz w:val="24"/>
          <w:szCs w:val="24"/>
        </w:rPr>
      </w:pPr>
      <w:r>
        <w:rPr>
          <w:sz w:val="24"/>
          <w:szCs w:val="24"/>
        </w:rPr>
        <w:t>Growing demand for healthy and sustainable foods</w:t>
      </w:r>
    </w:p>
    <w:p w14:paraId="00000081">
      <w:pPr>
        <w:pStyle w:val="ListParagraph"/>
        <w:numPr>
          <w:ilvl w:val="0"/>
          <w:numId w:val="21"/>
        </w:numPr>
        <w:spacing w:line="360" w:lineRule="auto"/>
        <w:jc w:val="both"/>
        <w:rPr>
          <w:sz w:val="24"/>
          <w:szCs w:val="24"/>
        </w:rPr>
      </w:pPr>
      <w:r>
        <w:rPr>
          <w:sz w:val="24"/>
          <w:szCs w:val="24"/>
        </w:rPr>
        <w:t>High growth potential</w:t>
      </w:r>
      <w:r>
        <w:rPr>
          <w:sz w:val="24"/>
          <w:szCs w:val="24"/>
        </w:rPr>
        <w:t xml:space="preserve"> (Restaurantonline.co.uk, 2022)</w:t>
      </w:r>
      <w:r>
        <w:rPr>
          <w:sz w:val="24"/>
          <w:szCs w:val="24"/>
        </w:rPr>
        <w:t>.</w:t>
      </w:r>
    </w:p>
    <w:p w14:paraId="00000082">
      <w:pPr>
        <w:spacing w:line="360" w:lineRule="auto"/>
        <w:jc w:val="both"/>
        <w:rPr>
          <w:b/>
          <w:bCs/>
          <w:sz w:val="24"/>
          <w:szCs w:val="24"/>
          <w:u w:val="single"/>
        </w:rPr>
      </w:pPr>
      <w:r>
        <w:rPr>
          <w:b/>
          <w:bCs/>
          <w:sz w:val="24"/>
          <w:szCs w:val="24"/>
          <w:u w:val="single"/>
        </w:rPr>
        <w:t>Threats:</w:t>
      </w:r>
    </w:p>
    <w:p w14:paraId="00000083">
      <w:pPr>
        <w:pStyle w:val="ListParagraph"/>
        <w:numPr>
          <w:ilvl w:val="0"/>
          <w:numId w:val="22"/>
        </w:numPr>
        <w:spacing w:line="360" w:lineRule="auto"/>
        <w:jc w:val="both"/>
        <w:rPr>
          <w:sz w:val="24"/>
          <w:szCs w:val="24"/>
        </w:rPr>
      </w:pPr>
      <w:r>
        <w:rPr>
          <w:sz w:val="24"/>
          <w:szCs w:val="24"/>
        </w:rPr>
        <w:t>Economic downturns</w:t>
      </w:r>
      <w:r>
        <w:rPr>
          <w:sz w:val="24"/>
          <w:szCs w:val="24"/>
        </w:rPr>
        <w:t xml:space="preserve"> (BBC, 2023)</w:t>
      </w:r>
      <w:r>
        <w:rPr>
          <w:sz w:val="24"/>
          <w:szCs w:val="24"/>
        </w:rPr>
        <w:t>.</w:t>
      </w:r>
    </w:p>
    <w:p w14:paraId="00000084">
      <w:pPr>
        <w:pStyle w:val="ListParagraph"/>
        <w:numPr>
          <w:ilvl w:val="0"/>
          <w:numId w:val="22"/>
        </w:numPr>
        <w:spacing w:line="360" w:lineRule="auto"/>
        <w:jc w:val="both"/>
        <w:rPr>
          <w:sz w:val="24"/>
          <w:szCs w:val="24"/>
        </w:rPr>
      </w:pPr>
      <w:r>
        <w:rPr>
          <w:sz w:val="24"/>
          <w:szCs w:val="24"/>
        </w:rPr>
        <w:t>Regulatory changes</w:t>
      </w:r>
    </w:p>
    <w:p w14:paraId="00000085">
      <w:pPr>
        <w:spacing w:line="360" w:lineRule="auto"/>
        <w:jc w:val="both"/>
        <w:rPr>
          <w:b/>
          <w:sz w:val="24"/>
          <w:szCs w:val="24"/>
          <w:u w:val="single"/>
        </w:rPr>
      </w:pPr>
      <w:r>
        <w:rPr>
          <w:b/>
          <w:sz w:val="24"/>
          <w:szCs w:val="24"/>
          <w:u w:val="single"/>
        </w:rPr>
        <w:t>Strategies for Risk Reduction are provided below:</w:t>
      </w:r>
    </w:p>
    <w:p w14:paraId="00000086">
      <w:pPr>
        <w:pStyle w:val="ListParagraph"/>
        <w:numPr>
          <w:ilvl w:val="0"/>
          <w:numId w:val="24"/>
        </w:numPr>
        <w:spacing w:line="360" w:lineRule="auto"/>
        <w:jc w:val="both"/>
        <w:rPr>
          <w:bCs/>
          <w:sz w:val="24"/>
          <w:szCs w:val="24"/>
        </w:rPr>
      </w:pPr>
      <w:r>
        <w:rPr>
          <w:bCs/>
          <w:sz w:val="24"/>
          <w:szCs w:val="24"/>
        </w:rPr>
        <w:t>The restaurant should diversify its menu and include different cuisines so that it can attract customers from different market segments</w:t>
      </w:r>
      <w:r>
        <w:rPr>
          <w:bCs/>
          <w:sz w:val="24"/>
          <w:szCs w:val="24"/>
        </w:rPr>
        <w:t xml:space="preserve"> (Burns, 2016)</w:t>
      </w:r>
      <w:r>
        <w:rPr>
          <w:bCs/>
          <w:sz w:val="24"/>
          <w:szCs w:val="24"/>
        </w:rPr>
        <w:t>.</w:t>
      </w:r>
    </w:p>
    <w:p w14:paraId="00000087">
      <w:pPr>
        <w:pStyle w:val="ListParagraph"/>
        <w:numPr>
          <w:ilvl w:val="0"/>
          <w:numId w:val="24"/>
        </w:numPr>
        <w:spacing w:line="360" w:lineRule="auto"/>
        <w:jc w:val="both"/>
        <w:rPr>
          <w:bCs/>
          <w:sz w:val="24"/>
          <w:szCs w:val="24"/>
        </w:rPr>
      </w:pPr>
      <w:r>
        <w:rPr>
          <w:bCs/>
          <w:sz w:val="24"/>
          <w:szCs w:val="24"/>
        </w:rPr>
        <w:t>A compliance team will be formed that will continuously monitor the changes in regulations.</w:t>
      </w:r>
    </w:p>
    <w:p w14:paraId="00000088">
      <w:pPr>
        <w:pStyle w:val="ListParagraph"/>
        <w:numPr>
          <w:ilvl w:val="0"/>
          <w:numId w:val="24"/>
        </w:numPr>
        <w:spacing w:line="360" w:lineRule="auto"/>
        <w:jc w:val="both"/>
        <w:rPr>
          <w:b/>
          <w:sz w:val="32"/>
        </w:rPr>
      </w:pPr>
      <w:r>
        <w:rPr>
          <w:bCs/>
          <w:sz w:val="24"/>
          <w:szCs w:val="24"/>
        </w:rPr>
        <w:t>The restaurant will optimise its costs by streamlining the processes and the supply chain. Hence it can offer the foods at competitive prices during economic challenges</w:t>
      </w:r>
      <w:r>
        <w:rPr>
          <w:bCs/>
          <w:sz w:val="24"/>
          <w:szCs w:val="24"/>
        </w:rPr>
        <w:t xml:space="preserve"> (Barringer and Ireland, 2018)</w:t>
      </w:r>
      <w:r>
        <w:rPr>
          <w:bCs/>
          <w:sz w:val="24"/>
          <w:szCs w:val="24"/>
        </w:rPr>
        <w:t>.</w:t>
      </w:r>
      <w:r>
        <w:rPr>
          <w:bCs/>
          <w:sz w:val="24"/>
          <w:szCs w:val="24"/>
        </w:rPr>
        <w:t xml:space="preserve"> </w:t>
      </w:r>
      <w:r>
        <w:rPr>
          <w:b/>
          <w:sz w:val="32"/>
        </w:rPr>
        <w:br w:type="page"/>
      </w:r>
    </w:p>
    <w:p w14:paraId="00000089">
      <w:pPr>
        <w:spacing w:line="360" w:lineRule="auto"/>
        <w:jc w:val="both"/>
        <w:rPr>
          <w:b/>
          <w:sz w:val="28"/>
          <w:szCs w:val="18"/>
        </w:rPr>
      </w:pPr>
      <w:r>
        <w:rPr>
          <w:b/>
          <w:sz w:val="28"/>
          <w:szCs w:val="18"/>
        </w:rPr>
        <w:t>3. THE TEAM</w:t>
      </w:r>
    </w:p>
    <w:p w14:paraId="0000008A">
      <w:pPr>
        <w:spacing w:line="360" w:lineRule="auto"/>
        <w:jc w:val="both"/>
        <w:rPr/>
      </w:pPr>
    </w:p>
    <w:p w14:paraId="0000008B">
      <w:pPr>
        <w:spacing w:line="360" w:lineRule="auto"/>
        <w:jc w:val="both"/>
        <w:rPr>
          <w:i/>
          <w:iCs/>
          <w:color w:val="ff0000"/>
          <w:sz w:val="24"/>
        </w:rPr>
      </w:pPr>
      <w:r>
        <w:rPr>
          <w:b/>
          <w:bCs/>
          <w:i/>
          <w:iCs/>
          <w:sz w:val="24"/>
          <w:szCs w:val="18"/>
        </w:rPr>
        <w:t>3.1   Key Personnel</w:t>
      </w:r>
    </w:p>
    <w:p w14:paraId="0000008C">
      <w:pPr>
        <w:spacing w:line="360" w:lineRule="auto"/>
        <w:jc w:val="both"/>
        <w:rPr>
          <w:bCs/>
          <w:color w:val="ff0000"/>
          <w:sz w:val="22"/>
          <w:szCs w:val="22"/>
        </w:rPr>
      </w:pPr>
    </w:p>
    <w:p w14:paraId="0000008D">
      <w:pPr>
        <w:pBdr>
          <w:top w:val="single" w:color="auto" w:sz="4" w:space="1"/>
          <w:left w:val="single" w:color="auto" w:sz="4" w:space="4"/>
          <w:bottom w:val="single" w:color="auto" w:sz="4" w:space="1"/>
          <w:right w:val="single" w:color="auto" w:sz="4" w:space="4"/>
        </w:pBdr>
        <w:spacing w:line="360" w:lineRule="auto"/>
        <w:jc w:val="both"/>
        <w:rPr>
          <w:bCs/>
          <w:i/>
          <w:sz w:val="22"/>
          <w:szCs w:val="22"/>
        </w:rPr>
      </w:pPr>
      <w:r>
        <w:rPr>
          <w:bCs/>
          <w:i/>
          <w:sz w:val="24"/>
          <w:szCs w:val="22"/>
        </w:rPr>
        <w:t>Name and Company Position:</w:t>
      </w:r>
      <w:r>
        <w:rPr>
          <w:bCs/>
          <w:i/>
          <w:sz w:val="24"/>
          <w:szCs w:val="22"/>
        </w:rPr>
        <w:t xml:space="preserve"> </w:t>
      </w:r>
      <w:r>
        <w:rPr>
          <w:bCs/>
          <w:i/>
          <w:sz w:val="24"/>
          <w:szCs w:val="22"/>
        </w:rPr>
        <w:t>Muhammed -Head chef</w:t>
      </w:r>
      <w:r>
        <w:rPr>
          <w:bCs/>
          <w:i/>
          <w:sz w:val="22"/>
          <w:szCs w:val="22"/>
        </w:rPr>
        <w:br w:type="textWrapping"/>
      </w:r>
    </w:p>
    <w:p w14:paraId="0000008E">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Skills and Experience:</w:t>
      </w:r>
      <w:r>
        <w:rPr>
          <w:sz w:val="24"/>
          <w:szCs w:val="24"/>
        </w:rPr>
        <w:t xml:space="preserve"> </w:t>
      </w:r>
      <w:r>
        <w:rPr>
          <w:sz w:val="24"/>
          <w:szCs w:val="24"/>
        </w:rPr>
        <w:t>C</w:t>
      </w:r>
      <w:r>
        <w:rPr>
          <w:sz w:val="24"/>
          <w:szCs w:val="24"/>
        </w:rPr>
        <w:t>ook,</w:t>
      </w:r>
      <w:r>
        <w:rPr>
          <w:sz w:val="24"/>
          <w:szCs w:val="24"/>
        </w:rPr>
        <w:t xml:space="preserve"> </w:t>
      </w:r>
      <w:r>
        <w:rPr>
          <w:sz w:val="24"/>
          <w:szCs w:val="24"/>
        </w:rPr>
        <w:t xml:space="preserve">working as a chief for few years on a </w:t>
      </w:r>
      <w:r>
        <w:rPr>
          <w:sz w:val="24"/>
          <w:szCs w:val="24"/>
        </w:rPr>
        <w:t>restaurant.</w:t>
      </w:r>
    </w:p>
    <w:p w14:paraId="0000008F">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0">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Role and Responsibilities:</w:t>
      </w:r>
      <w:r>
        <w:rPr>
          <w:i/>
          <w:sz w:val="24"/>
          <w:szCs w:val="24"/>
        </w:rPr>
        <w:t xml:space="preserve"> </w:t>
      </w:r>
      <w:r>
        <w:rPr>
          <w:i/>
          <w:sz w:val="24"/>
          <w:szCs w:val="24"/>
        </w:rPr>
        <w:t xml:space="preserve">cook chief - His role and responsibilities as a food truck chef, or cook chief, is the culinary mastermind responsible for menu creation, kitchen operations, staff management, food preparation, safety compliance, inventory control, and staying abreast of industry trends to ensure a delightful and efficient dining experience on </w:t>
      </w:r>
      <w:r>
        <w:rPr>
          <w:i/>
          <w:sz w:val="24"/>
          <w:szCs w:val="24"/>
        </w:rPr>
        <w:t>wheels.</w:t>
      </w:r>
    </w:p>
    <w:p w14:paraId="00000091">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2">
      <w:pPr>
        <w:spacing w:line="360" w:lineRule="auto"/>
        <w:jc w:val="both"/>
        <w:rPr>
          <w:sz w:val="24"/>
          <w:szCs w:val="24"/>
        </w:rPr>
      </w:pPr>
    </w:p>
    <w:p w14:paraId="00000093">
      <w:pPr>
        <w:pBdr>
          <w:top w:val="single" w:color="auto" w:sz="4" w:space="1"/>
          <w:left w:val="single" w:color="auto" w:sz="4" w:space="4"/>
          <w:bottom w:val="single" w:color="auto" w:sz="4" w:space="1"/>
          <w:right w:val="single" w:color="auto" w:sz="4" w:space="4"/>
        </w:pBdr>
        <w:spacing w:line="360" w:lineRule="auto"/>
        <w:jc w:val="both"/>
        <w:rPr>
          <w:bCs/>
          <w:i/>
          <w:sz w:val="22"/>
          <w:szCs w:val="22"/>
        </w:rPr>
      </w:pPr>
      <w:r>
        <w:rPr>
          <w:bCs/>
          <w:i/>
          <w:sz w:val="24"/>
          <w:szCs w:val="22"/>
        </w:rPr>
        <w:t>Name and Company Position:</w:t>
      </w:r>
      <w:r>
        <w:rPr>
          <w:bCs/>
          <w:i/>
          <w:sz w:val="24"/>
          <w:szCs w:val="22"/>
        </w:rPr>
        <w:t xml:space="preserve"> </w:t>
      </w:r>
      <w:r>
        <w:rPr>
          <w:bCs/>
          <w:i/>
          <w:sz w:val="24"/>
          <w:szCs w:val="22"/>
        </w:rPr>
        <w:t xml:space="preserve">Vasile </w:t>
      </w:r>
      <w:r>
        <w:rPr>
          <w:bCs/>
          <w:i/>
          <w:sz w:val="24"/>
          <w:szCs w:val="22"/>
        </w:rPr>
        <w:t>Salesman</w:t>
      </w:r>
      <w:r>
        <w:rPr>
          <w:bCs/>
          <w:i/>
          <w:sz w:val="22"/>
          <w:szCs w:val="22"/>
        </w:rPr>
        <w:br w:type="textWrapping"/>
      </w:r>
    </w:p>
    <w:p w14:paraId="00000094">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Skills and Experience:</w:t>
      </w:r>
      <w:r>
        <w:rPr>
          <w:sz w:val="24"/>
          <w:szCs w:val="24"/>
        </w:rPr>
        <w:t xml:space="preserve"> bartender,</w:t>
      </w:r>
      <w:r>
        <w:rPr>
          <w:sz w:val="24"/>
          <w:szCs w:val="24"/>
        </w:rPr>
        <w:t xml:space="preserve"> </w:t>
      </w:r>
      <w:r>
        <w:rPr>
          <w:sz w:val="24"/>
          <w:szCs w:val="24"/>
        </w:rPr>
        <w:t xml:space="preserve">worked few years on a pub as a </w:t>
      </w:r>
      <w:r>
        <w:rPr>
          <w:sz w:val="24"/>
          <w:szCs w:val="24"/>
        </w:rPr>
        <w:t>barista.</w:t>
      </w:r>
    </w:p>
    <w:p w14:paraId="00000095">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6">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Role and Responsibilities:</w:t>
      </w:r>
      <w:r>
        <w:rPr>
          <w:sz w:val="24"/>
          <w:szCs w:val="24"/>
        </w:rPr>
        <w:t xml:space="preserve"> interacting directly with customers, taking their orders, and providing them with the prepared food and getting the payments for the </w:t>
      </w:r>
      <w:r>
        <w:rPr>
          <w:sz w:val="24"/>
          <w:szCs w:val="24"/>
        </w:rPr>
        <w:t>foods, drinks</w:t>
      </w:r>
      <w:r>
        <w:rPr>
          <w:sz w:val="24"/>
          <w:szCs w:val="24"/>
        </w:rPr>
        <w:t xml:space="preserve"> etc.</w:t>
      </w:r>
    </w:p>
    <w:p w14:paraId="00000097">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8">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9">
      <w:pPr>
        <w:spacing w:line="360" w:lineRule="auto"/>
        <w:jc w:val="both"/>
        <w:rPr>
          <w:sz w:val="24"/>
          <w:szCs w:val="24"/>
        </w:rPr>
      </w:pPr>
    </w:p>
    <w:p w14:paraId="0000009A">
      <w:pPr>
        <w:pBdr>
          <w:top w:val="single" w:color="auto" w:sz="4" w:space="1"/>
          <w:left w:val="single" w:color="auto" w:sz="4" w:space="4"/>
          <w:bottom w:val="single" w:color="auto" w:sz="4" w:space="1"/>
          <w:right w:val="single" w:color="auto" w:sz="4" w:space="4"/>
        </w:pBdr>
        <w:spacing w:line="360" w:lineRule="auto"/>
        <w:jc w:val="both"/>
        <w:rPr>
          <w:bCs/>
          <w:i/>
          <w:sz w:val="22"/>
          <w:szCs w:val="22"/>
        </w:rPr>
      </w:pPr>
      <w:r>
        <w:rPr>
          <w:bCs/>
          <w:i/>
          <w:sz w:val="24"/>
          <w:szCs w:val="22"/>
        </w:rPr>
        <w:t xml:space="preserve">Name and Company </w:t>
      </w:r>
      <w:r>
        <w:rPr>
          <w:bCs/>
          <w:i/>
          <w:sz w:val="24"/>
          <w:szCs w:val="22"/>
        </w:rPr>
        <w:t>Position: Kamrul</w:t>
      </w:r>
      <w:r>
        <w:rPr>
          <w:bCs/>
          <w:i/>
          <w:sz w:val="24"/>
          <w:szCs w:val="22"/>
        </w:rPr>
        <w:t xml:space="preserve"> Manager</w:t>
      </w:r>
      <w:r>
        <w:rPr>
          <w:bCs/>
          <w:i/>
          <w:sz w:val="22"/>
          <w:szCs w:val="22"/>
        </w:rPr>
        <w:br w:type="textWrapping"/>
      </w:r>
    </w:p>
    <w:p w14:paraId="0000009B">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Skills and Experience:</w:t>
      </w:r>
      <w:r>
        <w:rPr>
          <w:sz w:val="24"/>
          <w:szCs w:val="24"/>
        </w:rPr>
        <w:t xml:space="preserve"> Procurement Manager,</w:t>
      </w:r>
      <w:r>
        <w:rPr>
          <w:sz w:val="24"/>
          <w:szCs w:val="24"/>
        </w:rPr>
        <w:t xml:space="preserve"> </w:t>
      </w:r>
      <w:r>
        <w:rPr>
          <w:sz w:val="24"/>
          <w:szCs w:val="24"/>
        </w:rPr>
        <w:t xml:space="preserve">worked for a food company as a </w:t>
      </w:r>
      <w:r>
        <w:rPr>
          <w:sz w:val="24"/>
          <w:szCs w:val="24"/>
        </w:rPr>
        <w:t>manager.</w:t>
      </w:r>
    </w:p>
    <w:p w14:paraId="0000009C">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D">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Role and Responsibilities:</w:t>
      </w:r>
      <w:r>
        <w:rPr>
          <w:sz w:val="24"/>
          <w:szCs w:val="24"/>
        </w:rPr>
        <w:t xml:space="preserve"> His purchasing manager's role encompasses developing purchasing strategies, monitoring key metrics, negotiating terms, collaborating with stakeholders, forecasting market trends, mitigating risks, managing supplier relationships, overseeing budgets, and ensuring efficient inventory management to align procurement activities with the company's objectives.</w:t>
      </w:r>
    </w:p>
    <w:p w14:paraId="0000009E">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9F">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A0">
      <w:pPr>
        <w:spacing w:line="360" w:lineRule="auto"/>
        <w:jc w:val="both"/>
        <w:rPr>
          <w:sz w:val="24"/>
          <w:szCs w:val="24"/>
        </w:rPr>
      </w:pPr>
    </w:p>
    <w:p w14:paraId="000000A1">
      <w:pPr>
        <w:pBdr>
          <w:top w:val="single" w:color="auto" w:sz="4" w:space="1"/>
          <w:left w:val="single" w:color="auto" w:sz="4" w:space="4"/>
          <w:bottom w:val="single" w:color="auto" w:sz="4" w:space="1"/>
          <w:right w:val="single" w:color="auto" w:sz="4" w:space="4"/>
        </w:pBdr>
        <w:spacing w:line="360" w:lineRule="auto"/>
        <w:jc w:val="both"/>
        <w:rPr>
          <w:bCs/>
          <w:i/>
          <w:sz w:val="22"/>
          <w:szCs w:val="22"/>
        </w:rPr>
      </w:pPr>
      <w:r>
        <w:rPr>
          <w:bCs/>
          <w:i/>
          <w:sz w:val="24"/>
          <w:szCs w:val="22"/>
        </w:rPr>
        <w:t>Name and Company Position:</w:t>
      </w:r>
      <w:r>
        <w:rPr>
          <w:bCs/>
          <w:i/>
          <w:sz w:val="24"/>
          <w:szCs w:val="22"/>
        </w:rPr>
        <w:t xml:space="preserve"> </w:t>
      </w:r>
      <w:r>
        <w:rPr>
          <w:bCs/>
          <w:i/>
          <w:sz w:val="24"/>
          <w:szCs w:val="22"/>
        </w:rPr>
        <w:t xml:space="preserve">Farhad </w:t>
      </w:r>
      <w:r>
        <w:rPr>
          <w:bCs/>
          <w:i/>
          <w:sz w:val="22"/>
          <w:szCs w:val="22"/>
        </w:rPr>
        <w:br w:type="textWrapping"/>
      </w:r>
    </w:p>
    <w:p w14:paraId="000000A2">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Skills and Experience:</w:t>
      </w:r>
      <w:r>
        <w:rPr>
          <w:i/>
          <w:sz w:val="24"/>
          <w:szCs w:val="24"/>
        </w:rPr>
        <w:t xml:space="preserve"> </w:t>
      </w:r>
      <w:r>
        <w:rPr>
          <w:i/>
          <w:sz w:val="24"/>
          <w:szCs w:val="24"/>
        </w:rPr>
        <w:t>Accountant,</w:t>
      </w:r>
      <w:r>
        <w:rPr>
          <w:i/>
          <w:sz w:val="24"/>
          <w:szCs w:val="24"/>
        </w:rPr>
        <w:t xml:space="preserve"> </w:t>
      </w:r>
      <w:r>
        <w:rPr>
          <w:i/>
          <w:sz w:val="24"/>
          <w:szCs w:val="24"/>
        </w:rPr>
        <w:t xml:space="preserve">worked 3 years as doing accounting for a food </w:t>
      </w:r>
      <w:r>
        <w:rPr>
          <w:i/>
          <w:sz w:val="24"/>
          <w:szCs w:val="24"/>
        </w:rPr>
        <w:t>business.</w:t>
      </w:r>
      <w:r>
        <w:rPr>
          <w:sz w:val="24"/>
          <w:szCs w:val="24"/>
        </w:rPr>
        <w:t xml:space="preserve"> </w:t>
      </w:r>
    </w:p>
    <w:p w14:paraId="000000A3">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A4">
      <w:pPr>
        <w:pBdr>
          <w:top w:val="single" w:color="auto" w:sz="4" w:space="1"/>
          <w:left w:val="single" w:color="auto" w:sz="4" w:space="4"/>
          <w:bottom w:val="single" w:color="auto" w:sz="4" w:space="1"/>
          <w:right w:val="single" w:color="auto" w:sz="4" w:space="4"/>
        </w:pBdr>
        <w:spacing w:line="360" w:lineRule="auto"/>
        <w:jc w:val="both"/>
        <w:rPr>
          <w:sz w:val="24"/>
          <w:szCs w:val="24"/>
        </w:rPr>
      </w:pPr>
      <w:r>
        <w:rPr>
          <w:i/>
          <w:sz w:val="24"/>
          <w:szCs w:val="24"/>
        </w:rPr>
        <w:t>Role and Responsibilities:</w:t>
      </w:r>
      <w:r>
        <w:rPr>
          <w:sz w:val="24"/>
          <w:szCs w:val="24"/>
        </w:rPr>
        <w:t xml:space="preserve"> </w:t>
      </w:r>
      <w:r>
        <w:rPr>
          <w:sz w:val="24"/>
          <w:szCs w:val="24"/>
        </w:rPr>
        <w:t>An accountant who maintains</w:t>
      </w:r>
      <w:r>
        <w:rPr>
          <w:sz w:val="24"/>
          <w:szCs w:val="24"/>
        </w:rPr>
        <w:t xml:space="preserve"> financial records, </w:t>
      </w:r>
      <w:r>
        <w:rPr>
          <w:sz w:val="24"/>
          <w:szCs w:val="24"/>
        </w:rPr>
        <w:t>ensure</w:t>
      </w:r>
      <w:r>
        <w:rPr>
          <w:sz w:val="24"/>
          <w:szCs w:val="24"/>
        </w:rPr>
        <w:t xml:space="preserve"> tax compliance, </w:t>
      </w:r>
      <w:r>
        <w:rPr>
          <w:sz w:val="24"/>
          <w:szCs w:val="24"/>
        </w:rPr>
        <w:t>manage</w:t>
      </w:r>
      <w:r>
        <w:rPr>
          <w:sz w:val="24"/>
          <w:szCs w:val="24"/>
        </w:rPr>
        <w:t xml:space="preserve"> costs and inventory, </w:t>
      </w:r>
      <w:r>
        <w:rPr>
          <w:sz w:val="24"/>
          <w:szCs w:val="24"/>
        </w:rPr>
        <w:t xml:space="preserve">and </w:t>
      </w:r>
      <w:r>
        <w:rPr>
          <w:sz w:val="24"/>
          <w:szCs w:val="24"/>
        </w:rPr>
        <w:t>oversee cash flow</w:t>
      </w:r>
      <w:r>
        <w:rPr>
          <w:sz w:val="24"/>
          <w:szCs w:val="24"/>
        </w:rPr>
        <w:t>.</w:t>
      </w:r>
    </w:p>
    <w:p w14:paraId="000000A5">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A6">
      <w:pPr>
        <w:pBdr>
          <w:top w:val="single" w:color="auto" w:sz="4" w:space="1"/>
          <w:left w:val="single" w:color="auto" w:sz="4" w:space="4"/>
          <w:bottom w:val="single" w:color="auto" w:sz="4" w:space="1"/>
          <w:right w:val="single" w:color="auto" w:sz="4" w:space="4"/>
        </w:pBdr>
        <w:spacing w:line="360" w:lineRule="auto"/>
        <w:jc w:val="both"/>
        <w:rPr>
          <w:sz w:val="24"/>
          <w:szCs w:val="24"/>
        </w:rPr>
      </w:pPr>
    </w:p>
    <w:p w14:paraId="000000A7">
      <w:pPr>
        <w:spacing w:line="360" w:lineRule="auto"/>
        <w:jc w:val="both"/>
        <w:rPr>
          <w:color w:val="a6a6a6" w:themeColor="background1" w:themeShade="a6"/>
          <w:sz w:val="24"/>
          <w:szCs w:val="24"/>
        </w:rPr>
      </w:pPr>
    </w:p>
    <w:p w14:paraId="000000A8">
      <w:pPr>
        <w:spacing w:line="360" w:lineRule="auto"/>
        <w:jc w:val="both"/>
        <w:rPr>
          <w:bCs/>
          <w:sz w:val="22"/>
          <w:szCs w:val="22"/>
        </w:rPr>
      </w:pPr>
    </w:p>
    <w:p w14:paraId="000000A9">
      <w:pPr>
        <w:spacing w:line="360" w:lineRule="auto"/>
        <w:jc w:val="both"/>
        <w:rPr>
          <w:i/>
          <w:iCs/>
          <w:color w:val="ff0000"/>
          <w:sz w:val="24"/>
          <w:szCs w:val="24"/>
        </w:rPr>
      </w:pPr>
      <w:r>
        <w:rPr>
          <w:b/>
          <w:bCs/>
          <w:i/>
          <w:iCs/>
          <w:sz w:val="24"/>
          <w:szCs w:val="24"/>
        </w:rPr>
        <w:t>3.2 Skills</w:t>
      </w:r>
      <w:r>
        <w:rPr>
          <w:b/>
          <w:bCs/>
          <w:i/>
          <w:iCs/>
          <w:sz w:val="24"/>
          <w:szCs w:val="24"/>
        </w:rPr>
        <w:t xml:space="preserve"> Gaps &amp; Key Partners</w:t>
      </w:r>
    </w:p>
    <w:p w14:paraId="000000AA">
      <w:pPr>
        <w:spacing w:line="360" w:lineRule="auto"/>
        <w:jc w:val="both"/>
        <w:rPr>
          <w:color w:val="a6a6a6" w:themeColor="background1" w:themeShade="a6"/>
          <w:sz w:val="24"/>
          <w:szCs w:val="24"/>
        </w:rPr>
      </w:pPr>
    </w:p>
    <w:p w14:paraId="000000AB">
      <w:pPr>
        <w:spacing w:line="360" w:lineRule="auto"/>
        <w:jc w:val="both"/>
        <w:rPr>
          <w:bCs/>
          <w:sz w:val="24"/>
          <w:szCs w:val="24"/>
        </w:rPr>
      </w:pPr>
      <w:r>
        <w:rPr>
          <w:b/>
          <w:bCs/>
          <w:sz w:val="24"/>
          <w:szCs w:val="24"/>
        </w:rPr>
        <w:t>3.2.1 Additional</w:t>
      </w:r>
      <w:r>
        <w:rPr>
          <w:b/>
          <w:bCs/>
          <w:sz w:val="24"/>
          <w:szCs w:val="24"/>
        </w:rPr>
        <w:t xml:space="preserve"> Staff Requirements (Roles and Responsibilities):</w:t>
      </w:r>
    </w:p>
    <w:p w14:paraId="000000AC">
      <w:pPr>
        <w:pStyle w:val="ListParagraph"/>
        <w:numPr>
          <w:ilvl w:val="0"/>
          <w:numId w:val="7"/>
        </w:numPr>
        <w:spacing w:line="360" w:lineRule="auto"/>
        <w:ind w:left="360"/>
        <w:jc w:val="both"/>
        <w:rPr>
          <w:bCs/>
          <w:sz w:val="24"/>
          <w:szCs w:val="24"/>
        </w:rPr>
      </w:pPr>
      <w:r>
        <w:rPr>
          <w:bCs/>
          <w:sz w:val="24"/>
          <w:szCs w:val="24"/>
        </w:rPr>
        <w:t xml:space="preserve"> </w:t>
      </w:r>
      <w:r>
        <w:rPr>
          <w:bCs/>
          <w:sz w:val="24"/>
          <w:szCs w:val="24"/>
        </w:rPr>
        <w:t>Specialist: For sustainable seafood sourcing, a specialist needs to be recruited.</w:t>
      </w:r>
    </w:p>
    <w:p w14:paraId="000000AD">
      <w:pPr>
        <w:pStyle w:val="ListParagraph"/>
        <w:numPr>
          <w:ilvl w:val="0"/>
          <w:numId w:val="7"/>
        </w:numPr>
        <w:spacing w:line="360" w:lineRule="auto"/>
        <w:ind w:left="360"/>
        <w:jc w:val="both"/>
        <w:rPr>
          <w:bCs/>
          <w:sz w:val="24"/>
          <w:szCs w:val="24"/>
        </w:rPr>
      </w:pPr>
      <w:r>
        <w:rPr>
          <w:bCs/>
          <w:sz w:val="24"/>
          <w:szCs w:val="24"/>
        </w:rPr>
        <w:t>Sustainability Coordinator: The coordinator ensures that sustainability practices such as renewable energy usage, and waste management stick to the business operations.</w:t>
      </w:r>
    </w:p>
    <w:p w14:paraId="000000AE">
      <w:pPr>
        <w:pStyle w:val="ListParagraph"/>
        <w:numPr>
          <w:ilvl w:val="0"/>
          <w:numId w:val="7"/>
        </w:numPr>
        <w:spacing w:line="360" w:lineRule="auto"/>
        <w:ind w:left="360"/>
        <w:jc w:val="both"/>
        <w:rPr>
          <w:bCs/>
          <w:sz w:val="24"/>
          <w:szCs w:val="24"/>
        </w:rPr>
      </w:pPr>
      <w:r>
        <w:rPr>
          <w:bCs/>
          <w:sz w:val="24"/>
          <w:szCs w:val="24"/>
        </w:rPr>
        <w:t>Digital Marketing Manager: The management will be responsible for increasing the online presence of the restaurant</w:t>
      </w:r>
      <w:r>
        <w:rPr>
          <w:bCs/>
          <w:sz w:val="24"/>
          <w:szCs w:val="24"/>
        </w:rPr>
        <w:t xml:space="preserve"> (Ciapponi, 2023)</w:t>
      </w:r>
      <w:r>
        <w:rPr>
          <w:bCs/>
          <w:sz w:val="24"/>
          <w:szCs w:val="24"/>
        </w:rPr>
        <w:t>.</w:t>
      </w:r>
    </w:p>
    <w:p w14:paraId="000000AF">
      <w:pPr>
        <w:spacing w:line="360" w:lineRule="auto"/>
        <w:jc w:val="both"/>
        <w:rPr>
          <w:bCs/>
          <w:sz w:val="24"/>
          <w:szCs w:val="24"/>
        </w:rPr>
      </w:pPr>
    </w:p>
    <w:p w14:paraId="000000B0">
      <w:pPr>
        <w:spacing w:line="360" w:lineRule="auto"/>
        <w:jc w:val="both"/>
        <w:rPr>
          <w:bCs/>
          <w:i/>
          <w:color w:val="ff0000"/>
          <w:sz w:val="24"/>
          <w:szCs w:val="24"/>
        </w:rPr>
      </w:pPr>
      <w:r>
        <w:rPr>
          <w:b/>
          <w:bCs/>
          <w:sz w:val="24"/>
          <w:szCs w:val="24"/>
        </w:rPr>
        <w:t>3.2.2 Training</w:t>
      </w:r>
      <w:r>
        <w:rPr>
          <w:b/>
          <w:bCs/>
          <w:sz w:val="24"/>
          <w:szCs w:val="24"/>
        </w:rPr>
        <w:t xml:space="preserve"> and Development:</w:t>
      </w:r>
    </w:p>
    <w:p w14:paraId="000000B1">
      <w:pPr>
        <w:pStyle w:val="ListParagraph"/>
        <w:numPr>
          <w:ilvl w:val="0"/>
          <w:numId w:val="7"/>
        </w:numPr>
        <w:spacing w:line="360" w:lineRule="auto"/>
        <w:ind w:left="360"/>
        <w:jc w:val="both"/>
        <w:rPr>
          <w:bCs/>
          <w:sz w:val="24"/>
          <w:szCs w:val="24"/>
        </w:rPr>
      </w:pPr>
      <w:r>
        <w:rPr>
          <w:bCs/>
          <w:sz w:val="24"/>
          <w:szCs w:val="24"/>
        </w:rPr>
        <w:t xml:space="preserve">Customer Service Excellence: </w:t>
      </w:r>
      <w:r>
        <w:rPr>
          <w:bCs/>
          <w:sz w:val="24"/>
          <w:szCs w:val="24"/>
        </w:rPr>
        <w:t>T</w:t>
      </w:r>
      <w:r>
        <w:rPr>
          <w:bCs/>
          <w:sz w:val="24"/>
          <w:szCs w:val="24"/>
        </w:rPr>
        <w:t>raining and development opportunities should be offered to the employees on customer service</w:t>
      </w:r>
      <w:r>
        <w:rPr>
          <w:bCs/>
          <w:sz w:val="24"/>
          <w:szCs w:val="24"/>
        </w:rPr>
        <w:t xml:space="preserve"> for enhanced services.</w:t>
      </w:r>
    </w:p>
    <w:p w14:paraId="000000B2">
      <w:pPr>
        <w:pStyle w:val="ListParagraph"/>
        <w:numPr>
          <w:ilvl w:val="0"/>
          <w:numId w:val="7"/>
        </w:numPr>
        <w:spacing w:line="360" w:lineRule="auto"/>
        <w:ind w:left="360"/>
        <w:jc w:val="both"/>
        <w:rPr>
          <w:bCs/>
          <w:sz w:val="24"/>
          <w:szCs w:val="24"/>
        </w:rPr>
      </w:pPr>
      <w:r>
        <w:rPr>
          <w:bCs/>
          <w:sz w:val="24"/>
          <w:szCs w:val="24"/>
        </w:rPr>
        <w:t xml:space="preserve">Food Safety and Hygiene: </w:t>
      </w:r>
      <w:r>
        <w:rPr>
          <w:bCs/>
          <w:sz w:val="24"/>
          <w:szCs w:val="24"/>
        </w:rPr>
        <w:t>Staff should be trained on safety standards</w:t>
      </w:r>
      <w:r>
        <w:rPr>
          <w:bCs/>
          <w:sz w:val="24"/>
          <w:szCs w:val="24"/>
        </w:rPr>
        <w:t xml:space="preserve"> (Choi and Rajagopal, 2013)</w:t>
      </w:r>
      <w:r>
        <w:rPr>
          <w:bCs/>
          <w:sz w:val="24"/>
          <w:szCs w:val="24"/>
        </w:rPr>
        <w:t>.</w:t>
      </w:r>
    </w:p>
    <w:p w14:paraId="000000B3">
      <w:pPr>
        <w:pStyle w:val="ListParagraph"/>
        <w:numPr>
          <w:ilvl w:val="0"/>
          <w:numId w:val="7"/>
        </w:numPr>
        <w:spacing w:line="360" w:lineRule="auto"/>
        <w:ind w:left="360"/>
        <w:jc w:val="both"/>
        <w:rPr>
          <w:bCs/>
          <w:sz w:val="24"/>
          <w:szCs w:val="24"/>
        </w:rPr>
      </w:pPr>
      <w:r>
        <w:rPr>
          <w:bCs/>
          <w:sz w:val="24"/>
          <w:szCs w:val="24"/>
        </w:rPr>
        <w:t>Leadership Management: The management needs training in leadership management so that it can effectively direct and manage the team to achieve the organisational goals and objectives</w:t>
      </w:r>
      <w:r>
        <w:rPr>
          <w:bCs/>
          <w:sz w:val="24"/>
          <w:szCs w:val="24"/>
        </w:rPr>
        <w:t xml:space="preserve"> (Torrington and Hall, 2020)</w:t>
      </w:r>
      <w:r>
        <w:rPr>
          <w:bCs/>
          <w:sz w:val="24"/>
          <w:szCs w:val="24"/>
        </w:rPr>
        <w:t>.</w:t>
      </w:r>
    </w:p>
    <w:p w14:paraId="000000B4">
      <w:pPr>
        <w:spacing w:line="360" w:lineRule="auto"/>
        <w:jc w:val="both"/>
        <w:rPr>
          <w:bCs/>
          <w:sz w:val="24"/>
          <w:szCs w:val="24"/>
        </w:rPr>
      </w:pPr>
    </w:p>
    <w:p w14:paraId="000000B5">
      <w:pPr>
        <w:spacing w:line="360" w:lineRule="auto"/>
        <w:jc w:val="both"/>
        <w:rPr>
          <w:bCs/>
          <w:i/>
          <w:sz w:val="24"/>
          <w:szCs w:val="24"/>
        </w:rPr>
      </w:pPr>
      <w:r>
        <w:rPr>
          <w:b/>
          <w:bCs/>
          <w:sz w:val="24"/>
          <w:szCs w:val="24"/>
        </w:rPr>
        <w:t>3.2.3 Outsourced</w:t>
      </w:r>
      <w:r>
        <w:rPr>
          <w:b/>
          <w:bCs/>
          <w:sz w:val="24"/>
          <w:szCs w:val="24"/>
        </w:rPr>
        <w:t xml:space="preserve"> Support / Key Partners:</w:t>
      </w:r>
      <w:r>
        <w:rPr>
          <w:b/>
          <w:bCs/>
          <w:sz w:val="24"/>
          <w:szCs w:val="24"/>
        </w:rPr>
        <w:br w:type="textWrapping"/>
      </w:r>
    </w:p>
    <w:p w14:paraId="000000B6">
      <w:pPr>
        <w:pStyle w:val="ListParagraph"/>
        <w:numPr>
          <w:ilvl w:val="0"/>
          <w:numId w:val="7"/>
        </w:numPr>
        <w:spacing w:line="360" w:lineRule="auto"/>
        <w:ind w:left="360"/>
        <w:jc w:val="both"/>
        <w:rPr>
          <w:bCs/>
          <w:sz w:val="24"/>
          <w:szCs w:val="24"/>
        </w:rPr>
      </w:pPr>
      <w:r>
        <w:rPr>
          <w:bCs/>
          <w:sz w:val="24"/>
          <w:szCs w:val="24"/>
        </w:rPr>
        <w:t>Accounting Services: The restaurant will streamline its operations by using Cogneesol's services. They support the financial management and accounting aspects of the restaurant</w:t>
      </w:r>
      <w:r>
        <w:rPr>
          <w:bCs/>
          <w:sz w:val="24"/>
          <w:szCs w:val="24"/>
        </w:rPr>
        <w:t xml:space="preserve"> (Cogneesol, 2024)</w:t>
      </w:r>
      <w:r>
        <w:rPr>
          <w:bCs/>
          <w:sz w:val="24"/>
          <w:szCs w:val="24"/>
        </w:rPr>
        <w:t>.</w:t>
      </w:r>
    </w:p>
    <w:p w14:paraId="000000B7">
      <w:pPr>
        <w:pStyle w:val="ListParagraph"/>
        <w:numPr>
          <w:ilvl w:val="0"/>
          <w:numId w:val="7"/>
        </w:numPr>
        <w:spacing w:line="360" w:lineRule="auto"/>
        <w:ind w:left="360"/>
        <w:jc w:val="both"/>
        <w:rPr>
          <w:bCs/>
          <w:sz w:val="24"/>
          <w:szCs w:val="24"/>
        </w:rPr>
      </w:pPr>
      <w:r>
        <w:rPr>
          <w:bCs/>
          <w:sz w:val="24"/>
          <w:szCs w:val="24"/>
        </w:rPr>
        <w:t>IT and Systems Integration: Menzies can help to integrate IT systems in the restaurant</w:t>
      </w:r>
      <w:r>
        <w:rPr>
          <w:bCs/>
          <w:sz w:val="24"/>
          <w:szCs w:val="24"/>
        </w:rPr>
        <w:t xml:space="preserve"> (Menzies, 2024)</w:t>
      </w:r>
      <w:r>
        <w:rPr>
          <w:bCs/>
          <w:sz w:val="24"/>
          <w:szCs w:val="24"/>
        </w:rPr>
        <w:t>.</w:t>
      </w:r>
    </w:p>
    <w:p w14:paraId="000000B8">
      <w:pPr>
        <w:pStyle w:val="ListParagraph"/>
        <w:numPr>
          <w:ilvl w:val="0"/>
          <w:numId w:val="7"/>
        </w:numPr>
        <w:spacing w:line="360" w:lineRule="auto"/>
        <w:ind w:left="360"/>
        <w:jc w:val="both"/>
        <w:rPr>
          <w:bCs/>
          <w:sz w:val="24"/>
          <w:szCs w:val="24"/>
        </w:rPr>
      </w:pPr>
      <w:r>
        <w:rPr>
          <w:bCs/>
          <w:sz w:val="24"/>
          <w:szCs w:val="24"/>
        </w:rPr>
        <w:t>Legal Support: A local law firm</w:t>
      </w:r>
      <w:r>
        <w:rPr>
          <w:bCs/>
          <w:sz w:val="24"/>
          <w:szCs w:val="24"/>
        </w:rPr>
        <w:t xml:space="preserve"> in London</w:t>
      </w:r>
      <w:r>
        <w:rPr>
          <w:bCs/>
          <w:sz w:val="24"/>
          <w:szCs w:val="24"/>
        </w:rPr>
        <w:t xml:space="preserve"> can be chosen for getting legal support.</w:t>
      </w:r>
    </w:p>
    <w:p w14:paraId="000000B9">
      <w:pPr>
        <w:spacing w:line="360" w:lineRule="auto"/>
        <w:jc w:val="both"/>
        <w:rPr>
          <w:b/>
          <w:sz w:val="32"/>
        </w:rPr>
      </w:pPr>
      <w:r>
        <w:rPr>
          <w:bCs/>
          <w:i/>
          <w:sz w:val="22"/>
          <w:szCs w:val="22"/>
        </w:rPr>
        <w:br w:type="page"/>
      </w:r>
      <w:r>
        <w:rPr>
          <w:b/>
          <w:sz w:val="28"/>
          <w:szCs w:val="18"/>
        </w:rPr>
        <w:t>4. MARKET RESEARCH</w:t>
      </w:r>
    </w:p>
    <w:p w14:paraId="000000BA">
      <w:pPr>
        <w:spacing w:line="360" w:lineRule="auto"/>
        <w:jc w:val="both"/>
        <w:rPr>
          <w:bCs/>
          <w:sz w:val="28"/>
        </w:rPr>
      </w:pPr>
    </w:p>
    <w:p w14:paraId="000000BB">
      <w:pPr>
        <w:spacing w:line="360" w:lineRule="auto"/>
        <w:jc w:val="both"/>
        <w:rPr>
          <w:i/>
          <w:iCs/>
          <w:color w:val="ff0000"/>
          <w:sz w:val="24"/>
          <w:szCs w:val="24"/>
        </w:rPr>
      </w:pPr>
      <w:r>
        <w:rPr>
          <w:b/>
          <w:i/>
          <w:iCs/>
          <w:sz w:val="24"/>
          <w:szCs w:val="24"/>
        </w:rPr>
        <w:t>4.1</w:t>
      </w:r>
      <w:r>
        <w:rPr>
          <w:b/>
          <w:sz w:val="24"/>
          <w:szCs w:val="24"/>
        </w:rPr>
        <w:t xml:space="preserve"> Market</w:t>
      </w:r>
      <w:r>
        <w:rPr>
          <w:b/>
          <w:bCs/>
          <w:i/>
          <w:iCs/>
          <w:sz w:val="24"/>
          <w:szCs w:val="24"/>
        </w:rPr>
        <w:t xml:space="preserve"> Information, Trends and External Factors</w:t>
      </w:r>
    </w:p>
    <w:p w14:paraId="000000BC">
      <w:pPr>
        <w:spacing w:line="360" w:lineRule="auto"/>
        <w:jc w:val="both"/>
        <w:rPr>
          <w:bCs/>
          <w:sz w:val="24"/>
          <w:szCs w:val="24"/>
        </w:rPr>
      </w:pPr>
      <w:r>
        <w:rPr>
          <w:bCs/>
          <w:sz w:val="24"/>
          <w:szCs w:val="24"/>
        </w:rPr>
        <w:t>The UK seafood market is growing at a significant rate. The seafood industry in the UK had a 7% growth in 2022. The UK exported to 117 countries around the world of 454,000 tonnes of seafood which was worth £1.7 billion in the same year</w:t>
      </w:r>
      <w:r>
        <w:rPr>
          <w:bCs/>
          <w:sz w:val="24"/>
          <w:szCs w:val="24"/>
        </w:rPr>
        <w:t xml:space="preserve"> (Seafish, 2024)</w:t>
      </w:r>
      <w:r>
        <w:rPr>
          <w:bCs/>
          <w:sz w:val="24"/>
          <w:szCs w:val="24"/>
        </w:rPr>
        <w:t>. The estimated consumer expenditure was £4.33 billion in that year which shows the growing demand for seafood in the UK</w:t>
      </w:r>
      <w:r>
        <w:rPr>
          <w:bCs/>
          <w:sz w:val="24"/>
          <w:szCs w:val="24"/>
        </w:rPr>
        <w:t xml:space="preserve"> (</w:t>
      </w:r>
      <w:r>
        <w:rPr>
          <w:bCs/>
          <w:sz w:val="24"/>
          <w:szCs w:val="24"/>
        </w:rPr>
        <w:t>Statista,</w:t>
      </w:r>
      <w:r>
        <w:rPr>
          <w:bCs/>
          <w:sz w:val="24"/>
          <w:szCs w:val="24"/>
        </w:rPr>
        <w:t xml:space="preserve"> 2024)</w:t>
      </w:r>
      <w:r>
        <w:rPr>
          <w:bCs/>
          <w:sz w:val="24"/>
          <w:szCs w:val="24"/>
        </w:rPr>
        <w:t>. This market information suggests that Seafood Shack has immense potential in the UK market to grow and succeed in the long run.</w:t>
      </w:r>
    </w:p>
    <w:p w14:paraId="000000BD">
      <w:pPr>
        <w:spacing w:line="360" w:lineRule="auto"/>
        <w:jc w:val="both"/>
        <w:rPr>
          <w:bCs/>
          <w:sz w:val="24"/>
          <w:szCs w:val="24"/>
        </w:rPr>
      </w:pPr>
      <w:r>
        <w:rPr>
          <w:bCs/>
          <w:sz w:val="24"/>
          <w:szCs w:val="24"/>
        </w:rPr>
        <w:t>The UK market has a growing trend for sustainable and healthy food consumption. Consumers prefer sustainable foods and healthy lifestyles which align with the Seafood Shack's commitment to sustainability</w:t>
      </w:r>
      <w:r>
        <w:rPr>
          <w:bCs/>
          <w:sz w:val="24"/>
          <w:szCs w:val="24"/>
        </w:rPr>
        <w:t xml:space="preserve"> (Alae-Carew et al., 2021)</w:t>
      </w:r>
      <w:r>
        <w:rPr>
          <w:bCs/>
          <w:sz w:val="24"/>
          <w:szCs w:val="24"/>
        </w:rPr>
        <w:t>. After the COVID-19 pandemic, the seafood market in the UK has been volatile. The reason for the volatility can be identified as the rising inflation. As a result, the import volume declined significantly. Although the volume of imports declined, the value of the seafood increased by 1.3% within 12 months in 2020</w:t>
      </w:r>
      <w:r>
        <w:rPr>
          <w:bCs/>
          <w:sz w:val="24"/>
          <w:szCs w:val="24"/>
        </w:rPr>
        <w:t xml:space="preserve"> (Seafish, 2023)</w:t>
      </w:r>
      <w:r>
        <w:rPr>
          <w:bCs/>
          <w:sz w:val="24"/>
          <w:szCs w:val="24"/>
        </w:rPr>
        <w:t>.</w:t>
      </w:r>
      <w:r>
        <w:rPr>
          <w:bCs/>
          <w:sz w:val="24"/>
          <w:szCs w:val="24"/>
        </w:rPr>
        <w:t xml:space="preserve"> </w:t>
      </w:r>
    </w:p>
    <w:p w14:paraId="000000BE">
      <w:pPr>
        <w:spacing w:line="360" w:lineRule="auto"/>
        <w:jc w:val="both"/>
        <w:rPr>
          <w:b/>
          <w:sz w:val="24"/>
          <w:szCs w:val="24"/>
          <w:u w:val="single"/>
        </w:rPr>
      </w:pPr>
      <w:r>
        <w:rPr>
          <w:b/>
          <w:sz w:val="24"/>
          <w:szCs w:val="24"/>
          <w:u w:val="single"/>
        </w:rPr>
        <w:t>PEST Analysis Findings:</w:t>
      </w:r>
    </w:p>
    <w:p w14:paraId="000000BF">
      <w:pPr>
        <w:spacing w:line="360" w:lineRule="auto"/>
        <w:jc w:val="both"/>
        <w:rPr>
          <w:bCs/>
          <w:sz w:val="24"/>
          <w:szCs w:val="24"/>
        </w:rPr>
      </w:pPr>
      <w:r>
        <w:rPr>
          <w:bCs/>
          <w:sz w:val="24"/>
          <w:szCs w:val="24"/>
        </w:rPr>
        <w:t>Political Factors: Brexit affected the UK's trade with other EU countries and the influx of international tourists</w:t>
      </w:r>
      <w:r>
        <w:rPr>
          <w:bCs/>
          <w:sz w:val="24"/>
          <w:szCs w:val="24"/>
        </w:rPr>
        <w:t xml:space="preserve"> (RSE, 2023)</w:t>
      </w:r>
      <w:r>
        <w:rPr>
          <w:bCs/>
          <w:sz w:val="24"/>
          <w:szCs w:val="24"/>
        </w:rPr>
        <w:t>. These can reduce the demand side of the restaurant.</w:t>
      </w:r>
    </w:p>
    <w:p w14:paraId="000000C0">
      <w:pPr>
        <w:spacing w:line="360" w:lineRule="auto"/>
        <w:jc w:val="both"/>
        <w:rPr>
          <w:bCs/>
          <w:sz w:val="24"/>
          <w:szCs w:val="24"/>
        </w:rPr>
      </w:pPr>
      <w:r>
        <w:rPr>
          <w:bCs/>
          <w:sz w:val="24"/>
          <w:szCs w:val="24"/>
        </w:rPr>
        <w:t>Economic Factors: The rising cost of living and inflation have changed consumer purchasing behaviour</w:t>
      </w:r>
      <w:r>
        <w:rPr>
          <w:bCs/>
          <w:sz w:val="24"/>
          <w:szCs w:val="24"/>
        </w:rPr>
        <w:t xml:space="preserve"> (BBC, 2023)</w:t>
      </w:r>
      <w:r>
        <w:rPr>
          <w:bCs/>
          <w:sz w:val="24"/>
          <w:szCs w:val="24"/>
        </w:rPr>
        <w:t>.</w:t>
      </w:r>
    </w:p>
    <w:p w14:paraId="000000C1">
      <w:pPr>
        <w:spacing w:line="360" w:lineRule="auto"/>
        <w:jc w:val="both"/>
        <w:rPr>
          <w:bCs/>
          <w:sz w:val="24"/>
          <w:szCs w:val="24"/>
        </w:rPr>
      </w:pPr>
      <w:r>
        <w:rPr>
          <w:bCs/>
          <w:sz w:val="24"/>
          <w:szCs w:val="24"/>
        </w:rPr>
        <w:t>Social Factors: The ageing population in the UK, those between 50 to 75 years old, are the biggest fish consumers</w:t>
      </w:r>
      <w:r>
        <w:rPr>
          <w:bCs/>
          <w:sz w:val="24"/>
          <w:szCs w:val="24"/>
        </w:rPr>
        <w:t xml:space="preserve"> (</w:t>
      </w:r>
      <w:r>
        <w:rPr>
          <w:bCs/>
          <w:sz w:val="24"/>
          <w:szCs w:val="24"/>
        </w:rPr>
        <w:t>Statista,</w:t>
      </w:r>
      <w:r>
        <w:rPr>
          <w:bCs/>
          <w:sz w:val="24"/>
          <w:szCs w:val="24"/>
        </w:rPr>
        <w:t xml:space="preserve"> 2024)</w:t>
      </w:r>
      <w:r>
        <w:rPr>
          <w:bCs/>
          <w:sz w:val="24"/>
          <w:szCs w:val="24"/>
        </w:rPr>
        <w:t>. The restaurant can target the customer segment to achieve a greater market share.</w:t>
      </w:r>
    </w:p>
    <w:p w14:paraId="000000C2">
      <w:pPr>
        <w:spacing w:line="360" w:lineRule="auto"/>
        <w:jc w:val="both"/>
        <w:rPr>
          <w:bCs/>
          <w:sz w:val="24"/>
          <w:szCs w:val="24"/>
        </w:rPr>
      </w:pPr>
      <w:r>
        <w:rPr>
          <w:bCs/>
          <w:sz w:val="24"/>
          <w:szCs w:val="24"/>
        </w:rPr>
        <w:t>Technological Factors: The advancement in green technology and other technologies in the UK can enhance restaurant operations.</w:t>
      </w:r>
    </w:p>
    <w:p w14:paraId="000000C3">
      <w:pPr>
        <w:spacing w:line="360" w:lineRule="auto"/>
        <w:jc w:val="both"/>
        <w:rPr>
          <w:b/>
          <w:sz w:val="24"/>
          <w:szCs w:val="24"/>
          <w:u w:val="single"/>
        </w:rPr>
      </w:pPr>
      <w:r>
        <w:rPr>
          <w:b/>
          <w:sz w:val="24"/>
          <w:szCs w:val="24"/>
          <w:u w:val="single"/>
        </w:rPr>
        <w:t>Strategies to Overcome External Challenges:</w:t>
      </w:r>
    </w:p>
    <w:p w14:paraId="000000C4">
      <w:pPr>
        <w:pStyle w:val="ListParagraph"/>
        <w:numPr>
          <w:ilvl w:val="0"/>
          <w:numId w:val="25"/>
        </w:numPr>
        <w:spacing w:line="360" w:lineRule="auto"/>
        <w:jc w:val="both"/>
        <w:rPr>
          <w:bCs/>
          <w:sz w:val="24"/>
          <w:szCs w:val="24"/>
        </w:rPr>
      </w:pPr>
      <w:r>
        <w:rPr>
          <w:bCs/>
          <w:sz w:val="24"/>
          <w:szCs w:val="24"/>
        </w:rPr>
        <w:t>The restaurant will ensure that its supply chain is diversified so that the disruption caused by the economic or political issues is addressed</w:t>
      </w:r>
      <w:r>
        <w:rPr>
          <w:bCs/>
          <w:sz w:val="24"/>
          <w:szCs w:val="24"/>
        </w:rPr>
        <w:t xml:space="preserve"> (Burns, 2016)</w:t>
      </w:r>
      <w:r>
        <w:rPr>
          <w:bCs/>
          <w:sz w:val="24"/>
          <w:szCs w:val="24"/>
        </w:rPr>
        <w:t>.</w:t>
      </w:r>
    </w:p>
    <w:p w14:paraId="000000C5">
      <w:pPr>
        <w:pStyle w:val="ListParagraph"/>
        <w:numPr>
          <w:ilvl w:val="0"/>
          <w:numId w:val="25"/>
        </w:numPr>
        <w:spacing w:line="360" w:lineRule="auto"/>
        <w:jc w:val="both"/>
        <w:rPr>
          <w:bCs/>
          <w:sz w:val="24"/>
          <w:szCs w:val="24"/>
        </w:rPr>
      </w:pPr>
      <w:r>
        <w:rPr>
          <w:bCs/>
          <w:sz w:val="24"/>
          <w:szCs w:val="24"/>
        </w:rPr>
        <w:t>Making the pricing flexible, the business can overcome the economic challenges and drop in seafood demand. The purchasing power of the people and economic conditions can be considered to adjust the prices.</w:t>
      </w:r>
    </w:p>
    <w:p w14:paraId="000000C6">
      <w:pPr>
        <w:spacing w:line="360" w:lineRule="auto"/>
        <w:jc w:val="both"/>
        <w:rPr>
          <w:b/>
          <w:i/>
          <w:iCs/>
          <w:sz w:val="24"/>
          <w:szCs w:val="24"/>
        </w:rPr>
      </w:pPr>
    </w:p>
    <w:p w14:paraId="000000C7">
      <w:pPr>
        <w:spacing w:line="360" w:lineRule="auto"/>
        <w:jc w:val="both"/>
        <w:rPr>
          <w:b/>
          <w:i/>
          <w:iCs/>
          <w:sz w:val="24"/>
          <w:szCs w:val="24"/>
        </w:rPr>
      </w:pPr>
    </w:p>
    <w:p w14:paraId="000000C8">
      <w:pPr>
        <w:spacing w:line="360" w:lineRule="auto"/>
        <w:jc w:val="both"/>
        <w:rPr>
          <w:i/>
          <w:iCs/>
          <w:color w:val="ff0000"/>
          <w:sz w:val="24"/>
          <w:szCs w:val="24"/>
        </w:rPr>
      </w:pPr>
      <w:r>
        <w:rPr>
          <w:b/>
          <w:i/>
          <w:iCs/>
          <w:sz w:val="24"/>
          <w:szCs w:val="24"/>
        </w:rPr>
        <w:t>4.2 Customer</w:t>
      </w:r>
      <w:r>
        <w:rPr>
          <w:b/>
          <w:i/>
          <w:iCs/>
          <w:sz w:val="24"/>
          <w:szCs w:val="24"/>
        </w:rPr>
        <w:t xml:space="preserve"> Profiles</w:t>
      </w:r>
    </w:p>
    <w:p w14:paraId="000000C9">
      <w:pPr>
        <w:pStyle w:val="ListParagraph"/>
        <w:numPr>
          <w:ilvl w:val="0"/>
          <w:numId w:val="13"/>
        </w:numPr>
        <w:spacing w:line="360" w:lineRule="auto"/>
        <w:jc w:val="both"/>
        <w:rPr>
          <w:bCs/>
          <w:sz w:val="24"/>
          <w:szCs w:val="24"/>
        </w:rPr>
      </w:pPr>
      <w:r>
        <w:rPr>
          <w:b/>
          <w:sz w:val="24"/>
          <w:szCs w:val="24"/>
        </w:rPr>
        <w:t xml:space="preserve">The </w:t>
      </w:r>
      <w:r>
        <w:rPr>
          <w:b/>
          <w:sz w:val="24"/>
          <w:szCs w:val="24"/>
        </w:rPr>
        <w:t>Health-Conscious</w:t>
      </w:r>
      <w:r>
        <w:rPr>
          <w:b/>
          <w:sz w:val="24"/>
          <w:szCs w:val="24"/>
        </w:rPr>
        <w:t xml:space="preserve"> Professional:</w:t>
      </w:r>
      <w:r>
        <w:rPr>
          <w:bCs/>
          <w:sz w:val="24"/>
          <w:szCs w:val="24"/>
        </w:rPr>
        <w:t xml:space="preserve"> This particular market segment has a high interest in healthy living, wellness, and fitness. Usually, they are aged between 30 to 50 years old. They like to pay a premium for healthy and sustainable foods. They may choose Seafood Shack because the restaurant will provide fresh and quality fish and uphold sustainability practices</w:t>
      </w:r>
      <w:r>
        <w:rPr>
          <w:bCs/>
          <w:sz w:val="24"/>
          <w:szCs w:val="24"/>
        </w:rPr>
        <w:t xml:space="preserve"> (Gazdecki et al., 2021)</w:t>
      </w:r>
      <w:r>
        <w:rPr>
          <w:bCs/>
          <w:sz w:val="24"/>
          <w:szCs w:val="24"/>
        </w:rPr>
        <w:t>.</w:t>
      </w:r>
    </w:p>
    <w:p w14:paraId="000000CA">
      <w:pPr>
        <w:pStyle w:val="ListParagraph"/>
        <w:numPr>
          <w:ilvl w:val="0"/>
          <w:numId w:val="13"/>
        </w:numPr>
        <w:spacing w:line="360" w:lineRule="auto"/>
        <w:jc w:val="both"/>
        <w:rPr>
          <w:bCs/>
          <w:sz w:val="24"/>
          <w:szCs w:val="24"/>
        </w:rPr>
      </w:pPr>
      <w:r>
        <w:rPr>
          <w:b/>
          <w:sz w:val="24"/>
          <w:szCs w:val="24"/>
        </w:rPr>
        <w:t>The Culinary Enthusiast:</w:t>
      </w:r>
      <w:r>
        <w:rPr>
          <w:bCs/>
          <w:sz w:val="24"/>
          <w:szCs w:val="24"/>
        </w:rPr>
        <w:t xml:space="preserve"> The customer segment has immense interest in trying new foods and experiencing exceptional hospitality. Their age ranges between 25 and 45. Most of the time they share their experiences on social media platforms. They will be attracted by the restaurant's diverse menu offerings and exceptional culinary experience.</w:t>
      </w:r>
      <w:r>
        <w:rPr>
          <w:bCs/>
          <w:sz w:val="24"/>
          <w:szCs w:val="24"/>
        </w:rPr>
        <w:t xml:space="preserve"> </w:t>
      </w:r>
    </w:p>
    <w:p w14:paraId="000000CB">
      <w:pPr>
        <w:pStyle w:val="ListParagraph"/>
        <w:numPr>
          <w:ilvl w:val="0"/>
          <w:numId w:val="13"/>
        </w:numPr>
        <w:spacing w:line="360" w:lineRule="auto"/>
        <w:jc w:val="both"/>
        <w:rPr>
          <w:bCs/>
          <w:sz w:val="24"/>
          <w:szCs w:val="24"/>
        </w:rPr>
      </w:pPr>
      <w:r>
        <w:rPr>
          <w:b/>
          <w:sz w:val="24"/>
          <w:szCs w:val="24"/>
        </w:rPr>
        <w:t xml:space="preserve">The Eco-Friendly Family: </w:t>
      </w:r>
      <w:r>
        <w:rPr>
          <w:bCs/>
          <w:sz w:val="24"/>
          <w:szCs w:val="24"/>
        </w:rPr>
        <w:t>The families with young children are the target customer segment. They have an interest in outdoor activities and dining. They explore the casual environment for family dining</w:t>
      </w:r>
      <w:r>
        <w:rPr>
          <w:bCs/>
          <w:sz w:val="24"/>
          <w:szCs w:val="24"/>
        </w:rPr>
        <w:t xml:space="preserve"> (Gazdecki et al., 2021)</w:t>
      </w:r>
      <w:r>
        <w:rPr>
          <w:bCs/>
          <w:sz w:val="24"/>
          <w:szCs w:val="24"/>
        </w:rPr>
        <w:t>. Because the restaurant ensures sustainability practices, they might prefer the business for their dining in.</w:t>
      </w:r>
    </w:p>
    <w:p w14:paraId="000000CC">
      <w:pPr>
        <w:spacing w:line="360" w:lineRule="auto"/>
        <w:jc w:val="both"/>
        <w:rPr>
          <w:b/>
          <w:sz w:val="24"/>
          <w:szCs w:val="24"/>
        </w:rPr>
      </w:pPr>
    </w:p>
    <w:p w14:paraId="000000CD">
      <w:pPr>
        <w:spacing w:line="360" w:lineRule="auto"/>
        <w:jc w:val="both"/>
        <w:rPr>
          <w:i/>
          <w:iCs/>
          <w:color w:val="ff0000"/>
          <w:sz w:val="24"/>
          <w:szCs w:val="24"/>
        </w:rPr>
      </w:pPr>
      <w:r>
        <w:rPr>
          <w:b/>
          <w:i/>
          <w:iCs/>
          <w:sz w:val="24"/>
          <w:szCs w:val="24"/>
        </w:rPr>
        <w:t>4.3 Competitor</w:t>
      </w:r>
      <w:r>
        <w:rPr>
          <w:b/>
          <w:i/>
          <w:iCs/>
          <w:sz w:val="24"/>
          <w:szCs w:val="24"/>
        </w:rPr>
        <w:t xml:space="preserve"> Profiles</w:t>
      </w:r>
    </w:p>
    <w:p w14:paraId="000000CE">
      <w:pPr>
        <w:pStyle w:val="ListParagraph"/>
        <w:numPr>
          <w:ilvl w:val="0"/>
          <w:numId w:val="14"/>
        </w:numPr>
        <w:spacing w:line="360" w:lineRule="auto"/>
        <w:jc w:val="both"/>
        <w:rPr>
          <w:b/>
          <w:sz w:val="24"/>
          <w:szCs w:val="24"/>
          <w:u w:val="single"/>
        </w:rPr>
      </w:pPr>
      <w:r>
        <w:rPr>
          <w:bCs/>
          <w:sz w:val="24"/>
          <w:szCs w:val="24"/>
        </w:rPr>
        <w:t xml:space="preserve"> </w:t>
      </w:r>
      <w:r>
        <w:rPr>
          <w:b/>
          <w:sz w:val="24"/>
          <w:szCs w:val="24"/>
          <w:u w:val="single"/>
        </w:rPr>
        <w:t xml:space="preserve">Spagó Mediterranean &amp; Seafood Restaurant </w:t>
      </w:r>
    </w:p>
    <w:p w14:paraId="000000CF">
      <w:pPr>
        <w:spacing w:line="360" w:lineRule="auto"/>
        <w:jc w:val="both"/>
        <w:rPr>
          <w:bCs/>
          <w:sz w:val="24"/>
          <w:szCs w:val="24"/>
        </w:rPr>
      </w:pPr>
      <w:r>
        <w:rPr>
          <w:bCs/>
          <w:sz w:val="24"/>
          <w:szCs w:val="24"/>
        </w:rPr>
        <w:t>This restaurant offers seafood that has a Mediterranean twist while Seafood Shack will resonate with the traditional and modern British seafood</w:t>
      </w:r>
      <w:r>
        <w:rPr>
          <w:bCs/>
          <w:sz w:val="24"/>
          <w:szCs w:val="24"/>
        </w:rPr>
        <w:t xml:space="preserve"> (Spagolytham, 2024)</w:t>
      </w:r>
      <w:r>
        <w:rPr>
          <w:bCs/>
          <w:sz w:val="24"/>
          <w:szCs w:val="24"/>
        </w:rPr>
        <w:t>. The strength of the competitor is its high quality food offering. Its weakness is the mix of customer reviews. Seafood Shack can outperform the competitor by its USP which is high quality food, guest experience, and commitment to sustainability.</w:t>
      </w:r>
    </w:p>
    <w:p w14:paraId="000000D0">
      <w:pPr>
        <w:pStyle w:val="ListParagraph"/>
        <w:numPr>
          <w:ilvl w:val="0"/>
          <w:numId w:val="14"/>
        </w:numPr>
        <w:spacing w:line="360" w:lineRule="auto"/>
        <w:jc w:val="both"/>
        <w:rPr>
          <w:b/>
          <w:sz w:val="24"/>
          <w:szCs w:val="24"/>
          <w:u w:val="single"/>
        </w:rPr>
      </w:pPr>
      <w:r>
        <w:rPr>
          <w:bCs/>
          <w:sz w:val="24"/>
          <w:szCs w:val="24"/>
        </w:rPr>
        <w:t xml:space="preserve"> </w:t>
      </w:r>
      <w:r>
        <w:rPr>
          <w:b/>
          <w:sz w:val="24"/>
          <w:szCs w:val="24"/>
          <w:u w:val="single"/>
        </w:rPr>
        <w:t xml:space="preserve">Drum and Monkey - Harrogate </w:t>
      </w:r>
    </w:p>
    <w:p w14:paraId="000000D1">
      <w:pPr>
        <w:spacing w:line="360" w:lineRule="auto"/>
        <w:jc w:val="both"/>
        <w:rPr>
          <w:bCs/>
          <w:sz w:val="24"/>
          <w:szCs w:val="24"/>
        </w:rPr>
      </w:pPr>
      <w:r>
        <w:rPr>
          <w:bCs/>
          <w:sz w:val="24"/>
          <w:szCs w:val="24"/>
        </w:rPr>
        <w:t>It is a fine dining restaurant that offers seafood while Seafood Shack will choose a casual dining strategy</w:t>
      </w:r>
      <w:r>
        <w:rPr>
          <w:bCs/>
          <w:sz w:val="24"/>
          <w:szCs w:val="24"/>
        </w:rPr>
        <w:t xml:space="preserve"> (DrumandMonkey, 2024)</w:t>
      </w:r>
      <w:r>
        <w:rPr>
          <w:bCs/>
          <w:sz w:val="24"/>
          <w:szCs w:val="24"/>
        </w:rPr>
        <w:t>. The competitor has a strong brand reputation in the market. However, it fails to attract a large customer segment because of its premium pricing strategy. Seafood Shack can outperform the competitor by offering high quality seafood at an affordable price.</w:t>
      </w:r>
    </w:p>
    <w:p w14:paraId="000000D2">
      <w:pPr>
        <w:pStyle w:val="ListParagraph"/>
        <w:numPr>
          <w:ilvl w:val="0"/>
          <w:numId w:val="14"/>
        </w:numPr>
        <w:spacing w:line="360" w:lineRule="auto"/>
        <w:jc w:val="both"/>
        <w:rPr>
          <w:b/>
          <w:sz w:val="24"/>
          <w:szCs w:val="24"/>
          <w:u w:val="single"/>
        </w:rPr>
      </w:pPr>
      <w:r>
        <w:rPr>
          <w:bCs/>
          <w:sz w:val="24"/>
          <w:szCs w:val="24"/>
        </w:rPr>
        <w:t xml:space="preserve"> </w:t>
      </w:r>
      <w:r>
        <w:rPr>
          <w:b/>
          <w:sz w:val="24"/>
          <w:szCs w:val="24"/>
          <w:u w:val="single"/>
        </w:rPr>
        <w:t xml:space="preserve">Cargo Seafood </w:t>
      </w:r>
    </w:p>
    <w:p w14:paraId="000000D3">
      <w:pPr>
        <w:spacing w:line="360" w:lineRule="auto"/>
        <w:jc w:val="both"/>
        <w:rPr>
          <w:bCs/>
          <w:sz w:val="24"/>
          <w:szCs w:val="24"/>
        </w:rPr>
      </w:pPr>
      <w:r>
        <w:rPr>
          <w:bCs/>
          <w:sz w:val="24"/>
          <w:szCs w:val="24"/>
        </w:rPr>
        <w:t>The company offers other dishes such as vegetarian options and steaks along with seafood while Seafood Shack will offer only the seafood items</w:t>
      </w:r>
      <w:r>
        <w:rPr>
          <w:bCs/>
          <w:sz w:val="24"/>
          <w:szCs w:val="24"/>
        </w:rPr>
        <w:t xml:space="preserve"> (Cargoseafood, 2024)</w:t>
      </w:r>
      <w:r>
        <w:rPr>
          <w:bCs/>
          <w:sz w:val="24"/>
          <w:szCs w:val="24"/>
        </w:rPr>
        <w:t xml:space="preserve">. It has a reputation for its exceptional services. But its wide range of dishes may dilute its seafood offerings. To </w:t>
      </w:r>
      <w:r>
        <w:rPr>
          <w:bCs/>
          <w:sz w:val="24"/>
          <w:szCs w:val="24"/>
        </w:rPr>
        <w:t>outperform the competitor, Seafood Shack may introduce a unique and specialised seafood menu.</w:t>
      </w:r>
    </w:p>
    <w:p w14:paraId="000000D4">
      <w:pPr>
        <w:spacing w:after="200" w:line="360" w:lineRule="auto"/>
        <w:jc w:val="both"/>
        <w:rPr>
          <w:b/>
          <w:sz w:val="28"/>
          <w:szCs w:val="18"/>
        </w:rPr>
      </w:pPr>
    </w:p>
    <w:p w14:paraId="000000D5">
      <w:pPr>
        <w:spacing w:line="360" w:lineRule="auto"/>
        <w:jc w:val="both"/>
        <w:rPr>
          <w:b/>
          <w:sz w:val="28"/>
          <w:szCs w:val="18"/>
        </w:rPr>
      </w:pPr>
      <w:r>
        <w:rPr>
          <w:b/>
          <w:sz w:val="28"/>
          <w:szCs w:val="18"/>
        </w:rPr>
        <w:t>5. MARKETING PLAN</w:t>
      </w:r>
    </w:p>
    <w:p w14:paraId="000000D6">
      <w:pPr>
        <w:spacing w:line="360" w:lineRule="auto"/>
        <w:jc w:val="both"/>
        <w:rPr>
          <w:bCs/>
          <w:i/>
          <w:iCs/>
          <w:sz w:val="24"/>
          <w:szCs w:val="18"/>
        </w:rPr>
      </w:pPr>
      <w:r>
        <w:rPr>
          <w:b/>
          <w:i/>
          <w:iCs/>
          <w:sz w:val="24"/>
          <w:szCs w:val="18"/>
        </w:rPr>
        <w:t>5.1</w:t>
      </w:r>
      <w:r>
        <w:rPr>
          <w:b/>
          <w:sz w:val="24"/>
          <w:szCs w:val="18"/>
        </w:rPr>
        <w:t xml:space="preserve"> Price</w:t>
      </w:r>
    </w:p>
    <w:p w14:paraId="000000D7">
      <w:pPr>
        <w:spacing w:line="360" w:lineRule="auto"/>
        <w:jc w:val="both"/>
        <w:rPr>
          <w:b/>
          <w:bCs/>
          <w:i/>
          <w:iCs/>
          <w:sz w:val="24"/>
          <w:szCs w:val="18"/>
        </w:rPr>
      </w:pPr>
      <w:r>
        <w:rPr>
          <w:sz w:val="24"/>
          <w:szCs w:val="18"/>
        </w:rPr>
        <w:t>The pricing strategy is crucial to attract the target customers. Seafood Shack will make its prices relevant to the competition. To do so, it will conduct a comprehensive market research to assess the competitor's prices. Then the prices will be determined. A value-based pricing strategy will be implemented. Because the restaurant will offer high-quality and unique seafood and exceptional dining experience to the guests. Based on their perceived value for the restaurant, the prices will be determined</w:t>
      </w:r>
      <w:r>
        <w:rPr>
          <w:sz w:val="24"/>
          <w:szCs w:val="18"/>
        </w:rPr>
        <w:t xml:space="preserve"> (Williams, 2021)</w:t>
      </w:r>
      <w:r>
        <w:rPr>
          <w:sz w:val="24"/>
          <w:szCs w:val="18"/>
        </w:rPr>
        <w:t>. Moreover, it will also have bundle pricing for different meal deals.</w:t>
      </w:r>
    </w:p>
    <w:p w14:paraId="000000D8">
      <w:pPr>
        <w:spacing w:line="360" w:lineRule="auto"/>
        <w:jc w:val="both"/>
        <w:rPr>
          <w:i/>
          <w:iCs/>
          <w:color w:val="ff0000"/>
          <w:sz w:val="24"/>
        </w:rPr>
      </w:pPr>
      <w:r>
        <w:rPr>
          <w:b/>
          <w:i/>
          <w:iCs/>
          <w:sz w:val="24"/>
          <w:szCs w:val="18"/>
        </w:rPr>
        <w:t>5.2</w:t>
      </w:r>
      <w:r>
        <w:rPr>
          <w:b/>
          <w:sz w:val="24"/>
          <w:szCs w:val="18"/>
        </w:rPr>
        <w:t xml:space="preserve"> Product</w:t>
      </w:r>
    </w:p>
    <w:p w14:paraId="000000D9">
      <w:pPr>
        <w:spacing w:line="360" w:lineRule="auto"/>
        <w:jc w:val="both"/>
        <w:rPr>
          <w:sz w:val="24"/>
          <w:szCs w:val="18"/>
        </w:rPr>
      </w:pPr>
      <w:r>
        <w:rPr>
          <w:sz w:val="24"/>
          <w:szCs w:val="18"/>
        </w:rPr>
        <w:t xml:space="preserve">The food will be prepared from fresh ingredients and fish with locally sourced spices. Using sustainable packaging, the foods will be delivered to the customers. For branding, it will use a shellfish in a clear visualisation. The interior and tableware of the restaurant will reflect modern equipment and sustainability practices. For the colour scheme, shades of blue and green might be appropriate. </w:t>
      </w:r>
    </w:p>
    <w:p w14:paraId="000000DA">
      <w:pPr>
        <w:spacing w:line="360" w:lineRule="auto"/>
        <w:jc w:val="both"/>
        <w:rPr>
          <w:b/>
          <w:bCs/>
          <w:i/>
          <w:iCs/>
          <w:sz w:val="24"/>
          <w:szCs w:val="18"/>
        </w:rPr>
      </w:pPr>
      <w:r>
        <w:rPr>
          <w:b/>
          <w:i/>
          <w:iCs/>
          <w:sz w:val="24"/>
          <w:szCs w:val="18"/>
        </w:rPr>
        <w:t>5.3</w:t>
      </w:r>
      <w:r>
        <w:rPr>
          <w:b/>
          <w:sz w:val="24"/>
          <w:szCs w:val="18"/>
        </w:rPr>
        <w:t xml:space="preserve"> Placement</w:t>
      </w:r>
    </w:p>
    <w:p w14:paraId="000000DB">
      <w:pPr>
        <w:spacing w:line="360" w:lineRule="auto"/>
        <w:jc w:val="both"/>
        <w:rPr>
          <w:sz w:val="24"/>
          <w:szCs w:val="18"/>
        </w:rPr>
      </w:pPr>
      <w:r>
        <w:rPr>
          <w:sz w:val="24"/>
          <w:szCs w:val="18"/>
        </w:rPr>
        <w:t>The restaurant will be located at the key areas in London. It may participate in various pop-up events such as food festivals in different locations</w:t>
      </w:r>
      <w:r>
        <w:rPr>
          <w:sz w:val="24"/>
          <w:szCs w:val="18"/>
        </w:rPr>
        <w:t xml:space="preserve"> (Williams, 2021)</w:t>
      </w:r>
      <w:r>
        <w:rPr>
          <w:sz w:val="24"/>
          <w:szCs w:val="18"/>
        </w:rPr>
        <w:t xml:space="preserve">. For </w:t>
      </w:r>
      <w:r>
        <w:rPr>
          <w:sz w:val="24"/>
          <w:szCs w:val="18"/>
        </w:rPr>
        <w:t xml:space="preserve">online </w:t>
      </w:r>
      <w:r>
        <w:rPr>
          <w:sz w:val="24"/>
          <w:szCs w:val="18"/>
        </w:rPr>
        <w:t>sales, it will use its website and food delivery platforms such as Deliveroo, Just Eat, and Uber Eats.</w:t>
      </w:r>
    </w:p>
    <w:p w14:paraId="000000DC">
      <w:pPr>
        <w:spacing w:line="360" w:lineRule="auto"/>
        <w:jc w:val="both"/>
        <w:rPr>
          <w:bCs/>
          <w:i/>
          <w:iCs/>
          <w:color w:val="ff0000"/>
          <w:sz w:val="24"/>
        </w:rPr>
      </w:pPr>
      <w:r>
        <w:rPr>
          <w:b/>
          <w:i/>
          <w:iCs/>
          <w:sz w:val="24"/>
          <w:szCs w:val="18"/>
        </w:rPr>
        <w:t>5.4</w:t>
      </w:r>
      <w:r>
        <w:rPr>
          <w:b/>
          <w:sz w:val="24"/>
          <w:szCs w:val="18"/>
        </w:rPr>
        <w:t xml:space="preserve"> Promotion</w:t>
      </w:r>
    </w:p>
    <w:p w14:paraId="000000DD">
      <w:pPr>
        <w:spacing w:line="360" w:lineRule="auto"/>
        <w:jc w:val="both"/>
        <w:rPr>
          <w:bCs/>
          <w:sz w:val="24"/>
        </w:rPr>
      </w:pPr>
      <w:r>
        <w:rPr>
          <w:bCs/>
          <w:sz w:val="24"/>
        </w:rPr>
        <w:t>To raise awareness about the restaurant among the target customers and increase brand visibility, the business will use both digital and traditional marketing. The following digital marketing channels will be used:</w:t>
      </w:r>
    </w:p>
    <w:p w14:paraId="000000DE">
      <w:pPr>
        <w:pStyle w:val="ListParagraph"/>
        <w:numPr>
          <w:ilvl w:val="0"/>
          <w:numId w:val="33"/>
        </w:numPr>
        <w:spacing w:line="360" w:lineRule="auto"/>
        <w:jc w:val="both"/>
        <w:rPr>
          <w:bCs/>
          <w:sz w:val="24"/>
        </w:rPr>
      </w:pPr>
      <w:r>
        <w:rPr>
          <w:bCs/>
          <w:sz w:val="24"/>
        </w:rPr>
        <w:t>Search Engine Optimization (SEO): SEO can increase organic traffic by improving the key searches. The key words such as sustainable seafood and dining experience can be focused to improve the website ranking</w:t>
      </w:r>
      <w:r>
        <w:rPr>
          <w:bCs/>
          <w:sz w:val="24"/>
        </w:rPr>
        <w:t xml:space="preserve"> (Chaffey and Ellis-Chadwick, 2019)</w:t>
      </w:r>
      <w:r>
        <w:rPr>
          <w:bCs/>
          <w:sz w:val="24"/>
        </w:rPr>
        <w:t>.</w:t>
      </w:r>
    </w:p>
    <w:p w14:paraId="000000DF">
      <w:pPr>
        <w:pStyle w:val="ListParagraph"/>
        <w:numPr>
          <w:ilvl w:val="0"/>
          <w:numId w:val="33"/>
        </w:numPr>
        <w:spacing w:line="360" w:lineRule="auto"/>
        <w:jc w:val="both"/>
        <w:rPr>
          <w:bCs/>
          <w:sz w:val="24"/>
        </w:rPr>
      </w:pPr>
      <w:r>
        <w:rPr>
          <w:bCs/>
          <w:sz w:val="24"/>
        </w:rPr>
        <w:t>Social Media Marketing: Different social media sites such as Facebook, Twitter, and Instagram will be used to share interactive content as it will enhance the customer engagement and reach a large number of people.</w:t>
      </w:r>
    </w:p>
    <w:p w14:paraId="000000E0">
      <w:pPr>
        <w:pStyle w:val="ListParagraph"/>
        <w:numPr>
          <w:ilvl w:val="0"/>
          <w:numId w:val="33"/>
        </w:numPr>
        <w:spacing w:line="360" w:lineRule="auto"/>
        <w:jc w:val="both"/>
        <w:rPr>
          <w:bCs/>
          <w:sz w:val="24"/>
        </w:rPr>
      </w:pPr>
      <w:r>
        <w:rPr>
          <w:bCs/>
          <w:sz w:val="24"/>
        </w:rPr>
        <w:t>Influencer Partnership: Partnerships with the social media influencers will be formed as the parasocial relationship between influencers and followers might increase the number of customers</w:t>
      </w:r>
      <w:r>
        <w:rPr>
          <w:bCs/>
          <w:sz w:val="24"/>
        </w:rPr>
        <w:t xml:space="preserve"> (Yuan, Kim and Kim, 2016)</w:t>
      </w:r>
      <w:r>
        <w:rPr>
          <w:bCs/>
          <w:sz w:val="24"/>
        </w:rPr>
        <w:t>.</w:t>
      </w:r>
    </w:p>
    <w:p w14:paraId="000000E1">
      <w:pPr>
        <w:pStyle w:val="ListParagraph"/>
        <w:numPr>
          <w:ilvl w:val="0"/>
          <w:numId w:val="31"/>
        </w:numPr>
        <w:spacing w:line="360" w:lineRule="auto"/>
        <w:jc w:val="both"/>
        <w:rPr>
          <w:bCs/>
          <w:sz w:val="24"/>
        </w:rPr>
      </w:pPr>
      <w:r>
        <w:rPr>
          <w:bCs/>
          <w:sz w:val="24"/>
        </w:rPr>
        <w:t>Traditional Advertising: For traditional advertising, flyers and print media can be used as they are appropriate for targeted marketing in London.</w:t>
      </w:r>
    </w:p>
    <w:p w14:paraId="000000E2">
      <w:pPr>
        <w:spacing w:line="360" w:lineRule="auto"/>
        <w:jc w:val="both"/>
        <w:rPr>
          <w:bCs/>
          <w:i/>
          <w:iCs/>
          <w:color w:val="ff0000"/>
          <w:sz w:val="24"/>
        </w:rPr>
      </w:pPr>
      <w:r>
        <w:rPr>
          <w:bCs/>
          <w:sz w:val="24"/>
        </w:rPr>
        <w:t>The restaurant will maintain a good relationship with the customers by offering feedback and working on their feedback. It will also offer a loyalty programme for the repeated customers who will get special deals and discounts.</w:t>
      </w:r>
      <w:r>
        <w:rPr>
          <w:bCs/>
          <w:i/>
          <w:iCs/>
          <w:color w:val="ff0000"/>
          <w:sz w:val="24"/>
        </w:rPr>
        <w:br w:type="page"/>
      </w:r>
    </w:p>
    <w:p w14:paraId="000000E3">
      <w:pPr>
        <w:spacing w:line="360" w:lineRule="auto"/>
        <w:jc w:val="both"/>
        <w:rPr>
          <w:b/>
          <w:sz w:val="28"/>
          <w:szCs w:val="18"/>
        </w:rPr>
      </w:pPr>
      <w:r>
        <w:rPr>
          <w:b/>
          <w:sz w:val="28"/>
          <w:szCs w:val="18"/>
        </w:rPr>
        <w:t>6.  KEY RESOURCES</w:t>
      </w:r>
    </w:p>
    <w:p w14:paraId="000000E4">
      <w:pPr>
        <w:spacing w:line="360" w:lineRule="auto"/>
        <w:jc w:val="both"/>
        <w:rPr>
          <w:bCs/>
          <w:i/>
          <w:iCs/>
          <w:color w:val="ff0000"/>
          <w:sz w:val="24"/>
        </w:rPr>
      </w:pPr>
    </w:p>
    <w:p w14:paraId="000000E5">
      <w:pPr>
        <w:spacing w:line="360" w:lineRule="auto"/>
        <w:jc w:val="both"/>
        <w:rPr>
          <w:b/>
          <w:bCs/>
          <w:i/>
          <w:iCs/>
          <w:sz w:val="24"/>
          <w:szCs w:val="18"/>
        </w:rPr>
      </w:pPr>
      <w:r>
        <w:rPr>
          <w:b/>
          <w:i/>
          <w:iCs/>
          <w:sz w:val="24"/>
          <w:szCs w:val="18"/>
        </w:rPr>
        <w:t>6.1</w:t>
      </w:r>
      <w:r>
        <w:rPr>
          <w:b/>
          <w:sz w:val="24"/>
          <w:szCs w:val="18"/>
        </w:rPr>
        <w:t xml:space="preserve"> Premises</w:t>
      </w:r>
    </w:p>
    <w:p w14:paraId="000000E6">
      <w:pPr>
        <w:spacing w:line="360" w:lineRule="auto"/>
        <w:jc w:val="both"/>
        <w:rPr>
          <w:bCs/>
          <w:i/>
          <w:color w:val="ff0000"/>
          <w:sz w:val="24"/>
        </w:rPr>
      </w:pPr>
    </w:p>
    <w:p w14:paraId="000000E7">
      <w:pPr>
        <w:spacing w:line="360" w:lineRule="auto"/>
        <w:jc w:val="both"/>
        <w:rPr>
          <w:bCs/>
          <w:sz w:val="24"/>
          <w:szCs w:val="18"/>
          <w:u w:val="single"/>
        </w:rPr>
      </w:pPr>
      <w:r>
        <w:rPr>
          <w:bCs/>
          <w:sz w:val="24"/>
          <w:szCs w:val="18"/>
          <w:u w:val="single"/>
        </w:rPr>
        <w:t>The requirements for physical space are discussed below:</w:t>
      </w:r>
    </w:p>
    <w:p w14:paraId="000000E8">
      <w:pPr>
        <w:pStyle w:val="ListParagraph"/>
        <w:numPr>
          <w:ilvl w:val="0"/>
          <w:numId w:val="26"/>
        </w:numPr>
        <w:spacing w:line="360" w:lineRule="auto"/>
        <w:jc w:val="both"/>
        <w:rPr>
          <w:bCs/>
          <w:sz w:val="24"/>
          <w:szCs w:val="18"/>
        </w:rPr>
      </w:pPr>
      <w:r>
        <w:rPr>
          <w:bCs/>
          <w:sz w:val="24"/>
          <w:szCs w:val="18"/>
        </w:rPr>
        <w:t xml:space="preserve">Production: To prepare the seafood, the restaurant needs a fully equipped kitchen. </w:t>
      </w:r>
      <w:r>
        <w:rPr>
          <w:bCs/>
          <w:sz w:val="24"/>
          <w:szCs w:val="18"/>
        </w:rPr>
        <w:t>Enough space with</w:t>
      </w:r>
      <w:r>
        <w:rPr>
          <w:bCs/>
          <w:sz w:val="24"/>
          <w:szCs w:val="18"/>
        </w:rPr>
        <w:t xml:space="preserve"> cold storage, dry storage, and dishwshing stations </w:t>
      </w:r>
      <w:r>
        <w:rPr>
          <w:bCs/>
          <w:sz w:val="24"/>
          <w:szCs w:val="18"/>
        </w:rPr>
        <w:t>must be present to</w:t>
      </w:r>
      <w:r>
        <w:rPr>
          <w:bCs/>
          <w:sz w:val="24"/>
          <w:szCs w:val="18"/>
        </w:rPr>
        <w:t xml:space="preserve"> ensure that high quality seafood is served and it is prepared from fresh ingredients.</w:t>
      </w:r>
    </w:p>
    <w:p w14:paraId="000000E9">
      <w:pPr>
        <w:pStyle w:val="ListParagraph"/>
        <w:numPr>
          <w:ilvl w:val="0"/>
          <w:numId w:val="26"/>
        </w:numPr>
        <w:spacing w:line="360" w:lineRule="auto"/>
        <w:jc w:val="both"/>
        <w:rPr>
          <w:bCs/>
          <w:sz w:val="24"/>
          <w:szCs w:val="18"/>
        </w:rPr>
      </w:pPr>
      <w:r>
        <w:rPr>
          <w:bCs/>
          <w:sz w:val="24"/>
          <w:szCs w:val="18"/>
        </w:rPr>
        <w:t>Sales: The dining area of the restaurant should accommodate 50 people at the same time and it will have a separate bar seating</w:t>
      </w:r>
      <w:r>
        <w:rPr>
          <w:bCs/>
          <w:sz w:val="24"/>
          <w:szCs w:val="18"/>
        </w:rPr>
        <w:t xml:space="preserve"> (Williams, 2021)</w:t>
      </w:r>
      <w:r>
        <w:rPr>
          <w:bCs/>
          <w:sz w:val="24"/>
          <w:szCs w:val="18"/>
        </w:rPr>
        <w:t>.</w:t>
      </w:r>
    </w:p>
    <w:p w14:paraId="000000EA">
      <w:pPr>
        <w:pStyle w:val="ListParagraph"/>
        <w:numPr>
          <w:ilvl w:val="0"/>
          <w:numId w:val="26"/>
        </w:numPr>
        <w:spacing w:line="360" w:lineRule="auto"/>
        <w:jc w:val="both"/>
        <w:rPr>
          <w:bCs/>
          <w:sz w:val="24"/>
          <w:szCs w:val="18"/>
        </w:rPr>
      </w:pPr>
      <w:r>
        <w:rPr>
          <w:bCs/>
          <w:sz w:val="24"/>
          <w:szCs w:val="18"/>
        </w:rPr>
        <w:t>Administrative Office: A small office will be established where all the managerial work should be performed.</w:t>
      </w:r>
    </w:p>
    <w:p w14:paraId="000000EB">
      <w:pPr>
        <w:pStyle w:val="ListParagraph"/>
        <w:numPr>
          <w:ilvl w:val="0"/>
          <w:numId w:val="26"/>
        </w:numPr>
        <w:spacing w:line="360" w:lineRule="auto"/>
        <w:jc w:val="both"/>
        <w:rPr>
          <w:bCs/>
          <w:sz w:val="24"/>
          <w:szCs w:val="18"/>
        </w:rPr>
      </w:pPr>
      <w:r>
        <w:rPr>
          <w:bCs/>
          <w:sz w:val="24"/>
          <w:szCs w:val="18"/>
        </w:rPr>
        <w:t xml:space="preserve">Ideal Location: The restaurant will be located at the high traffic area that is close to any cultural attraction. </w:t>
      </w:r>
    </w:p>
    <w:p w14:paraId="000000EC">
      <w:pPr>
        <w:pStyle w:val="ListParagraph"/>
        <w:numPr>
          <w:ilvl w:val="0"/>
          <w:numId w:val="26"/>
        </w:numPr>
        <w:spacing w:line="360" w:lineRule="auto"/>
        <w:jc w:val="both"/>
        <w:rPr>
          <w:bCs/>
          <w:sz w:val="24"/>
          <w:szCs w:val="18"/>
        </w:rPr>
      </w:pPr>
      <w:r>
        <w:rPr>
          <w:bCs/>
          <w:sz w:val="24"/>
          <w:szCs w:val="18"/>
        </w:rPr>
        <w:t>Rent: London West End's rent can exceed £2000 per square foot annually. If the restaurant size is 1500 square feet, the total rent can be £150,000 annually in other less expensive areas</w:t>
      </w:r>
      <w:r>
        <w:rPr>
          <w:bCs/>
          <w:sz w:val="24"/>
          <w:szCs w:val="18"/>
        </w:rPr>
        <w:t xml:space="preserve"> </w:t>
      </w:r>
      <w:r>
        <w:rPr>
          <w:bCs/>
          <w:sz w:val="24"/>
          <w:szCs w:val="18"/>
        </w:rPr>
        <w:t>(Sam, 202</w:t>
      </w:r>
      <w:r>
        <w:rPr>
          <w:bCs/>
          <w:sz w:val="24"/>
          <w:szCs w:val="18"/>
        </w:rPr>
        <w:t>2</w:t>
      </w:r>
      <w:r>
        <w:rPr>
          <w:bCs/>
          <w:sz w:val="24"/>
          <w:szCs w:val="18"/>
        </w:rPr>
        <w:t>)</w:t>
      </w:r>
      <w:r>
        <w:rPr>
          <w:bCs/>
          <w:sz w:val="24"/>
          <w:szCs w:val="18"/>
        </w:rPr>
        <w:t xml:space="preserve">. </w:t>
      </w:r>
    </w:p>
    <w:p w14:paraId="000000ED">
      <w:pPr>
        <w:pStyle w:val="ListParagraph"/>
        <w:numPr>
          <w:ilvl w:val="0"/>
          <w:numId w:val="26"/>
        </w:numPr>
        <w:spacing w:line="360" w:lineRule="auto"/>
        <w:jc w:val="both"/>
        <w:rPr>
          <w:bCs/>
          <w:sz w:val="24"/>
          <w:szCs w:val="18"/>
        </w:rPr>
      </w:pPr>
      <w:r>
        <w:rPr>
          <w:bCs/>
          <w:sz w:val="24"/>
          <w:szCs w:val="18"/>
        </w:rPr>
        <w:t>Rates: There are significantly high rates in central London.</w:t>
      </w:r>
    </w:p>
    <w:p w14:paraId="000000EE">
      <w:pPr>
        <w:spacing w:line="360" w:lineRule="auto"/>
        <w:jc w:val="both"/>
        <w:rPr>
          <w:b/>
          <w:i/>
          <w:iCs/>
          <w:sz w:val="24"/>
          <w:szCs w:val="18"/>
        </w:rPr>
      </w:pPr>
    </w:p>
    <w:p w14:paraId="000000EF">
      <w:pPr>
        <w:spacing w:line="360" w:lineRule="auto"/>
        <w:jc w:val="both"/>
        <w:rPr>
          <w:b/>
          <w:i/>
          <w:iCs/>
          <w:sz w:val="24"/>
          <w:szCs w:val="18"/>
        </w:rPr>
      </w:pPr>
      <w:r>
        <w:rPr>
          <w:b/>
          <w:i/>
          <w:iCs/>
          <w:sz w:val="24"/>
          <w:szCs w:val="18"/>
        </w:rPr>
        <w:t>6.2 Equipment</w:t>
      </w:r>
    </w:p>
    <w:p w14:paraId="000000F0">
      <w:pPr>
        <w:spacing w:line="360" w:lineRule="auto"/>
        <w:jc w:val="both"/>
        <w:rPr>
          <w:b/>
          <w:i/>
          <w:iCs/>
          <w:sz w:val="24"/>
          <w:szCs w:val="18"/>
        </w:rPr>
      </w:pPr>
    </w:p>
    <w:p w14:paraId="000000F1">
      <w:pPr>
        <w:spacing w:line="360" w:lineRule="auto"/>
        <w:jc w:val="both"/>
        <w:rPr>
          <w:b/>
          <w:sz w:val="24"/>
          <w:szCs w:val="18"/>
          <w:u w:val="single"/>
        </w:rPr>
      </w:pPr>
      <w:r>
        <w:rPr>
          <w:b/>
          <w:sz w:val="24"/>
          <w:szCs w:val="18"/>
          <w:u w:val="single"/>
        </w:rPr>
        <w:t>The following equipment and tools are required for the business:</w:t>
      </w:r>
    </w:p>
    <w:p w14:paraId="000000F2">
      <w:pPr>
        <w:pStyle w:val="ListParagraph"/>
        <w:numPr>
          <w:ilvl w:val="0"/>
          <w:numId w:val="27"/>
        </w:numPr>
        <w:spacing w:line="360" w:lineRule="auto"/>
        <w:jc w:val="both"/>
        <w:rPr>
          <w:bCs/>
          <w:sz w:val="24"/>
          <w:szCs w:val="18"/>
        </w:rPr>
      </w:pPr>
      <w:r>
        <w:rPr>
          <w:bCs/>
          <w:sz w:val="24"/>
          <w:szCs w:val="18"/>
        </w:rPr>
        <w:t>Commercial Refrigerator: Seafood will be kept at the optimal temperature to ensure its freshness and quality. Adexa Direct offers such a refrigerator</w:t>
      </w:r>
      <w:r>
        <w:rPr>
          <w:bCs/>
          <w:sz w:val="24"/>
          <w:szCs w:val="18"/>
        </w:rPr>
        <w:t xml:space="preserve"> (Adexa Direct, 2024)</w:t>
      </w:r>
      <w:r>
        <w:rPr>
          <w:bCs/>
          <w:sz w:val="24"/>
          <w:szCs w:val="18"/>
        </w:rPr>
        <w:t>.</w:t>
      </w:r>
    </w:p>
    <w:p w14:paraId="000000F3">
      <w:pPr>
        <w:pStyle w:val="ListParagraph"/>
        <w:numPr>
          <w:ilvl w:val="0"/>
          <w:numId w:val="27"/>
        </w:numPr>
        <w:spacing w:line="360" w:lineRule="auto"/>
        <w:jc w:val="both"/>
        <w:rPr>
          <w:bCs/>
          <w:sz w:val="24"/>
          <w:szCs w:val="18"/>
        </w:rPr>
      </w:pPr>
      <w:r>
        <w:rPr>
          <w:bCs/>
          <w:sz w:val="24"/>
          <w:szCs w:val="18"/>
        </w:rPr>
        <w:t>Cooking Equipment: Ovens, grills, fryers, and other essential equipment can be purchased from Catering Appliance Superstore</w:t>
      </w:r>
      <w:r>
        <w:rPr>
          <w:bCs/>
          <w:sz w:val="24"/>
          <w:szCs w:val="18"/>
        </w:rPr>
        <w:t xml:space="preserve"> (Catering Appliance, 2024)</w:t>
      </w:r>
      <w:r>
        <w:rPr>
          <w:bCs/>
          <w:sz w:val="24"/>
          <w:szCs w:val="18"/>
        </w:rPr>
        <w:t>. The equipment is used to prepare the seafood.</w:t>
      </w:r>
    </w:p>
    <w:p w14:paraId="000000F4">
      <w:pPr>
        <w:pStyle w:val="ListParagraph"/>
        <w:numPr>
          <w:ilvl w:val="0"/>
          <w:numId w:val="27"/>
        </w:numPr>
        <w:spacing w:line="360" w:lineRule="auto"/>
        <w:jc w:val="both"/>
        <w:rPr>
          <w:bCs/>
          <w:sz w:val="24"/>
          <w:szCs w:val="18"/>
        </w:rPr>
      </w:pPr>
      <w:r>
        <w:rPr>
          <w:bCs/>
          <w:sz w:val="24"/>
          <w:szCs w:val="18"/>
        </w:rPr>
        <w:t>Furniture: Table, chair, bar tools, and other furniture can be purchased from Adexa Direct.</w:t>
      </w:r>
    </w:p>
    <w:p w14:paraId="000000F5">
      <w:pPr>
        <w:pStyle w:val="ListParagraph"/>
        <w:numPr>
          <w:ilvl w:val="0"/>
          <w:numId w:val="27"/>
        </w:numPr>
        <w:spacing w:line="360" w:lineRule="auto"/>
        <w:jc w:val="both"/>
        <w:rPr>
          <w:bCs/>
          <w:sz w:val="24"/>
          <w:szCs w:val="18"/>
        </w:rPr>
      </w:pPr>
      <w:r>
        <w:rPr>
          <w:bCs/>
          <w:sz w:val="24"/>
          <w:szCs w:val="18"/>
        </w:rPr>
        <w:t>Serving Ware: Plates, bowls, utensils, and glasswares are needed to serve the guests. ChefsWarehouse sells these items</w:t>
      </w:r>
      <w:r>
        <w:rPr>
          <w:bCs/>
          <w:sz w:val="24"/>
          <w:szCs w:val="18"/>
        </w:rPr>
        <w:t xml:space="preserve"> (Chefswarehouse, 2022)</w:t>
      </w:r>
      <w:r>
        <w:rPr>
          <w:bCs/>
          <w:sz w:val="24"/>
          <w:szCs w:val="18"/>
        </w:rPr>
        <w:t xml:space="preserve">. </w:t>
      </w:r>
    </w:p>
    <w:p w14:paraId="000000F6">
      <w:pPr>
        <w:spacing w:line="360" w:lineRule="auto"/>
        <w:jc w:val="both"/>
        <w:rPr>
          <w:b/>
          <w:sz w:val="24"/>
          <w:szCs w:val="18"/>
          <w:u w:val="single"/>
        </w:rPr>
      </w:pPr>
      <w:r>
        <w:rPr>
          <w:b/>
          <w:sz w:val="24"/>
          <w:szCs w:val="18"/>
          <w:u w:val="single"/>
        </w:rPr>
        <w:t>Costs:</w:t>
      </w:r>
    </w:p>
    <w:p w14:paraId="000000F7">
      <w:pPr>
        <w:pStyle w:val="ListParagraph"/>
        <w:numPr>
          <w:ilvl w:val="0"/>
          <w:numId w:val="28"/>
        </w:numPr>
        <w:spacing w:line="360" w:lineRule="auto"/>
        <w:jc w:val="both"/>
        <w:rPr>
          <w:bCs/>
          <w:sz w:val="24"/>
          <w:szCs w:val="18"/>
        </w:rPr>
      </w:pPr>
      <w:r>
        <w:rPr>
          <w:bCs/>
          <w:sz w:val="24"/>
          <w:szCs w:val="18"/>
        </w:rPr>
        <w:t>For medium set-up, the cost of Kitchen equipment will be around £60,000.</w:t>
      </w:r>
    </w:p>
    <w:p w14:paraId="000000F8">
      <w:pPr>
        <w:pStyle w:val="ListParagraph"/>
        <w:numPr>
          <w:ilvl w:val="0"/>
          <w:numId w:val="28"/>
        </w:numPr>
        <w:spacing w:line="360" w:lineRule="auto"/>
        <w:jc w:val="both"/>
        <w:rPr>
          <w:bCs/>
          <w:sz w:val="24"/>
          <w:szCs w:val="18"/>
        </w:rPr>
      </w:pPr>
      <w:r>
        <w:rPr>
          <w:bCs/>
          <w:sz w:val="24"/>
          <w:szCs w:val="18"/>
        </w:rPr>
        <w:t>The estimated cost for furniture and decorations is £35,000.</w:t>
      </w:r>
    </w:p>
    <w:p w14:paraId="000000F9">
      <w:pPr>
        <w:spacing w:line="360" w:lineRule="auto"/>
        <w:jc w:val="both"/>
        <w:rPr>
          <w:b/>
          <w:i/>
          <w:iCs/>
          <w:sz w:val="24"/>
          <w:szCs w:val="18"/>
        </w:rPr>
      </w:pPr>
    </w:p>
    <w:p w14:paraId="000000FA">
      <w:pPr>
        <w:spacing w:line="360" w:lineRule="auto"/>
        <w:jc w:val="both"/>
        <w:rPr>
          <w:b/>
          <w:bCs/>
          <w:i/>
          <w:iCs/>
          <w:sz w:val="24"/>
          <w:szCs w:val="18"/>
        </w:rPr>
      </w:pPr>
      <w:r>
        <w:rPr>
          <w:b/>
          <w:i/>
          <w:iCs/>
          <w:sz w:val="24"/>
          <w:szCs w:val="18"/>
        </w:rPr>
        <w:t>6.3</w:t>
      </w:r>
      <w:r>
        <w:rPr>
          <w:b/>
          <w:sz w:val="24"/>
          <w:szCs w:val="18"/>
        </w:rPr>
        <w:t xml:space="preserve"> Key</w:t>
      </w:r>
      <w:r>
        <w:rPr>
          <w:b/>
          <w:i/>
          <w:iCs/>
          <w:sz w:val="24"/>
          <w:szCs w:val="18"/>
        </w:rPr>
        <w:t xml:space="preserve"> </w:t>
      </w:r>
      <w:r>
        <w:rPr>
          <w:b/>
          <w:bCs/>
          <w:i/>
          <w:iCs/>
          <w:sz w:val="24"/>
          <w:szCs w:val="18"/>
        </w:rPr>
        <w:t>Suppliers</w:t>
      </w:r>
    </w:p>
    <w:p w14:paraId="000000FB">
      <w:pPr>
        <w:spacing w:line="360" w:lineRule="auto"/>
        <w:jc w:val="both"/>
        <w:rPr>
          <w:bCs/>
          <w:i/>
          <w:color w:val="ff0000"/>
          <w:sz w:val="24"/>
        </w:rPr>
      </w:pPr>
    </w:p>
    <w:p w14:paraId="000000FC">
      <w:pPr>
        <w:spacing w:line="360" w:lineRule="auto"/>
        <w:jc w:val="both"/>
        <w:rPr>
          <w:b/>
          <w:sz w:val="24"/>
          <w:u w:val="single"/>
        </w:rPr>
      </w:pPr>
      <w:r>
        <w:rPr>
          <w:b/>
          <w:sz w:val="24"/>
          <w:u w:val="single"/>
        </w:rPr>
        <w:t>The restaurant will make partnerships with the following businesses:</w:t>
      </w:r>
    </w:p>
    <w:p w14:paraId="000000FD">
      <w:pPr>
        <w:pStyle w:val="ListParagraph"/>
        <w:numPr>
          <w:ilvl w:val="0"/>
          <w:numId w:val="30"/>
        </w:numPr>
        <w:spacing w:line="360" w:lineRule="auto"/>
        <w:jc w:val="both"/>
        <w:rPr>
          <w:bCs/>
          <w:sz w:val="24"/>
        </w:rPr>
      </w:pPr>
      <w:r>
        <w:rPr>
          <w:bCs/>
          <w:sz w:val="24"/>
        </w:rPr>
        <w:t>For the supply of fresh seafood, the restaurant will form a partnership with Direct Seafood company. The costs for purchasing the products are negotiable.</w:t>
      </w:r>
    </w:p>
    <w:p w14:paraId="000000FE">
      <w:pPr>
        <w:pStyle w:val="ListParagraph"/>
        <w:numPr>
          <w:ilvl w:val="0"/>
          <w:numId w:val="30"/>
        </w:numPr>
        <w:spacing w:line="360" w:lineRule="auto"/>
        <w:jc w:val="both"/>
        <w:rPr>
          <w:bCs/>
          <w:sz w:val="24"/>
        </w:rPr>
      </w:pPr>
      <w:r>
        <w:rPr>
          <w:bCs/>
          <w:sz w:val="24"/>
        </w:rPr>
        <w:t>Partnership with Catering Appliance Superstore can be developed for the supply of equipment. Initial cost may exceed £60,000.</w:t>
      </w:r>
    </w:p>
    <w:p w14:paraId="000000FF">
      <w:pPr>
        <w:pStyle w:val="ListParagraph"/>
        <w:numPr>
          <w:ilvl w:val="0"/>
          <w:numId w:val="30"/>
        </w:numPr>
        <w:spacing w:line="360" w:lineRule="auto"/>
        <w:jc w:val="both"/>
        <w:rPr>
          <w:bCs/>
          <w:color w:val="ff0000"/>
          <w:sz w:val="24"/>
        </w:rPr>
      </w:pPr>
      <w:r>
        <w:rPr>
          <w:bCs/>
          <w:sz w:val="24"/>
        </w:rPr>
        <w:t>For the supply of packaging, eco-friendly companies like Eco Packaging Solutions can be chosen</w:t>
      </w:r>
      <w:r>
        <w:rPr>
          <w:bCs/>
          <w:sz w:val="24"/>
        </w:rPr>
        <w:t xml:space="preserve"> (Burns, 2016)</w:t>
      </w:r>
      <w:r>
        <w:rPr>
          <w:bCs/>
          <w:sz w:val="24"/>
        </w:rPr>
        <w:t>.</w:t>
      </w:r>
      <w:r>
        <w:rPr>
          <w:bCs/>
          <w:color w:val="ff0000"/>
          <w:sz w:val="24"/>
        </w:rPr>
        <w:br w:type="page"/>
      </w:r>
    </w:p>
    <w:p w14:paraId="00000100">
      <w:pPr>
        <w:spacing w:line="360" w:lineRule="auto"/>
        <w:jc w:val="both"/>
        <w:rPr>
          <w:b/>
          <w:sz w:val="32"/>
        </w:rPr>
      </w:pPr>
      <w:r>
        <w:rPr>
          <w:b/>
          <w:sz w:val="32"/>
        </w:rPr>
        <w:t>7.  FINANCES AND START-UP SUPPORT</w:t>
      </w:r>
    </w:p>
    <w:p w14:paraId="00000101">
      <w:pPr>
        <w:spacing w:line="360" w:lineRule="auto"/>
        <w:jc w:val="both"/>
        <w:rPr>
          <w:i/>
          <w:iCs/>
          <w:color w:val="ff0000"/>
          <w:sz w:val="24"/>
        </w:rPr>
      </w:pPr>
    </w:p>
    <w:p w14:paraId="00000102">
      <w:pPr>
        <w:spacing w:line="360" w:lineRule="auto"/>
        <w:jc w:val="both"/>
        <w:rPr>
          <w:i/>
          <w:iCs/>
          <w:color w:val="ff0000"/>
          <w:sz w:val="24"/>
        </w:rPr>
      </w:pPr>
    </w:p>
    <w:tbl>
      <w:tblPr>
        <w:tblW w:w="4088" w:type="dxa"/>
        <w:tblCellMar>
          <w:left w:w="0" w:type="dxa"/>
          <w:right w:w="0" w:type="dxa"/>
        </w:tblCellMar>
        <w:tblLook w:val="0600"/>
      </w:tblPr>
      <w:tblGrid>
        <w:gridCol w:w="3251"/>
        <w:gridCol w:w="837"/>
      </w:tblGrid>
      <w:tr>
        <w:trPr>
          <w:trHeight w:val="315"/>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3">
            <w:pPr>
              <w:spacing w:line="360" w:lineRule="auto"/>
              <w:jc w:val="both"/>
              <w:rPr>
                <w:bCs/>
                <w:i/>
                <w:iCs/>
                <w:color w:val="0d0d0d" w:themeColor="text1" w:themeTint="f2"/>
              </w:rPr>
            </w:pPr>
            <w:r>
              <w:rPr>
                <w:b/>
                <w:bCs/>
                <w:i/>
                <w:iCs/>
                <w:color w:val="0d0d0d" w:themeColor="text1" w:themeTint="f2"/>
              </w:rPr>
              <w:t>EXPENDITURE</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4">
            <w:pPr>
              <w:spacing w:line="360" w:lineRule="auto"/>
              <w:jc w:val="both"/>
              <w:rPr>
                <w:b/>
                <w:i/>
                <w:iCs/>
                <w:color w:val="0d0d0d" w:themeColor="text1" w:themeTint="f2"/>
              </w:rPr>
            </w:pPr>
            <w:r>
              <w:rPr>
                <w:b/>
                <w:i/>
                <w:iCs/>
                <w:color w:val="0d0d0d" w:themeColor="text1" w:themeTint="f2"/>
              </w:rPr>
              <w:t xml:space="preserve">Year 1 </w:t>
            </w:r>
            <w:r>
              <w:rPr>
                <w:b/>
                <w:i/>
                <w:iCs/>
                <w:color w:val="0d0d0d" w:themeColor="text1" w:themeTint="f2"/>
              </w:rPr>
              <w:br w:type="textWrapping"/>
            </w:r>
            <w:r>
              <w:rPr>
                <w:b/>
                <w:i/>
                <w:iCs/>
                <w:color w:val="0d0d0d" w:themeColor="text1" w:themeTint="f2"/>
              </w:rPr>
              <w:t>£</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5">
            <w:pPr>
              <w:spacing w:line="360" w:lineRule="auto"/>
              <w:jc w:val="both"/>
              <w:rPr>
                <w:bCs/>
                <w:i/>
                <w:iCs/>
                <w:color w:val="0d0d0d" w:themeColor="text1" w:themeTint="f2"/>
              </w:rPr>
            </w:pPr>
            <w:r>
              <w:rPr>
                <w:bCs/>
                <w:i/>
                <w:iCs/>
                <w:color w:val="0d0d0d" w:themeColor="text1" w:themeTint="f2"/>
              </w:rPr>
              <w:t>Company Registration</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6">
            <w:pPr>
              <w:spacing w:line="360" w:lineRule="auto"/>
              <w:jc w:val="both"/>
              <w:rPr>
                <w:bCs/>
                <w:i/>
                <w:iCs/>
                <w:color w:val="0d0d0d" w:themeColor="text1" w:themeTint="f2"/>
              </w:rPr>
            </w:pPr>
            <w:r>
              <w:rPr>
                <w:bCs/>
                <w:i/>
                <w:iCs/>
                <w:color w:val="0d0d0d" w:themeColor="text1" w:themeTint="f2"/>
              </w:rPr>
              <w:t>100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7">
            <w:pPr>
              <w:spacing w:line="360" w:lineRule="auto"/>
              <w:jc w:val="both"/>
              <w:rPr>
                <w:bCs/>
                <w:i/>
                <w:iCs/>
                <w:color w:val="0d0d0d" w:themeColor="text1" w:themeTint="f2"/>
              </w:rPr>
            </w:pPr>
            <w:r>
              <w:rPr>
                <w:bCs/>
                <w:i/>
                <w:iCs/>
                <w:color w:val="0d0d0d" w:themeColor="text1" w:themeTint="f2"/>
              </w:rPr>
              <w:t>Rent/Rates</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8">
            <w:pPr>
              <w:spacing w:line="360" w:lineRule="auto"/>
              <w:jc w:val="both"/>
              <w:rPr>
                <w:bCs/>
                <w:i/>
                <w:iCs/>
                <w:color w:val="0d0d0d" w:themeColor="text1" w:themeTint="f2"/>
              </w:rPr>
            </w:pPr>
            <w:r>
              <w:rPr>
                <w:bCs/>
                <w:i/>
                <w:iCs/>
                <w:color w:val="0d0d0d" w:themeColor="text1" w:themeTint="f2"/>
              </w:rPr>
              <w:t>150,000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9">
            <w:pPr>
              <w:spacing w:line="360" w:lineRule="auto"/>
              <w:jc w:val="both"/>
              <w:rPr>
                <w:bCs/>
                <w:i/>
                <w:iCs/>
                <w:color w:val="0d0d0d" w:themeColor="text1" w:themeTint="f2"/>
              </w:rPr>
            </w:pPr>
            <w:r>
              <w:rPr>
                <w:bCs/>
                <w:i/>
                <w:iCs/>
                <w:color w:val="0d0d0d" w:themeColor="text1" w:themeTint="f2"/>
              </w:rPr>
              <w:t>Staff Wages</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A">
            <w:pPr>
              <w:spacing w:line="360" w:lineRule="auto"/>
              <w:jc w:val="both"/>
              <w:rPr>
                <w:bCs/>
                <w:i/>
                <w:iCs/>
                <w:color w:val="0d0d0d" w:themeColor="text1" w:themeTint="f2"/>
              </w:rPr>
            </w:pPr>
            <w:r>
              <w:rPr>
                <w:bCs/>
                <w:i/>
                <w:iCs/>
                <w:color w:val="0d0d0d" w:themeColor="text1" w:themeTint="f2"/>
              </w:rPr>
              <w:t>27,000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B">
            <w:pPr>
              <w:spacing w:line="360" w:lineRule="auto"/>
              <w:jc w:val="both"/>
              <w:rPr>
                <w:bCs/>
                <w:i/>
                <w:iCs/>
                <w:color w:val="0d0d0d" w:themeColor="text1" w:themeTint="f2"/>
              </w:rPr>
            </w:pPr>
            <w:r>
              <w:rPr>
                <w:bCs/>
                <w:i/>
                <w:iCs/>
                <w:color w:val="0d0d0d" w:themeColor="text1" w:themeTint="f2"/>
              </w:rPr>
              <w:t>Telephone (mobile)</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C">
            <w:pPr>
              <w:spacing w:line="360" w:lineRule="auto"/>
              <w:jc w:val="both"/>
              <w:rPr>
                <w:bCs/>
                <w:i/>
                <w:iCs/>
                <w:color w:val="0d0d0d" w:themeColor="text1" w:themeTint="f2"/>
              </w:rPr>
            </w:pPr>
            <w:r>
              <w:rPr>
                <w:bCs/>
                <w:i/>
                <w:iCs/>
                <w:color w:val="0d0d0d" w:themeColor="text1" w:themeTint="f2"/>
              </w:rPr>
              <w:t>200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D">
            <w:pPr>
              <w:spacing w:line="360" w:lineRule="auto"/>
              <w:jc w:val="both"/>
              <w:rPr>
                <w:bCs/>
                <w:i/>
                <w:iCs/>
                <w:color w:val="0d0d0d" w:themeColor="text1" w:themeTint="f2"/>
              </w:rPr>
            </w:pPr>
            <w:r>
              <w:rPr>
                <w:bCs/>
                <w:i/>
                <w:iCs/>
                <w:color w:val="0d0d0d" w:themeColor="text1" w:themeTint="f2"/>
              </w:rPr>
              <w:t>Broadband</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E">
            <w:pPr>
              <w:spacing w:line="360" w:lineRule="auto"/>
              <w:jc w:val="both"/>
              <w:rPr>
                <w:bCs/>
                <w:i/>
                <w:iCs/>
                <w:color w:val="0d0d0d" w:themeColor="text1" w:themeTint="f2"/>
              </w:rPr>
            </w:pPr>
            <w:r>
              <w:rPr>
                <w:bCs/>
                <w:i/>
                <w:iCs/>
                <w:color w:val="0d0d0d" w:themeColor="text1" w:themeTint="f2"/>
              </w:rPr>
              <w:t>700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0F">
            <w:pPr>
              <w:spacing w:line="360" w:lineRule="auto"/>
              <w:jc w:val="both"/>
              <w:rPr>
                <w:bCs/>
                <w:i/>
                <w:iCs/>
                <w:color w:val="0d0d0d" w:themeColor="text1" w:themeTint="f2"/>
              </w:rPr>
            </w:pPr>
            <w:r>
              <w:rPr>
                <w:bCs/>
                <w:i/>
                <w:iCs/>
                <w:color w:val="0d0d0d" w:themeColor="text1" w:themeTint="f2"/>
              </w:rPr>
              <w:t>Utilities</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0">
            <w:pPr>
              <w:spacing w:line="360" w:lineRule="auto"/>
              <w:jc w:val="both"/>
              <w:rPr>
                <w:bCs/>
                <w:i/>
                <w:iCs/>
                <w:color w:val="0d0d0d" w:themeColor="text1" w:themeTint="f2"/>
              </w:rPr>
            </w:pPr>
            <w:r>
              <w:rPr>
                <w:bCs/>
                <w:i/>
                <w:iCs/>
                <w:color w:val="0d0d0d" w:themeColor="text1" w:themeTint="f2"/>
              </w:rPr>
              <w:t>13,000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1">
            <w:pPr>
              <w:spacing w:line="360" w:lineRule="auto"/>
              <w:jc w:val="both"/>
              <w:rPr>
                <w:bCs/>
                <w:i/>
                <w:iCs/>
                <w:color w:val="0d0d0d" w:themeColor="text1" w:themeTint="f2"/>
              </w:rPr>
            </w:pPr>
            <w:r>
              <w:rPr>
                <w:bCs/>
                <w:i/>
                <w:iCs/>
                <w:color w:val="0d0d0d" w:themeColor="text1" w:themeTint="f2"/>
              </w:rPr>
              <w:t xml:space="preserve">Marketing and materials </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2">
            <w:pPr>
              <w:spacing w:line="360" w:lineRule="auto"/>
              <w:jc w:val="both"/>
              <w:rPr>
                <w:bCs/>
                <w:i/>
                <w:iCs/>
                <w:color w:val="0d0d0d" w:themeColor="text1" w:themeTint="f2"/>
              </w:rPr>
            </w:pPr>
            <w:r>
              <w:rPr>
                <w:bCs/>
                <w:i/>
                <w:iCs/>
                <w:color w:val="0d0d0d" w:themeColor="text1" w:themeTint="f2"/>
              </w:rPr>
              <w:t>5,000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3">
            <w:pPr>
              <w:spacing w:line="360" w:lineRule="auto"/>
              <w:jc w:val="both"/>
              <w:rPr>
                <w:bCs/>
                <w:i/>
                <w:iCs/>
                <w:color w:val="0d0d0d" w:themeColor="text1" w:themeTint="f2"/>
              </w:rPr>
            </w:pPr>
            <w:r>
              <w:rPr>
                <w:bCs/>
                <w:i/>
                <w:iCs/>
                <w:color w:val="0d0d0d" w:themeColor="text1" w:themeTint="f2"/>
              </w:rPr>
              <w:t>Insurance</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4">
            <w:pPr>
              <w:spacing w:line="360" w:lineRule="auto"/>
              <w:jc w:val="both"/>
              <w:rPr>
                <w:bCs/>
                <w:i/>
                <w:iCs/>
                <w:color w:val="0d0d0d" w:themeColor="text1" w:themeTint="f2"/>
              </w:rPr>
            </w:pPr>
            <w:r>
              <w:rPr>
                <w:bCs/>
                <w:i/>
                <w:iCs/>
                <w:color w:val="0d0d0d" w:themeColor="text1" w:themeTint="f2"/>
              </w:rPr>
              <w:t>2,000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5">
            <w:pPr>
              <w:spacing w:line="360" w:lineRule="auto"/>
              <w:jc w:val="both"/>
              <w:rPr>
                <w:bCs/>
                <w:i/>
                <w:iCs/>
                <w:color w:val="0d0d0d" w:themeColor="text1" w:themeTint="f2"/>
              </w:rPr>
            </w:pPr>
            <w:r>
              <w:rPr>
                <w:bCs/>
                <w:i/>
                <w:iCs/>
                <w:color w:val="0d0d0d" w:themeColor="text1" w:themeTint="f2"/>
              </w:rPr>
              <w:t>Capital Expenditure/Equipment</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6">
            <w:pPr>
              <w:spacing w:line="360" w:lineRule="auto"/>
              <w:jc w:val="both"/>
              <w:rPr>
                <w:bCs/>
                <w:i/>
                <w:iCs/>
                <w:color w:val="0d0d0d" w:themeColor="text1" w:themeTint="f2"/>
              </w:rPr>
            </w:pPr>
            <w:r>
              <w:rPr>
                <w:bCs/>
                <w:i/>
                <w:iCs/>
                <w:color w:val="0d0d0d" w:themeColor="text1" w:themeTint="f2"/>
              </w:rPr>
              <w:t>95,000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7">
            <w:pPr>
              <w:spacing w:line="360" w:lineRule="auto"/>
              <w:jc w:val="both"/>
              <w:rPr>
                <w:bCs/>
                <w:i/>
                <w:iCs/>
                <w:color w:val="0d0d0d" w:themeColor="text1" w:themeTint="f2"/>
              </w:rPr>
            </w:pPr>
            <w:r>
              <w:rPr>
                <w:bCs/>
                <w:i/>
                <w:iCs/>
                <w:color w:val="0d0d0d" w:themeColor="text1" w:themeTint="f2"/>
              </w:rPr>
              <w:t>Training &amp; Development</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8">
            <w:pPr>
              <w:spacing w:line="360" w:lineRule="auto"/>
              <w:jc w:val="both"/>
              <w:rPr>
                <w:bCs/>
                <w:i/>
                <w:iCs/>
                <w:color w:val="0d0d0d" w:themeColor="text1" w:themeTint="f2"/>
              </w:rPr>
            </w:pPr>
            <w:r>
              <w:rPr>
                <w:bCs/>
                <w:i/>
                <w:iCs/>
                <w:color w:val="0d0d0d" w:themeColor="text1" w:themeTint="f2"/>
              </w:rPr>
              <w:t>2,000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9">
            <w:pPr>
              <w:spacing w:line="360" w:lineRule="auto"/>
              <w:jc w:val="both"/>
              <w:rPr>
                <w:bCs/>
                <w:i/>
                <w:iCs/>
                <w:color w:val="0d0d0d" w:themeColor="text1" w:themeTint="f2"/>
              </w:rPr>
            </w:pPr>
            <w:r>
              <w:rPr>
                <w:bCs/>
                <w:i/>
                <w:iCs/>
                <w:color w:val="0d0d0d" w:themeColor="text1" w:themeTint="f2"/>
              </w:rPr>
              <w:t>Accounting/Legal</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A">
            <w:pPr>
              <w:spacing w:line="360" w:lineRule="auto"/>
              <w:jc w:val="both"/>
              <w:rPr>
                <w:bCs/>
                <w:i/>
                <w:iCs/>
                <w:color w:val="0d0d0d" w:themeColor="text1" w:themeTint="f2"/>
              </w:rPr>
            </w:pPr>
            <w:r>
              <w:rPr>
                <w:bCs/>
                <w:i/>
                <w:iCs/>
                <w:color w:val="0d0d0d" w:themeColor="text1" w:themeTint="f2"/>
              </w:rPr>
              <w:t>500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B">
            <w:pPr>
              <w:spacing w:line="360" w:lineRule="auto"/>
              <w:jc w:val="both"/>
              <w:rPr>
                <w:bCs/>
                <w:i/>
                <w:iCs/>
                <w:color w:val="0d0d0d" w:themeColor="text1" w:themeTint="f2"/>
              </w:rPr>
            </w:pPr>
            <w:r>
              <w:rPr>
                <w:bCs/>
                <w:i/>
                <w:iCs/>
                <w:color w:val="0d0d0d" w:themeColor="text1" w:themeTint="f2"/>
              </w:rPr>
              <w:t>Outside Services</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C">
            <w:pPr>
              <w:spacing w:line="360" w:lineRule="auto"/>
              <w:jc w:val="both"/>
              <w:rPr>
                <w:bCs/>
                <w:i/>
                <w:iCs/>
                <w:color w:val="0d0d0d" w:themeColor="text1" w:themeTint="f2"/>
              </w:rPr>
            </w:pPr>
            <w:r>
              <w:rPr>
                <w:bCs/>
                <w:i/>
                <w:iCs/>
                <w:color w:val="0d0d0d" w:themeColor="text1" w:themeTint="f2"/>
              </w:rPr>
              <w:t>1000</w:t>
            </w:r>
          </w:p>
        </w:tc>
      </w:tr>
      <w:tr>
        <w:trPr>
          <w:trHeight w:val="30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D">
            <w:pPr>
              <w:spacing w:line="360" w:lineRule="auto"/>
              <w:jc w:val="both"/>
              <w:rPr>
                <w:bCs/>
                <w:i/>
                <w:iCs/>
                <w:color w:val="0d0d0d" w:themeColor="text1" w:themeTint="f2"/>
              </w:rPr>
            </w:pPr>
            <w:r>
              <w:rPr>
                <w:bCs/>
                <w:i/>
                <w:iCs/>
                <w:color w:val="0d0d0d" w:themeColor="text1" w:themeTint="f2"/>
              </w:rPr>
              <w:t xml:space="preserve">Office Consumables </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1E">
            <w:pPr>
              <w:spacing w:line="360" w:lineRule="auto"/>
              <w:jc w:val="both"/>
              <w:rPr>
                <w:bCs/>
                <w:i/>
                <w:iCs/>
                <w:color w:val="0d0d0d" w:themeColor="text1" w:themeTint="f2"/>
              </w:rPr>
            </w:pPr>
            <w:r>
              <w:rPr>
                <w:bCs/>
                <w:i/>
                <w:iCs/>
                <w:color w:val="0d0d0d" w:themeColor="text1" w:themeTint="f2"/>
              </w:rPr>
              <w:t>1000</w:t>
            </w:r>
          </w:p>
        </w:tc>
      </w:tr>
      <w:tr>
        <w:trPr>
          <w:trHeight w:val="330"/>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center"/>
          </w:tcPr>
          <w:p w14:paraId="0000011F">
            <w:pPr>
              <w:spacing w:line="360" w:lineRule="auto"/>
              <w:jc w:val="both"/>
              <w:rPr>
                <w:bCs/>
                <w:i/>
                <w:iCs/>
                <w:color w:val="0d0d0d" w:themeColor="text1" w:themeTint="f2"/>
              </w:rPr>
            </w:pPr>
            <w:r>
              <w:rPr>
                <w:b/>
                <w:bCs/>
                <w:i/>
                <w:iCs/>
                <w:color w:val="0d0d0d" w:themeColor="text1" w:themeTint="f2"/>
              </w:rPr>
              <w:t>Total Expenditure</w:t>
            </w:r>
          </w:p>
        </w:tc>
        <w:tc>
          <w:tcPr>
            <w:cnfStyle w:val="000000000000"/>
            <w:tcW w:w="837"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center"/>
          </w:tcPr>
          <w:p w14:paraId="00000120">
            <w:pPr>
              <w:spacing w:line="360" w:lineRule="auto"/>
              <w:jc w:val="both"/>
              <w:rPr>
                <w:b/>
                <w:i/>
                <w:iCs/>
                <w:color w:val="0d0d0d" w:themeColor="text1" w:themeTint="f2"/>
              </w:rPr>
            </w:pPr>
            <w:r>
              <w:rPr>
                <w:b/>
                <w:i/>
                <w:iCs/>
                <w:color w:val="0d0d0d" w:themeColor="text1" w:themeTint="f2"/>
              </w:rPr>
              <w:t xml:space="preserve">£     </w:t>
            </w:r>
            <w:r>
              <w:rPr>
                <w:b/>
                <w:i/>
                <w:iCs/>
                <w:color w:val="0d0d0d" w:themeColor="text1" w:themeTint="f2"/>
              </w:rPr>
              <w:t>297,500</w:t>
            </w:r>
          </w:p>
        </w:tc>
      </w:tr>
    </w:tbl>
    <w:p w14:paraId="00000121">
      <w:pPr>
        <w:spacing w:line="360" w:lineRule="auto"/>
        <w:jc w:val="both"/>
        <w:rPr/>
      </w:pPr>
    </w:p>
    <w:tbl>
      <w:tblPr>
        <w:tblpPr w:leftFromText="180" w:rightFromText="180" w:vertAnchor="page" w:horzAnchor="margin" w:tblpXSpec="right" w:tblpY="4457"/>
        <w:tblW w:w="4101" w:type="dxa"/>
        <w:tblCellMar>
          <w:left w:w="0" w:type="dxa"/>
          <w:right w:w="0" w:type="dxa"/>
        </w:tblCellMar>
        <w:tblLook w:val="0600"/>
      </w:tblPr>
      <w:tblGrid>
        <w:gridCol w:w="3251"/>
        <w:gridCol w:w="850"/>
      </w:tblGrid>
      <w:tr>
        <w:trPr>
          <w:trHeight w:val="328"/>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22">
            <w:pPr>
              <w:spacing w:line="360" w:lineRule="auto"/>
              <w:jc w:val="both"/>
              <w:rPr>
                <w:b/>
                <w:i/>
                <w:iCs/>
                <w:color w:val="0d0d0d" w:themeColor="text1" w:themeTint="f2"/>
              </w:rPr>
            </w:pPr>
            <w:r>
              <w:rPr>
                <w:b/>
                <w:bCs/>
                <w:i/>
                <w:iCs/>
                <w:color w:val="0d0d0d" w:themeColor="text1" w:themeTint="f2"/>
              </w:rPr>
              <w:t>INCOME</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center"/>
          </w:tcPr>
          <w:p w14:paraId="00000123">
            <w:pPr>
              <w:spacing w:line="360" w:lineRule="auto"/>
              <w:jc w:val="both"/>
              <w:rPr>
                <w:bCs/>
                <w:i/>
                <w:iCs/>
                <w:color w:val="0d0d0d" w:themeColor="text1" w:themeTint="f2"/>
              </w:rPr>
            </w:pPr>
            <w:r>
              <w:rPr>
                <w:b/>
                <w:i/>
                <w:iCs/>
                <w:color w:val="0d0d0d" w:themeColor="text1" w:themeTint="f2"/>
              </w:rPr>
              <w:t xml:space="preserve">Year 1 </w:t>
            </w:r>
            <w:r>
              <w:rPr>
                <w:b/>
                <w:i/>
                <w:iCs/>
                <w:color w:val="0d0d0d" w:themeColor="text1" w:themeTint="f2"/>
              </w:rPr>
              <w:br w:type="textWrapping"/>
            </w:r>
            <w:r>
              <w:rPr>
                <w:b/>
                <w:i/>
                <w:iCs/>
                <w:color w:val="0d0d0d" w:themeColor="text1" w:themeTint="f2"/>
              </w:rPr>
              <w:t>£</w:t>
            </w:r>
          </w:p>
        </w:tc>
      </w:tr>
      <w:tr>
        <w:trPr>
          <w:trHeight w:val="313"/>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4">
            <w:pPr>
              <w:spacing w:line="360" w:lineRule="auto"/>
              <w:jc w:val="both"/>
              <w:rPr>
                <w:bCs/>
                <w:i/>
                <w:iCs/>
                <w:color w:val="0d0d0d" w:themeColor="text1" w:themeTint="f2"/>
              </w:rPr>
            </w:pPr>
            <w:r>
              <w:rPr>
                <w:bCs/>
                <w:i/>
                <w:iCs/>
                <w:color w:val="0d0d0d" w:themeColor="text1" w:themeTint="f2"/>
              </w:rPr>
              <w:t>Sales A</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5">
            <w:pPr>
              <w:spacing w:line="360" w:lineRule="auto"/>
              <w:jc w:val="both"/>
              <w:rPr>
                <w:bCs/>
                <w:i/>
                <w:iCs/>
                <w:color w:val="0d0d0d" w:themeColor="text1" w:themeTint="f2"/>
              </w:rPr>
            </w:pPr>
            <w:r>
              <w:rPr>
                <w:bCs/>
                <w:i/>
                <w:iCs/>
                <w:color w:val="0d0d0d" w:themeColor="text1" w:themeTint="f2"/>
              </w:rPr>
              <w:t>100</w:t>
            </w:r>
            <w:r>
              <w:rPr>
                <w:bCs/>
                <w:i/>
                <w:iCs/>
                <w:color w:val="0d0d0d" w:themeColor="text1" w:themeTint="f2"/>
              </w:rPr>
              <w:t>,000</w:t>
            </w:r>
          </w:p>
        </w:tc>
      </w:tr>
      <w:tr>
        <w:trPr>
          <w:trHeight w:val="313"/>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6">
            <w:pPr>
              <w:spacing w:line="360" w:lineRule="auto"/>
              <w:jc w:val="both"/>
              <w:rPr>
                <w:bCs/>
                <w:i/>
                <w:iCs/>
                <w:color w:val="0d0d0d" w:themeColor="text1" w:themeTint="f2"/>
              </w:rPr>
            </w:pPr>
            <w:r>
              <w:rPr>
                <w:bCs/>
                <w:i/>
                <w:iCs/>
                <w:color w:val="0d0d0d" w:themeColor="text1" w:themeTint="f2"/>
              </w:rPr>
              <w:t>Sales B</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7">
            <w:pPr>
              <w:spacing w:line="360" w:lineRule="auto"/>
              <w:jc w:val="both"/>
              <w:rPr>
                <w:bCs/>
                <w:i/>
                <w:iCs/>
                <w:color w:val="0d0d0d" w:themeColor="text1" w:themeTint="f2"/>
              </w:rPr>
            </w:pPr>
            <w:r>
              <w:rPr>
                <w:bCs/>
                <w:i/>
                <w:iCs/>
                <w:color w:val="0d0d0d" w:themeColor="text1" w:themeTint="f2"/>
              </w:rPr>
              <w:t>100,000</w:t>
            </w:r>
          </w:p>
        </w:tc>
      </w:tr>
      <w:tr>
        <w:trPr>
          <w:trHeight w:val="313"/>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8">
            <w:pPr>
              <w:spacing w:line="360" w:lineRule="auto"/>
              <w:jc w:val="both"/>
              <w:rPr>
                <w:bCs/>
                <w:i/>
                <w:iCs/>
                <w:color w:val="0d0d0d" w:themeColor="text1" w:themeTint="f2"/>
              </w:rPr>
            </w:pPr>
            <w:r>
              <w:rPr>
                <w:bCs/>
                <w:i/>
                <w:iCs/>
                <w:color w:val="0d0d0d" w:themeColor="text1" w:themeTint="f2"/>
              </w:rPr>
              <w:t>Sales C</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9">
            <w:pPr>
              <w:spacing w:line="360" w:lineRule="auto"/>
              <w:jc w:val="both"/>
              <w:rPr>
                <w:bCs/>
                <w:i/>
                <w:iCs/>
                <w:color w:val="0d0d0d" w:themeColor="text1" w:themeTint="f2"/>
              </w:rPr>
            </w:pPr>
            <w:r>
              <w:rPr>
                <w:bCs/>
                <w:i/>
                <w:iCs/>
                <w:color w:val="0d0d0d" w:themeColor="text1" w:themeTint="f2"/>
              </w:rPr>
              <w:t>60,000</w:t>
            </w:r>
          </w:p>
        </w:tc>
      </w:tr>
      <w:tr>
        <w:trPr>
          <w:trHeight w:val="313"/>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A">
            <w:pPr>
              <w:spacing w:line="360" w:lineRule="auto"/>
              <w:jc w:val="both"/>
              <w:rPr>
                <w:bCs/>
                <w:i/>
                <w:iCs/>
                <w:color w:val="0d0d0d" w:themeColor="text1" w:themeTint="f2"/>
              </w:rPr>
            </w:pPr>
            <w:r>
              <w:rPr>
                <w:bCs/>
                <w:i/>
                <w:iCs/>
                <w:color w:val="0d0d0d" w:themeColor="text1" w:themeTint="f2"/>
              </w:rPr>
              <w:t>Capital Introduced</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B">
            <w:pPr>
              <w:spacing w:line="360" w:lineRule="auto"/>
              <w:jc w:val="both"/>
              <w:rPr>
                <w:bCs/>
                <w:i/>
                <w:iCs/>
                <w:color w:val="0d0d0d" w:themeColor="text1" w:themeTint="f2"/>
              </w:rPr>
            </w:pPr>
            <w:r>
              <w:rPr>
                <w:bCs/>
                <w:i/>
                <w:iCs/>
                <w:color w:val="0d0d0d" w:themeColor="text1" w:themeTint="f2"/>
              </w:rPr>
              <w:t>100</w:t>
            </w:r>
            <w:r>
              <w:rPr>
                <w:bCs/>
                <w:i/>
                <w:iCs/>
                <w:color w:val="0d0d0d" w:themeColor="text1" w:themeTint="f2"/>
              </w:rPr>
              <w:t>,000</w:t>
            </w:r>
          </w:p>
        </w:tc>
      </w:tr>
      <w:tr>
        <w:trPr>
          <w:trHeight w:val="313"/>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C">
            <w:pPr>
              <w:spacing w:line="360" w:lineRule="auto"/>
              <w:jc w:val="both"/>
              <w:rPr>
                <w:bCs/>
                <w:i/>
                <w:iCs/>
                <w:color w:val="0d0d0d" w:themeColor="text1" w:themeTint="f2"/>
              </w:rPr>
            </w:pPr>
            <w:r>
              <w:rPr>
                <w:bCs/>
                <w:i/>
                <w:iCs/>
                <w:color w:val="0d0d0d" w:themeColor="text1" w:themeTint="f2"/>
              </w:rPr>
              <w:t xml:space="preserve">Funding </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2D">
            <w:pPr>
              <w:spacing w:line="360" w:lineRule="auto"/>
              <w:jc w:val="both"/>
              <w:rPr>
                <w:bCs/>
                <w:i/>
                <w:iCs/>
                <w:color w:val="0d0d0d" w:themeColor="text1" w:themeTint="f2"/>
              </w:rPr>
            </w:pPr>
            <w:r>
              <w:rPr>
                <w:bCs/>
                <w:i/>
                <w:iCs/>
                <w:color w:val="0d0d0d" w:themeColor="text1" w:themeTint="f2"/>
              </w:rPr>
              <w:t>50,000</w:t>
            </w:r>
          </w:p>
        </w:tc>
      </w:tr>
      <w:tr>
        <w:trPr>
          <w:trHeight w:val="328"/>
        </w:trPr>
        <w:tc>
          <w:tcPr>
            <w:cnfStyle w:val="000000000000"/>
            <w:tcW w:w="3251"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tcPr>
          <w:p w14:paraId="0000012E">
            <w:pPr>
              <w:spacing w:line="360" w:lineRule="auto"/>
              <w:jc w:val="both"/>
              <w:rPr>
                <w:b/>
                <w:bCs/>
                <w:i/>
                <w:iCs/>
                <w:color w:val="0d0d0d" w:themeColor="text1" w:themeTint="f2"/>
              </w:rPr>
            </w:pPr>
            <w:r>
              <w:rPr>
                <w:b/>
                <w:bCs/>
                <w:i/>
                <w:iCs/>
                <w:color w:val="0d0d0d" w:themeColor="text1" w:themeTint="f2"/>
              </w:rPr>
              <w:t>Total Income</w:t>
            </w:r>
          </w:p>
        </w:tc>
        <w:tc>
          <w:tcPr>
            <w:cnfStyle w:val="000000000000"/>
            <w:tcW w:w="850" w:type="dxa"/>
            <w:tcBorders>
              <w:top w:val="single" w:color="ffffff" w:sz="8" w:space="0"/>
              <w:left w:val="single" w:color="ffffff" w:sz="8" w:space="0"/>
              <w:bottom w:val="single" w:color="ffffff" w:sz="8" w:space="0"/>
              <w:right w:val="single" w:color="ffffff" w:sz="8" w:space="0"/>
            </w:tcBorders>
            <w:shd w:val="clear" w:color="auto" w:fill="d9d9d9"/>
            <w:tcMar>
              <w:top w:w="15" w:type="dxa"/>
              <w:left w:w="15" w:type="dxa"/>
              <w:bottom w:w="0" w:type="dxa"/>
              <w:right w:w="15" w:type="dxa"/>
            </w:tcMar>
            <w:vAlign w:val="bottom"/>
          </w:tcPr>
          <w:p w14:paraId="0000012F">
            <w:pPr>
              <w:spacing w:line="360" w:lineRule="auto"/>
              <w:jc w:val="both"/>
              <w:rPr>
                <w:b/>
                <w:bCs/>
                <w:i/>
                <w:iCs/>
                <w:color w:val="0d0d0d" w:themeColor="text1" w:themeTint="f2"/>
              </w:rPr>
            </w:pPr>
            <w:r>
              <w:rPr>
                <w:b/>
                <w:bCs/>
                <w:i/>
                <w:iCs/>
                <w:color w:val="0d0d0d" w:themeColor="text1" w:themeTint="f2"/>
              </w:rPr>
              <w:t xml:space="preserve">£ </w:t>
            </w:r>
            <w:r>
              <w:rPr>
                <w:b/>
                <w:bCs/>
                <w:i/>
                <w:iCs/>
                <w:color w:val="0d0d0d" w:themeColor="text1" w:themeTint="f2"/>
              </w:rPr>
              <w:t>410,000</w:t>
            </w:r>
          </w:p>
        </w:tc>
      </w:tr>
    </w:tbl>
    <w:p w14:paraId="00000130">
      <w:pPr>
        <w:spacing w:line="360" w:lineRule="auto"/>
        <w:jc w:val="both"/>
        <w:rPr>
          <w:bCs/>
          <w:i/>
          <w:iCs/>
          <w:color w:val="ff0000"/>
          <w:sz w:val="24"/>
        </w:rPr>
      </w:pPr>
    </w:p>
    <w:p w14:paraId="00000131">
      <w:pPr>
        <w:spacing w:line="360" w:lineRule="auto"/>
        <w:jc w:val="both"/>
        <w:rPr>
          <w:bCs/>
          <w:i/>
          <w:iCs/>
          <w:color w:val="ff0000"/>
          <w:sz w:val="24"/>
        </w:rPr>
      </w:pPr>
    </w:p>
    <w:tbl>
      <w:tblPr>
        <w:tblpPr w:leftFromText="180" w:rightFromText="180" w:vertAnchor="text" w:horzAnchor="margin" w:tblpXSpec="center" w:tblpY="60"/>
        <w:tblW w:w="4101" w:type="dxa"/>
        <w:tblCellMar>
          <w:left w:w="0" w:type="dxa"/>
          <w:right w:w="0" w:type="dxa"/>
        </w:tblCellMar>
        <w:tblLook w:val="0600"/>
      </w:tblPr>
      <w:tblGrid>
        <w:gridCol w:w="3228"/>
        <w:gridCol w:w="873"/>
      </w:tblGrid>
      <w:tr>
        <w:trPr>
          <w:trHeight w:val="315"/>
        </w:trPr>
        <w:tc>
          <w:tcPr>
            <w:cnfStyle w:val="000000000000"/>
            <w:tcW w:w="3228" w:type="dxa"/>
            <w:tcBorders>
              <w:top w:val="single" w:color="000000"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32">
            <w:pPr>
              <w:spacing w:line="360" w:lineRule="auto"/>
              <w:jc w:val="both"/>
              <w:rPr>
                <w:color w:val="a6a6a6" w:themeColor="background1" w:themeShade="a6"/>
                <w:sz w:val="24"/>
                <w:szCs w:val="24"/>
              </w:rPr>
            </w:pPr>
            <w:r>
              <w:rPr>
                <w:b/>
                <w:bCs/>
                <w:color w:val="0d0d0d" w:themeColor="text1" w:themeTint="f2"/>
              </w:rPr>
              <w:t>YEAR ONE PROFIT/LOSS</w:t>
            </w:r>
          </w:p>
        </w:tc>
        <w:tc>
          <w:tcPr>
            <w:cnfStyle w:val="000000000000"/>
            <w:tcW w:w="873" w:type="dxa"/>
            <w:tcBorders>
              <w:top w:val="single" w:color="000000"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14:paraId="00000133">
            <w:pPr>
              <w:spacing w:line="360" w:lineRule="auto"/>
              <w:jc w:val="both"/>
              <w:rPr>
                <w:color w:val="a6a6a6" w:themeColor="background1" w:themeShade="a6"/>
                <w:sz w:val="24"/>
                <w:szCs w:val="24"/>
              </w:rPr>
            </w:pPr>
            <w:r>
              <w:rPr>
                <w:b/>
                <w:color w:val="0d0d0d" w:themeColor="text1" w:themeTint="f2"/>
              </w:rPr>
              <w:t>£</w:t>
            </w:r>
          </w:p>
        </w:tc>
      </w:tr>
      <w:tr>
        <w:trPr>
          <w:trHeight w:val="300"/>
        </w:trPr>
        <w:tc>
          <w:tcPr>
            <w:cnfStyle w:val="000000000000"/>
            <w:tcW w:w="3228"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34">
            <w:pPr>
              <w:spacing w:line="360" w:lineRule="auto"/>
              <w:jc w:val="both"/>
              <w:rPr>
                <w:color w:val="0d0d0d" w:themeColor="text1" w:themeTint="f2"/>
              </w:rPr>
            </w:pPr>
            <w:r>
              <w:rPr>
                <w:color w:val="0d0d0d" w:themeColor="text1" w:themeTint="f2"/>
              </w:rPr>
              <w:t>Total Income</w:t>
            </w:r>
          </w:p>
        </w:tc>
        <w:tc>
          <w:tcPr>
            <w:cnfStyle w:val="000000000000"/>
            <w:tcW w:w="873"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14:paraId="00000135">
            <w:pPr>
              <w:spacing w:line="360" w:lineRule="auto"/>
              <w:jc w:val="both"/>
              <w:rPr>
                <w:color w:val="0d0d0d" w:themeColor="text1" w:themeTint="f2"/>
              </w:rPr>
            </w:pPr>
            <w:r>
              <w:rPr>
                <w:color w:val="0d0d0d" w:themeColor="text1" w:themeTint="f2"/>
              </w:rPr>
              <w:t>410,000</w:t>
            </w:r>
          </w:p>
        </w:tc>
      </w:tr>
      <w:tr>
        <w:trPr>
          <w:trHeight w:val="300"/>
        </w:trPr>
        <w:tc>
          <w:tcPr>
            <w:cnfStyle w:val="000000000000"/>
            <w:tcW w:w="3228"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36">
            <w:pPr>
              <w:spacing w:line="360" w:lineRule="auto"/>
              <w:jc w:val="both"/>
              <w:rPr>
                <w:color w:val="0d0d0d" w:themeColor="text1" w:themeTint="f2"/>
              </w:rPr>
            </w:pPr>
            <w:r>
              <w:rPr>
                <w:color w:val="0d0d0d" w:themeColor="text1" w:themeTint="f2"/>
              </w:rPr>
              <w:t>Total Expenditure</w:t>
            </w:r>
          </w:p>
        </w:tc>
        <w:tc>
          <w:tcPr>
            <w:cnfStyle w:val="000000000000"/>
            <w:tcW w:w="873"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14:paraId="00000137">
            <w:pPr>
              <w:spacing w:line="360" w:lineRule="auto"/>
              <w:jc w:val="both"/>
              <w:rPr>
                <w:color w:val="0d0d0d" w:themeColor="text1" w:themeTint="f2"/>
              </w:rPr>
            </w:pPr>
            <w:r>
              <w:rPr>
                <w:color w:val="0d0d0d" w:themeColor="text1" w:themeTint="f2"/>
              </w:rPr>
              <w:t>297,500</w:t>
            </w:r>
          </w:p>
        </w:tc>
      </w:tr>
      <w:tr>
        <w:trPr>
          <w:trHeight w:val="101"/>
        </w:trPr>
        <w:tc>
          <w:tcPr>
            <w:cnfStyle w:val="000000000000"/>
            <w:tcW w:w="3228" w:type="dxa"/>
            <w:tcBorders>
              <w:top w:val="single" w:color="ffffff" w:sz="8" w:space="0"/>
              <w:left w:val="single" w:color="000000" w:sz="8" w:space="0"/>
              <w:bottom w:val="single" w:color="ffffff" w:sz="8" w:space="0"/>
              <w:right w:val="single" w:color="ffffff" w:sz="8" w:space="0"/>
            </w:tcBorders>
            <w:shd w:val="clear" w:color="auto" w:fill="e9ebf5"/>
            <w:tcMar>
              <w:top w:w="15" w:type="dxa"/>
              <w:left w:w="15" w:type="dxa"/>
              <w:bottom w:w="0" w:type="dxa"/>
              <w:right w:w="15" w:type="dxa"/>
            </w:tcMar>
            <w:vAlign w:val="bottom"/>
          </w:tcPr>
          <w:p w14:paraId="00000138">
            <w:pPr>
              <w:spacing w:line="360" w:lineRule="auto"/>
              <w:jc w:val="both"/>
              <w:rPr>
                <w:color w:val="0d0d0d" w:themeColor="text1" w:themeTint="f2"/>
              </w:rPr>
            </w:pPr>
          </w:p>
        </w:tc>
        <w:tc>
          <w:tcPr>
            <w:cnfStyle w:val="000000000000"/>
            <w:tcW w:w="873" w:type="dxa"/>
            <w:tcBorders>
              <w:top w:val="single" w:color="ffffff" w:sz="8" w:space="0"/>
              <w:left w:val="single" w:color="ffffff" w:sz="8" w:space="0"/>
              <w:bottom w:val="single" w:color="ffffff" w:sz="8" w:space="0"/>
              <w:right w:val="single" w:color="000000" w:sz="8" w:space="0"/>
            </w:tcBorders>
            <w:shd w:val="clear" w:color="auto" w:fill="e9ebf5"/>
            <w:tcMar>
              <w:top w:w="15" w:type="dxa"/>
              <w:left w:w="15" w:type="dxa"/>
              <w:bottom w:w="0" w:type="dxa"/>
              <w:right w:w="15" w:type="dxa"/>
            </w:tcMar>
            <w:vAlign w:val="bottom"/>
          </w:tcPr>
          <w:p w14:paraId="00000139">
            <w:pPr>
              <w:spacing w:line="360" w:lineRule="auto"/>
              <w:jc w:val="both"/>
              <w:rPr>
                <w:color w:val="0d0d0d" w:themeColor="text1" w:themeTint="f2"/>
              </w:rPr>
            </w:pPr>
          </w:p>
        </w:tc>
      </w:tr>
      <w:tr>
        <w:trPr>
          <w:trHeight w:val="300"/>
        </w:trPr>
        <w:tc>
          <w:tcPr>
            <w:cnfStyle w:val="000000000000"/>
            <w:tcW w:w="3228" w:type="dxa"/>
            <w:tcBorders>
              <w:top w:val="single" w:color="ffffff" w:sz="8" w:space="0"/>
              <w:left w:val="single" w:color="000000" w:sz="8" w:space="0"/>
              <w:bottom w:val="single" w:color="ffffff" w:sz="8" w:space="0"/>
              <w:right w:val="single" w:color="ffffff" w:sz="8" w:space="0"/>
            </w:tcBorders>
            <w:shd w:val="clear" w:color="auto" w:fill="bfbfbf"/>
            <w:tcMar>
              <w:top w:w="15" w:type="dxa"/>
              <w:left w:w="15" w:type="dxa"/>
              <w:bottom w:w="0" w:type="dxa"/>
              <w:right w:w="15" w:type="dxa"/>
            </w:tcMar>
            <w:vAlign w:val="bottom"/>
          </w:tcPr>
          <w:p w14:paraId="0000013A">
            <w:pPr>
              <w:spacing w:line="360" w:lineRule="auto"/>
              <w:jc w:val="both"/>
              <w:rPr>
                <w:color w:val="0d0d0d" w:themeColor="text1" w:themeTint="f2"/>
              </w:rPr>
            </w:pPr>
            <w:r>
              <w:rPr>
                <w:b/>
                <w:bCs/>
                <w:color w:val="0d0d0d" w:themeColor="text1" w:themeTint="f2"/>
              </w:rPr>
              <w:t>Profit/Loss</w:t>
            </w:r>
          </w:p>
        </w:tc>
        <w:tc>
          <w:tcPr>
            <w:cnfStyle w:val="000000000000"/>
            <w:tcW w:w="873" w:type="dxa"/>
            <w:tcBorders>
              <w:top w:val="single" w:color="ffffff" w:sz="8" w:space="0"/>
              <w:left w:val="single" w:color="ffffff" w:sz="8" w:space="0"/>
              <w:bottom w:val="single" w:color="ffffff" w:sz="8" w:space="0"/>
              <w:right w:val="single" w:color="000000" w:sz="8" w:space="0"/>
            </w:tcBorders>
            <w:shd w:val="clear" w:color="auto" w:fill="bfbfbf"/>
            <w:tcMar>
              <w:top w:w="15" w:type="dxa"/>
              <w:left w:w="15" w:type="dxa"/>
              <w:bottom w:w="0" w:type="dxa"/>
              <w:right w:w="15" w:type="dxa"/>
            </w:tcMar>
            <w:vAlign w:val="bottom"/>
          </w:tcPr>
          <w:p w14:paraId="0000013B">
            <w:pPr>
              <w:spacing w:line="360" w:lineRule="auto"/>
              <w:jc w:val="both"/>
              <w:rPr>
                <w:b/>
                <w:bCs/>
                <w:color w:val="0d0d0d" w:themeColor="text1" w:themeTint="f2"/>
              </w:rPr>
            </w:pPr>
            <w:r>
              <w:rPr>
                <w:b/>
                <w:bCs/>
                <w:color w:val="0d0d0d" w:themeColor="text1" w:themeTint="f2"/>
              </w:rPr>
              <w:t>£</w:t>
            </w:r>
            <w:r>
              <w:rPr>
                <w:b/>
                <w:bCs/>
                <w:color w:val="0d0d0d" w:themeColor="text1" w:themeTint="f2"/>
              </w:rPr>
              <w:t>112,500</w:t>
            </w:r>
          </w:p>
        </w:tc>
      </w:tr>
      <w:tr>
        <w:trPr>
          <w:trHeight w:val="67"/>
        </w:trPr>
        <w:tc>
          <w:tcPr>
            <w:cnfStyle w:val="000000000000"/>
            <w:tcW w:w="3228" w:type="dxa"/>
            <w:tcBorders>
              <w:top w:val="single" w:color="ffffff" w:sz="8" w:space="0"/>
              <w:left w:val="single" w:color="000000" w:sz="8" w:space="0"/>
              <w:bottom w:val="single" w:color="000000" w:sz="8" w:space="0"/>
              <w:right w:val="single" w:color="ffffff" w:sz="8" w:space="0"/>
            </w:tcBorders>
            <w:shd w:val="clear" w:color="auto" w:fill="e9ebf5"/>
            <w:tcMar>
              <w:top w:w="15" w:type="dxa"/>
              <w:left w:w="15" w:type="dxa"/>
              <w:bottom w:w="0" w:type="dxa"/>
              <w:right w:w="15" w:type="dxa"/>
            </w:tcMar>
            <w:vAlign w:val="bottom"/>
          </w:tcPr>
          <w:p w14:paraId="0000013C">
            <w:pPr>
              <w:spacing w:line="360" w:lineRule="auto"/>
              <w:jc w:val="both"/>
              <w:rPr>
                <w:color w:val="0d0d0d" w:themeColor="text1" w:themeTint="f2"/>
              </w:rPr>
            </w:pPr>
          </w:p>
        </w:tc>
        <w:tc>
          <w:tcPr>
            <w:cnfStyle w:val="000000000000"/>
            <w:tcW w:w="873" w:type="dxa"/>
            <w:tcBorders>
              <w:top w:val="single" w:color="ffffff" w:sz="8" w:space="0"/>
              <w:left w:val="single" w:color="ffffff" w:sz="8" w:space="0"/>
              <w:bottom w:val="single" w:color="000000" w:sz="8" w:space="0"/>
              <w:right w:val="single" w:color="000000" w:sz="8" w:space="0"/>
            </w:tcBorders>
            <w:shd w:val="clear" w:color="auto" w:fill="e9ebf5"/>
            <w:tcMar>
              <w:top w:w="15" w:type="dxa"/>
              <w:left w:w="15" w:type="dxa"/>
              <w:bottom w:w="0" w:type="dxa"/>
              <w:right w:w="15" w:type="dxa"/>
            </w:tcMar>
            <w:vAlign w:val="bottom"/>
          </w:tcPr>
          <w:p w14:paraId="0000013D">
            <w:pPr>
              <w:spacing w:line="360" w:lineRule="auto"/>
              <w:jc w:val="both"/>
              <w:rPr>
                <w:color w:val="0d0d0d" w:themeColor="text1" w:themeTint="f2"/>
              </w:rPr>
            </w:pPr>
          </w:p>
        </w:tc>
      </w:tr>
    </w:tbl>
    <w:p w14:paraId="0000013E">
      <w:pPr>
        <w:spacing w:line="360" w:lineRule="auto"/>
        <w:jc w:val="both"/>
        <w:rPr>
          <w:bCs/>
          <w:i/>
          <w:iCs/>
          <w:color w:val="ff0000"/>
          <w:sz w:val="24"/>
        </w:rPr>
      </w:pPr>
    </w:p>
    <w:p w14:paraId="0000013F">
      <w:pPr>
        <w:spacing w:line="360" w:lineRule="auto"/>
        <w:jc w:val="both"/>
        <w:rPr/>
      </w:pPr>
    </w:p>
    <w:p w14:paraId="00000140">
      <w:pPr>
        <w:spacing w:line="360" w:lineRule="auto"/>
        <w:jc w:val="both"/>
        <w:rPr>
          <w:color w:val="a6a6a6" w:themeColor="background1" w:themeShade="a6"/>
          <w:sz w:val="24"/>
          <w:szCs w:val="24"/>
        </w:rPr>
      </w:pPr>
    </w:p>
    <w:p w14:paraId="00000141">
      <w:pPr>
        <w:spacing w:line="360" w:lineRule="auto"/>
        <w:jc w:val="both"/>
        <w:rPr>
          <w:color w:val="a6a6a6" w:themeColor="background1" w:themeShade="a6"/>
          <w:sz w:val="24"/>
          <w:szCs w:val="24"/>
        </w:rPr>
      </w:pPr>
    </w:p>
    <w:p w14:paraId="00000142">
      <w:pPr>
        <w:spacing w:line="360" w:lineRule="auto"/>
        <w:jc w:val="both"/>
        <w:rPr>
          <w:color w:val="a6a6a6" w:themeColor="background1" w:themeShade="a6"/>
          <w:sz w:val="24"/>
          <w:szCs w:val="24"/>
        </w:rPr>
      </w:pPr>
    </w:p>
    <w:p w14:paraId="00000143">
      <w:pPr>
        <w:spacing w:line="360" w:lineRule="auto"/>
        <w:jc w:val="both"/>
        <w:rPr>
          <w:color w:val="a6a6a6" w:themeColor="background1" w:themeShade="a6"/>
          <w:sz w:val="24"/>
          <w:szCs w:val="24"/>
        </w:rPr>
      </w:pPr>
    </w:p>
    <w:p w14:paraId="00000144">
      <w:pPr>
        <w:spacing w:line="360" w:lineRule="auto"/>
        <w:jc w:val="both"/>
        <w:rPr>
          <w:color w:val="a6a6a6" w:themeColor="background1" w:themeShade="a6"/>
          <w:sz w:val="24"/>
          <w:szCs w:val="24"/>
        </w:rPr>
      </w:pPr>
    </w:p>
    <w:p w14:paraId="00000145">
      <w:pPr>
        <w:spacing w:line="360" w:lineRule="auto"/>
        <w:jc w:val="both"/>
        <w:rPr>
          <w:sz w:val="24"/>
          <w:szCs w:val="24"/>
        </w:rPr>
      </w:pPr>
      <w:r>
        <w:rPr>
          <w:b/>
          <w:bCs/>
          <w:i/>
          <w:iCs/>
          <w:sz w:val="24"/>
          <w:szCs w:val="18"/>
        </w:rPr>
        <w:t>7.</w:t>
      </w:r>
      <w:r>
        <w:rPr>
          <w:b/>
          <w:bCs/>
          <w:i/>
          <w:iCs/>
          <w:sz w:val="24"/>
          <w:szCs w:val="24"/>
        </w:rPr>
        <w:t xml:space="preserve">1 </w:t>
      </w:r>
      <w:r>
        <w:rPr>
          <w:b/>
          <w:bCs/>
          <w:i/>
          <w:iCs/>
          <w:sz w:val="24"/>
          <w:szCs w:val="24"/>
        </w:rPr>
        <w:tab/>
        <w:t>Financial Summary</w:t>
      </w:r>
    </w:p>
    <w:p w14:paraId="00000146">
      <w:pPr>
        <w:spacing w:line="360" w:lineRule="auto"/>
        <w:jc w:val="both"/>
        <w:rPr>
          <w:b/>
          <w:bCs/>
          <w:i/>
          <w:iCs/>
          <w:color w:val="ff0000"/>
          <w:sz w:val="24"/>
        </w:rPr>
      </w:pPr>
      <w:r>
        <w:rPr>
          <w:sz w:val="24"/>
          <w:szCs w:val="24"/>
        </w:rPr>
        <w:t xml:space="preserve">The restaurant business will have different sources for expenditures. Some of the key expenditures are forecasted for the year 1 based on the market dynamics and economic conditions. A significant portion of expenditure will incur at the annual rent. However, the income side of the restaurant has created three sources for revenue generation and they are sale </w:t>
      </w:r>
      <w:r>
        <w:rPr>
          <w:sz w:val="24"/>
          <w:szCs w:val="24"/>
        </w:rPr>
        <w:t>of food, bar services, and catering services. Moreover, the entrepreneurs will provide 100,000 in capital and other 50,000 will be managed from funding. The total income is higher than the total expenditure. Hence, the business will be profitable in the first year</w:t>
      </w:r>
      <w:r>
        <w:rPr>
          <w:sz w:val="24"/>
          <w:szCs w:val="24"/>
        </w:rPr>
        <w:t xml:space="preserve"> (Williams, 2021)</w:t>
      </w:r>
      <w:r>
        <w:rPr>
          <w:sz w:val="24"/>
          <w:szCs w:val="24"/>
        </w:rPr>
        <w:t>.</w:t>
      </w:r>
      <w:r>
        <w:rPr>
          <w:b/>
          <w:bCs/>
          <w:i/>
          <w:iCs/>
          <w:color w:val="ff0000"/>
          <w:sz w:val="24"/>
        </w:rPr>
        <w:br w:type="page"/>
      </w:r>
    </w:p>
    <w:p w14:paraId="00000147">
      <w:pPr>
        <w:spacing w:line="360" w:lineRule="auto"/>
        <w:jc w:val="both"/>
        <w:rPr>
          <w:b/>
          <w:iCs/>
          <w:sz w:val="28"/>
          <w:szCs w:val="22"/>
        </w:rPr>
      </w:pPr>
      <w:r>
        <w:rPr>
          <w:b/>
          <w:iCs/>
          <w:sz w:val="28"/>
          <w:szCs w:val="22"/>
        </w:rPr>
        <w:t>APPENDICES</w:t>
      </w:r>
    </w:p>
    <w:p w14:paraId="00000148">
      <w:pPr>
        <w:spacing w:line="360" w:lineRule="auto"/>
        <w:jc w:val="both"/>
        <w:rPr>
          <w:b/>
          <w:iCs/>
          <w:sz w:val="28"/>
          <w:szCs w:val="22"/>
        </w:rPr>
      </w:pPr>
    </w:p>
    <w:p w14:paraId="00000149">
      <w:pPr>
        <w:spacing w:line="360" w:lineRule="auto"/>
        <w:jc w:val="both"/>
        <w:rPr>
          <w:b/>
          <w:iCs/>
          <w:sz w:val="24"/>
          <w:szCs w:val="24"/>
        </w:rPr>
      </w:pPr>
      <w:r>
        <w:rPr>
          <w:b/>
          <w:iCs/>
          <w:sz w:val="24"/>
          <w:szCs w:val="24"/>
        </w:rPr>
        <w:t>Appendix A – SWOT Analysis</w:t>
      </w:r>
    </w:p>
    <w:p w14:paraId="0000014A">
      <w:pPr>
        <w:spacing w:line="360" w:lineRule="auto"/>
        <w:jc w:val="both"/>
        <w:rPr>
          <w:b/>
          <w:iCs/>
          <w:sz w:val="24"/>
          <w:szCs w:val="24"/>
        </w:rPr>
      </w:pPr>
    </w:p>
    <w:p w14:paraId="0000014B">
      <w:pPr>
        <w:spacing w:line="360" w:lineRule="auto"/>
        <w:jc w:val="both"/>
        <w:rPr>
          <w:b/>
          <w:bCs/>
          <w:sz w:val="24"/>
          <w:szCs w:val="24"/>
          <w:u w:val="single"/>
        </w:rPr>
      </w:pPr>
      <w:r>
        <w:rPr>
          <w:b/>
          <w:bCs/>
          <w:sz w:val="24"/>
          <w:szCs w:val="24"/>
          <w:u w:val="single"/>
        </w:rPr>
        <w:t xml:space="preserve">Strengths: </w:t>
      </w:r>
    </w:p>
    <w:p w14:paraId="0000014C">
      <w:pPr>
        <w:numPr>
          <w:ilvl w:val="0"/>
          <w:numId w:val="19"/>
        </w:numPr>
        <w:spacing w:line="360" w:lineRule="auto"/>
        <w:contextualSpacing w:val="on"/>
        <w:jc w:val="both"/>
        <w:rPr>
          <w:sz w:val="24"/>
          <w:szCs w:val="24"/>
        </w:rPr>
      </w:pPr>
      <w:r>
        <w:rPr>
          <w:sz w:val="24"/>
          <w:szCs w:val="24"/>
        </w:rPr>
        <w:t>The</w:t>
      </w:r>
      <w:r>
        <w:rPr>
          <w:sz w:val="24"/>
          <w:szCs w:val="24"/>
        </w:rPr>
        <w:t xml:space="preserve"> location is the biggest strength for the business.</w:t>
      </w:r>
      <w:r>
        <w:rPr>
          <w:sz w:val="24"/>
          <w:szCs w:val="24"/>
        </w:rPr>
        <w:t xml:space="preserve"> </w:t>
      </w:r>
      <w:r>
        <w:rPr>
          <w:sz w:val="24"/>
          <w:szCs w:val="24"/>
        </w:rPr>
        <w:t xml:space="preserve">The restaurant will be established in the </w:t>
      </w:r>
      <w:r>
        <w:rPr>
          <w:sz w:val="24"/>
          <w:szCs w:val="24"/>
        </w:rPr>
        <w:t>key location in London.</w:t>
      </w:r>
      <w:r>
        <w:rPr>
          <w:sz w:val="24"/>
          <w:szCs w:val="24"/>
        </w:rPr>
        <w:t xml:space="preserve"> It will provide greater access to the different customer segments. </w:t>
      </w:r>
    </w:p>
    <w:p w14:paraId="0000014D">
      <w:pPr>
        <w:numPr>
          <w:ilvl w:val="0"/>
          <w:numId w:val="19"/>
        </w:numPr>
        <w:spacing w:line="360" w:lineRule="auto"/>
        <w:contextualSpacing w:val="on"/>
        <w:jc w:val="both"/>
        <w:rPr>
          <w:sz w:val="24"/>
          <w:szCs w:val="24"/>
        </w:rPr>
      </w:pPr>
      <w:r>
        <w:rPr>
          <w:sz w:val="24"/>
          <w:szCs w:val="24"/>
        </w:rPr>
        <w:t xml:space="preserve">The company will ensure ethical and sustainability practices in its operations. It can enhance the brand reputation and attract customers who prefer sustainability. </w:t>
      </w:r>
    </w:p>
    <w:p w14:paraId="0000014E">
      <w:pPr>
        <w:numPr>
          <w:ilvl w:val="0"/>
          <w:numId w:val="19"/>
        </w:numPr>
        <w:spacing w:line="360" w:lineRule="auto"/>
        <w:contextualSpacing w:val="on"/>
        <w:jc w:val="both"/>
        <w:rPr>
          <w:sz w:val="24"/>
          <w:szCs w:val="24"/>
        </w:rPr>
      </w:pPr>
      <w:r>
        <w:rPr>
          <w:sz w:val="24"/>
          <w:szCs w:val="24"/>
        </w:rPr>
        <w:t>By providing high quality food and maintain greater standard,</w:t>
      </w:r>
      <w:r>
        <w:rPr>
          <w:sz w:val="24"/>
          <w:szCs w:val="24"/>
        </w:rPr>
        <w:t xml:space="preserve"> </w:t>
      </w:r>
      <w:r>
        <w:rPr>
          <w:sz w:val="24"/>
          <w:szCs w:val="24"/>
        </w:rPr>
        <w:t xml:space="preserve">it will create a distinctive position in the market </w:t>
      </w:r>
      <w:r>
        <w:rPr>
          <w:sz w:val="24"/>
          <w:szCs w:val="24"/>
        </w:rPr>
        <w:t xml:space="preserve">(Gurel, 2017). </w:t>
      </w:r>
    </w:p>
    <w:p w14:paraId="0000014F">
      <w:pPr>
        <w:spacing w:line="360" w:lineRule="auto"/>
        <w:jc w:val="both"/>
        <w:rPr>
          <w:b/>
          <w:bCs/>
          <w:sz w:val="24"/>
          <w:szCs w:val="24"/>
          <w:u w:val="single"/>
        </w:rPr>
      </w:pPr>
      <w:r>
        <w:rPr>
          <w:b/>
          <w:bCs/>
          <w:sz w:val="24"/>
          <w:szCs w:val="24"/>
          <w:u w:val="single"/>
        </w:rPr>
        <w:t>Weaknesses:</w:t>
      </w:r>
    </w:p>
    <w:p w14:paraId="00000150">
      <w:pPr>
        <w:numPr>
          <w:ilvl w:val="0"/>
          <w:numId w:val="20"/>
        </w:numPr>
        <w:spacing w:line="360" w:lineRule="auto"/>
        <w:contextualSpacing w:val="on"/>
        <w:jc w:val="both"/>
        <w:rPr>
          <w:sz w:val="24"/>
          <w:szCs w:val="24"/>
        </w:rPr>
      </w:pPr>
      <w:r>
        <w:rPr>
          <w:sz w:val="24"/>
          <w:szCs w:val="24"/>
        </w:rPr>
        <w:t xml:space="preserve">To establish a sustainable restaurant is challenging because it will require a substantial amount of resources for the initial investment. The investment in sustainable technologies and materials will increase the expenditure. </w:t>
      </w:r>
    </w:p>
    <w:p w14:paraId="00000151">
      <w:pPr>
        <w:numPr>
          <w:ilvl w:val="0"/>
          <w:numId w:val="20"/>
        </w:numPr>
        <w:spacing w:line="360" w:lineRule="auto"/>
        <w:contextualSpacing w:val="on"/>
        <w:jc w:val="both"/>
        <w:rPr>
          <w:sz w:val="24"/>
          <w:szCs w:val="24"/>
        </w:rPr>
      </w:pPr>
      <w:r>
        <w:rPr>
          <w:sz w:val="24"/>
          <w:szCs w:val="24"/>
        </w:rPr>
        <w:t xml:space="preserve">The target market is highly competitive because there exist already established players. It will be difficult for the startup to create a position. </w:t>
      </w:r>
    </w:p>
    <w:p w14:paraId="00000152">
      <w:pPr>
        <w:spacing w:line="360" w:lineRule="auto"/>
        <w:jc w:val="both"/>
        <w:rPr>
          <w:b/>
          <w:bCs/>
          <w:sz w:val="24"/>
          <w:szCs w:val="24"/>
          <w:u w:val="single"/>
        </w:rPr>
      </w:pPr>
      <w:r>
        <w:rPr>
          <w:b/>
          <w:bCs/>
          <w:sz w:val="24"/>
          <w:szCs w:val="24"/>
          <w:u w:val="single"/>
        </w:rPr>
        <w:t>Opportunities:</w:t>
      </w:r>
    </w:p>
    <w:p w14:paraId="00000153">
      <w:pPr>
        <w:numPr>
          <w:ilvl w:val="0"/>
          <w:numId w:val="21"/>
        </w:numPr>
        <w:spacing w:line="360" w:lineRule="auto"/>
        <w:contextualSpacing w:val="on"/>
        <w:jc w:val="both"/>
        <w:rPr>
          <w:sz w:val="24"/>
          <w:szCs w:val="24"/>
        </w:rPr>
      </w:pPr>
      <w:r>
        <w:rPr>
          <w:sz w:val="24"/>
          <w:szCs w:val="24"/>
        </w:rPr>
        <w:t xml:space="preserve">The increasing demand for sustainable and healthy products in the UK can create new opportunities for the business to grow and succeed. </w:t>
      </w:r>
    </w:p>
    <w:p w14:paraId="00000154">
      <w:pPr>
        <w:numPr>
          <w:ilvl w:val="0"/>
          <w:numId w:val="21"/>
        </w:numPr>
        <w:spacing w:line="360" w:lineRule="auto"/>
        <w:contextualSpacing w:val="on"/>
        <w:jc w:val="both"/>
        <w:rPr>
          <w:sz w:val="24"/>
          <w:szCs w:val="24"/>
        </w:rPr>
      </w:pPr>
      <w:r>
        <w:rPr>
          <w:sz w:val="24"/>
          <w:szCs w:val="24"/>
        </w:rPr>
        <w:t>The restaurant can expand other region of the UK.</w:t>
      </w:r>
      <w:r>
        <w:rPr>
          <w:sz w:val="24"/>
          <w:szCs w:val="24"/>
        </w:rPr>
        <w:t xml:space="preserve"> </w:t>
      </w:r>
      <w:r>
        <w:rPr>
          <w:sz w:val="24"/>
          <w:szCs w:val="24"/>
        </w:rPr>
        <w:t xml:space="preserve">However, expansion decision might be relevant for long term success </w:t>
      </w:r>
      <w:r>
        <w:rPr>
          <w:sz w:val="24"/>
          <w:szCs w:val="24"/>
        </w:rPr>
        <w:t>(Restaurantonline.co.uk, 2022).</w:t>
      </w:r>
    </w:p>
    <w:p w14:paraId="00000155">
      <w:pPr>
        <w:spacing w:line="360" w:lineRule="auto"/>
        <w:jc w:val="both"/>
        <w:rPr>
          <w:b/>
          <w:bCs/>
          <w:sz w:val="24"/>
          <w:szCs w:val="24"/>
          <w:u w:val="single"/>
        </w:rPr>
      </w:pPr>
      <w:r>
        <w:rPr>
          <w:b/>
          <w:bCs/>
          <w:sz w:val="24"/>
          <w:szCs w:val="24"/>
          <w:u w:val="single"/>
        </w:rPr>
        <w:t>Threats:</w:t>
      </w:r>
    </w:p>
    <w:p w14:paraId="00000156">
      <w:pPr>
        <w:numPr>
          <w:ilvl w:val="0"/>
          <w:numId w:val="22"/>
        </w:numPr>
        <w:spacing w:line="360" w:lineRule="auto"/>
        <w:contextualSpacing w:val="on"/>
        <w:jc w:val="both"/>
        <w:rPr>
          <w:sz w:val="24"/>
          <w:szCs w:val="24"/>
        </w:rPr>
      </w:pPr>
      <w:r>
        <w:rPr>
          <w:sz w:val="24"/>
          <w:szCs w:val="24"/>
        </w:rPr>
        <w:t xml:space="preserve">The UK has encountered severe economic challenges after the COVID-19 pandemic. The increasing inflation rate can reduce the demand side of the business </w:t>
      </w:r>
      <w:r>
        <w:rPr>
          <w:sz w:val="24"/>
          <w:szCs w:val="24"/>
        </w:rPr>
        <w:t>(BBC, 2023).</w:t>
      </w:r>
    </w:p>
    <w:p w14:paraId="00000157">
      <w:pPr>
        <w:numPr>
          <w:ilvl w:val="0"/>
          <w:numId w:val="22"/>
        </w:numPr>
        <w:spacing w:line="360" w:lineRule="auto"/>
        <w:contextualSpacing w:val="on"/>
        <w:jc w:val="both"/>
        <w:rPr>
          <w:sz w:val="24"/>
          <w:szCs w:val="24"/>
        </w:rPr>
      </w:pPr>
      <w:r>
        <w:rPr>
          <w:sz w:val="24"/>
          <w:szCs w:val="24"/>
        </w:rPr>
        <w:t xml:space="preserve">Any type of regulatory changes can affect the overall business activities. In such circumstances, the restaurant might face reputational stake and financial losses. </w:t>
      </w:r>
    </w:p>
    <w:p w14:paraId="00000158">
      <w:pPr>
        <w:spacing w:line="360" w:lineRule="auto"/>
        <w:jc w:val="both"/>
        <w:rPr>
          <w:b/>
          <w:iCs/>
          <w:sz w:val="24"/>
          <w:szCs w:val="24"/>
        </w:rPr>
      </w:pPr>
      <w:r>
        <w:rPr>
          <w:b/>
          <w:iCs/>
          <w:sz w:val="24"/>
          <w:szCs w:val="24"/>
        </w:rPr>
        <w:br w:type="page"/>
      </w:r>
    </w:p>
    <w:p w14:paraId="00000159">
      <w:pPr>
        <w:spacing w:line="360" w:lineRule="auto"/>
        <w:jc w:val="both"/>
        <w:rPr>
          <w:b/>
          <w:iCs/>
          <w:sz w:val="24"/>
          <w:szCs w:val="24"/>
        </w:rPr>
      </w:pPr>
      <w:r>
        <w:rPr>
          <w:b/>
          <w:iCs/>
          <w:sz w:val="24"/>
          <w:szCs w:val="24"/>
        </w:rPr>
        <w:t>Appendix B – PEST Analysis</w:t>
      </w:r>
    </w:p>
    <w:p w14:paraId="0000015A">
      <w:pPr>
        <w:spacing w:line="360" w:lineRule="auto"/>
        <w:jc w:val="both"/>
        <w:rPr>
          <w:b/>
          <w:iCs/>
          <w:sz w:val="24"/>
          <w:szCs w:val="24"/>
        </w:rPr>
      </w:pPr>
    </w:p>
    <w:p w14:paraId="0000015B">
      <w:pPr>
        <w:spacing w:line="360" w:lineRule="auto"/>
        <w:jc w:val="both"/>
        <w:rPr>
          <w:bCs/>
          <w:sz w:val="24"/>
          <w:szCs w:val="24"/>
        </w:rPr>
      </w:pPr>
      <w:r>
        <w:rPr>
          <w:b/>
          <w:sz w:val="24"/>
          <w:szCs w:val="24"/>
        </w:rPr>
        <w:t>Political Factors:</w:t>
      </w:r>
      <w:r>
        <w:rPr>
          <w:bCs/>
          <w:sz w:val="24"/>
          <w:szCs w:val="24"/>
        </w:rPr>
        <w:t xml:space="preserve"> The UK has a stable political climate that is suitable for startups. The relationship with other international community is also positive which facilitate the import and export activities. However, the recent Brexit has created complexities in the UK's trade </w:t>
      </w:r>
      <w:r>
        <w:rPr>
          <w:bCs/>
          <w:sz w:val="24"/>
          <w:szCs w:val="24"/>
        </w:rPr>
        <w:t>agreement with other EU countries</w:t>
      </w:r>
      <w:r>
        <w:rPr>
          <w:bCs/>
          <w:sz w:val="24"/>
          <w:szCs w:val="24"/>
        </w:rPr>
        <w:t xml:space="preserve"> (RSE, 2023). </w:t>
      </w:r>
      <w:r>
        <w:rPr>
          <w:bCs/>
          <w:sz w:val="24"/>
          <w:szCs w:val="24"/>
        </w:rPr>
        <w:t xml:space="preserve">The import of materials for the restaurant can be time consuming and may require more paperwork. </w:t>
      </w:r>
    </w:p>
    <w:p w14:paraId="0000015C">
      <w:pPr>
        <w:spacing w:line="360" w:lineRule="auto"/>
        <w:jc w:val="both"/>
        <w:rPr>
          <w:bCs/>
          <w:sz w:val="24"/>
          <w:szCs w:val="24"/>
        </w:rPr>
      </w:pPr>
      <w:r>
        <w:rPr>
          <w:b/>
          <w:sz w:val="24"/>
          <w:szCs w:val="24"/>
        </w:rPr>
        <w:t>Economic Factors:</w:t>
      </w:r>
      <w:r>
        <w:rPr>
          <w:bCs/>
          <w:sz w:val="24"/>
          <w:szCs w:val="24"/>
        </w:rPr>
        <w:t xml:space="preserve"> </w:t>
      </w:r>
      <w:r>
        <w:rPr>
          <w:bCs/>
          <w:sz w:val="24"/>
          <w:szCs w:val="24"/>
        </w:rPr>
        <w:t xml:space="preserve">The UK has faced economic challenges in recent years due to the COVID-19 pandemic. The inflation rate increased to a record high and so the cost of living rose </w:t>
      </w:r>
      <w:r>
        <w:rPr>
          <w:bCs/>
          <w:sz w:val="24"/>
          <w:szCs w:val="24"/>
        </w:rPr>
        <w:t>(BBC, 2023).</w:t>
      </w:r>
      <w:r>
        <w:rPr>
          <w:bCs/>
          <w:sz w:val="24"/>
          <w:szCs w:val="24"/>
        </w:rPr>
        <w:t xml:space="preserve"> It affected the purchasing power of the UK consumers. </w:t>
      </w:r>
    </w:p>
    <w:p w14:paraId="0000015D">
      <w:pPr>
        <w:spacing w:line="360" w:lineRule="auto"/>
        <w:jc w:val="both"/>
        <w:rPr>
          <w:bCs/>
          <w:sz w:val="24"/>
          <w:szCs w:val="24"/>
        </w:rPr>
      </w:pPr>
      <w:r>
        <w:rPr>
          <w:b/>
          <w:sz w:val="24"/>
          <w:szCs w:val="24"/>
        </w:rPr>
        <w:t>Social Factors:</w:t>
      </w:r>
      <w:r>
        <w:rPr>
          <w:bCs/>
          <w:sz w:val="24"/>
          <w:szCs w:val="24"/>
        </w:rPr>
        <w:t xml:space="preserve"> </w:t>
      </w:r>
      <w:r>
        <w:rPr>
          <w:bCs/>
          <w:sz w:val="24"/>
          <w:szCs w:val="24"/>
        </w:rPr>
        <w:t xml:space="preserve">The UK has diversified people from different backgrounds. These people have different tastes and preferences. The ageing population shows the greatest demand for fish consumption </w:t>
      </w:r>
      <w:r>
        <w:rPr>
          <w:bCs/>
          <w:sz w:val="24"/>
          <w:szCs w:val="24"/>
        </w:rPr>
        <w:t xml:space="preserve">(Statista , 2024). </w:t>
      </w:r>
      <w:r>
        <w:rPr>
          <w:bCs/>
          <w:sz w:val="24"/>
          <w:szCs w:val="24"/>
        </w:rPr>
        <w:t xml:space="preserve">Fish consumption is less popular among the young generation. </w:t>
      </w:r>
      <w:r>
        <w:rPr>
          <w:bCs/>
          <w:sz w:val="24"/>
          <w:szCs w:val="24"/>
        </w:rPr>
        <w:t xml:space="preserve">Moreover, the cultural diversity can also play a crucial role in creating demand for fish items. </w:t>
      </w:r>
    </w:p>
    <w:p w14:paraId="0000015E">
      <w:pPr>
        <w:spacing w:line="360" w:lineRule="auto"/>
        <w:jc w:val="both"/>
        <w:rPr>
          <w:bCs/>
          <w:sz w:val="24"/>
          <w:szCs w:val="24"/>
        </w:rPr>
      </w:pPr>
      <w:r>
        <w:rPr>
          <w:b/>
          <w:sz w:val="24"/>
          <w:szCs w:val="24"/>
        </w:rPr>
        <w:t>Technological Factors:</w:t>
      </w:r>
      <w:r>
        <w:rPr>
          <w:bCs/>
          <w:sz w:val="24"/>
          <w:szCs w:val="24"/>
        </w:rPr>
        <w:t xml:space="preserve"> </w:t>
      </w:r>
      <w:r>
        <w:rPr>
          <w:bCs/>
          <w:sz w:val="24"/>
          <w:szCs w:val="24"/>
        </w:rPr>
        <w:t xml:space="preserve">The UK is a technologically advanced country. It is the leader in the tech industry. The restaurant business can adopt the latest technologies to streamline its operations. Moreover, it can also adopt green technologies to support its sustainability practices. </w:t>
      </w:r>
    </w:p>
    <w:p w14:paraId="0000015F">
      <w:pPr>
        <w:spacing w:line="360" w:lineRule="auto"/>
        <w:jc w:val="both"/>
        <w:rPr>
          <w:b/>
          <w:iCs/>
          <w:sz w:val="24"/>
          <w:szCs w:val="24"/>
        </w:rPr>
      </w:pPr>
      <w:r>
        <w:rPr>
          <w:b/>
          <w:iCs/>
          <w:sz w:val="24"/>
          <w:szCs w:val="24"/>
        </w:rPr>
        <w:br w:type="page"/>
      </w:r>
    </w:p>
    <w:p w14:paraId="00000160">
      <w:pPr>
        <w:spacing w:line="360" w:lineRule="auto"/>
        <w:jc w:val="both"/>
        <w:rPr>
          <w:b/>
          <w:iCs/>
          <w:sz w:val="24"/>
          <w:szCs w:val="24"/>
        </w:rPr>
      </w:pPr>
      <w:r>
        <w:rPr>
          <w:b/>
          <w:iCs/>
          <w:sz w:val="24"/>
          <w:szCs w:val="24"/>
        </w:rPr>
        <w:t>Appendix C – Copy of Pitch Supporting Material</w:t>
      </w:r>
    </w:p>
    <w:p w14:paraId="00000161">
      <w:pPr>
        <w:spacing w:line="360" w:lineRule="auto"/>
        <w:jc w:val="both"/>
        <w:rPr>
          <w:b/>
          <w:iCs/>
          <w:sz w:val="24"/>
          <w:szCs w:val="24"/>
        </w:rPr>
      </w:pPr>
      <w:r>
        <w:rPr>
          <w:b/>
          <w:iCs/>
          <w:sz w:val="24"/>
          <w:szCs w:val="24"/>
        </w:rPr>
        <w:t>Slide 1</w:t>
      </w:r>
    </w:p>
    <w:p w14:paraId="00000162">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6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76288" name="Graphic 1"/>
                    <pic:cNvPicPr/>
                  </pic:nvPicPr>
                  <pic:blipFill>
                    <a:blip r:embed="rId39"/>
                    <a:srcRect/>
                    <a:stretch>
                      <a:fillRect/>
                    </a:stretch>
                  </pic:blipFill>
                  <pic:spPr>
                    <a:xfrm>
                      <a:off x="0" y="0"/>
                      <a:ext cx="5760085" cy="3239770"/>
                    </a:xfrm>
                    <a:prstGeom prst="rect">
                      <a:avLst/>
                    </a:prstGeom>
                  </pic:spPr>
                </pic:pic>
              </a:graphicData>
            </a:graphic>
          </wp:inline>
        </w:drawing>
      </w:r>
    </w:p>
    <w:p w14:paraId="00000163">
      <w:pPr>
        <w:spacing w:line="360" w:lineRule="auto"/>
        <w:jc w:val="both"/>
        <w:rPr>
          <w:b/>
          <w:iCs/>
          <w:sz w:val="24"/>
          <w:szCs w:val="24"/>
        </w:rPr>
      </w:pPr>
      <w:r>
        <w:rPr>
          <w:b/>
          <w:iCs/>
          <w:sz w:val="24"/>
          <w:szCs w:val="24"/>
        </w:rPr>
        <w:t>Slide 2</w:t>
      </w:r>
    </w:p>
    <w:p w14:paraId="00000164">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823148" name="Graphic 1"/>
                    <pic:cNvPicPr/>
                  </pic:nvPicPr>
                  <pic:blipFill>
                    <a:blip r:embed="rId40"/>
                    <a:srcRect/>
                    <a:stretch>
                      <a:fillRect/>
                    </a:stretch>
                  </pic:blipFill>
                  <pic:spPr>
                    <a:xfrm>
                      <a:off x="0" y="0"/>
                      <a:ext cx="5760085" cy="3239770"/>
                    </a:xfrm>
                    <a:prstGeom prst="rect">
                      <a:avLst/>
                    </a:prstGeom>
                  </pic:spPr>
                </pic:pic>
              </a:graphicData>
            </a:graphic>
          </wp:inline>
        </w:drawing>
      </w:r>
    </w:p>
    <w:p w14:paraId="00000165">
      <w:pPr>
        <w:spacing w:after="200" w:line="276" w:lineRule="auto"/>
        <w:rPr>
          <w:b/>
          <w:iCs/>
          <w:sz w:val="24"/>
          <w:szCs w:val="24"/>
        </w:rPr>
      </w:pPr>
      <w:r>
        <w:rPr>
          <w:b/>
          <w:iCs/>
          <w:sz w:val="24"/>
          <w:szCs w:val="24"/>
        </w:rPr>
        <w:br w:type="page"/>
      </w:r>
    </w:p>
    <w:p w14:paraId="00000166">
      <w:pPr>
        <w:spacing w:line="360" w:lineRule="auto"/>
        <w:jc w:val="both"/>
        <w:rPr>
          <w:b/>
          <w:iCs/>
          <w:sz w:val="24"/>
          <w:szCs w:val="24"/>
        </w:rPr>
      </w:pPr>
      <w:r>
        <w:rPr>
          <w:b/>
          <w:iCs/>
          <w:sz w:val="24"/>
          <w:szCs w:val="24"/>
        </w:rPr>
        <w:t>Slide 3</w:t>
      </w:r>
    </w:p>
    <w:p w14:paraId="00000167">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11118" name="Graphic 1"/>
                    <pic:cNvPicPr/>
                  </pic:nvPicPr>
                  <pic:blipFill>
                    <a:blip r:embed="rId41"/>
                    <a:srcRect/>
                    <a:stretch>
                      <a:fillRect/>
                    </a:stretch>
                  </pic:blipFill>
                  <pic:spPr>
                    <a:xfrm>
                      <a:off x="0" y="0"/>
                      <a:ext cx="5760085" cy="3239770"/>
                    </a:xfrm>
                    <a:prstGeom prst="rect">
                      <a:avLst/>
                    </a:prstGeom>
                  </pic:spPr>
                </pic:pic>
              </a:graphicData>
            </a:graphic>
          </wp:inline>
        </w:drawing>
      </w:r>
    </w:p>
    <w:p w14:paraId="00000168">
      <w:pPr>
        <w:spacing w:line="360" w:lineRule="auto"/>
        <w:jc w:val="both"/>
        <w:rPr>
          <w:b/>
          <w:iCs/>
          <w:sz w:val="24"/>
          <w:szCs w:val="24"/>
        </w:rPr>
      </w:pPr>
      <w:r>
        <w:rPr>
          <w:b/>
          <w:iCs/>
          <w:sz w:val="24"/>
          <w:szCs w:val="24"/>
        </w:rPr>
        <w:t>Slide 4</w:t>
      </w:r>
    </w:p>
    <w:p w14:paraId="00000169">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1166696" name="Graphic 1"/>
                    <pic:cNvPicPr/>
                  </pic:nvPicPr>
                  <pic:blipFill>
                    <a:blip r:embed="rId42"/>
                    <a:srcRect/>
                    <a:stretch>
                      <a:fillRect/>
                    </a:stretch>
                  </pic:blipFill>
                  <pic:spPr>
                    <a:xfrm>
                      <a:off x="0" y="0"/>
                      <a:ext cx="5760085" cy="3239770"/>
                    </a:xfrm>
                    <a:prstGeom prst="rect">
                      <a:avLst/>
                    </a:prstGeom>
                  </pic:spPr>
                </pic:pic>
              </a:graphicData>
            </a:graphic>
          </wp:inline>
        </w:drawing>
      </w:r>
    </w:p>
    <w:p w14:paraId="0000016A">
      <w:pPr>
        <w:spacing w:after="200" w:line="276" w:lineRule="auto"/>
        <w:rPr>
          <w:b/>
          <w:iCs/>
          <w:sz w:val="24"/>
          <w:szCs w:val="24"/>
        </w:rPr>
      </w:pPr>
      <w:r>
        <w:rPr>
          <w:b/>
          <w:iCs/>
          <w:sz w:val="24"/>
          <w:szCs w:val="24"/>
        </w:rPr>
        <w:br w:type="page"/>
      </w:r>
    </w:p>
    <w:p w14:paraId="0000016B">
      <w:pPr>
        <w:spacing w:line="360" w:lineRule="auto"/>
        <w:jc w:val="both"/>
        <w:rPr>
          <w:b/>
          <w:iCs/>
          <w:sz w:val="24"/>
          <w:szCs w:val="24"/>
        </w:rPr>
      </w:pPr>
      <w:r>
        <w:rPr>
          <w:b/>
          <w:iCs/>
          <w:sz w:val="24"/>
          <w:szCs w:val="24"/>
        </w:rPr>
        <w:t>Slide 5</w:t>
      </w:r>
    </w:p>
    <w:p w14:paraId="0000016C">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493167" name="Graphic 1"/>
                    <pic:cNvPicPr/>
                  </pic:nvPicPr>
                  <pic:blipFill>
                    <a:blip r:embed="rId43"/>
                    <a:srcRect/>
                    <a:stretch>
                      <a:fillRect/>
                    </a:stretch>
                  </pic:blipFill>
                  <pic:spPr>
                    <a:xfrm>
                      <a:off x="0" y="0"/>
                      <a:ext cx="5760085" cy="3239770"/>
                    </a:xfrm>
                    <a:prstGeom prst="rect">
                      <a:avLst/>
                    </a:prstGeom>
                  </pic:spPr>
                </pic:pic>
              </a:graphicData>
            </a:graphic>
          </wp:inline>
        </w:drawing>
      </w:r>
    </w:p>
    <w:p w14:paraId="0000016D">
      <w:pPr>
        <w:spacing w:line="360" w:lineRule="auto"/>
        <w:jc w:val="both"/>
        <w:rPr>
          <w:b/>
          <w:iCs/>
          <w:sz w:val="24"/>
          <w:szCs w:val="24"/>
        </w:rPr>
      </w:pPr>
      <w:r>
        <w:rPr>
          <w:b/>
          <w:iCs/>
          <w:sz w:val="24"/>
          <w:szCs w:val="24"/>
        </w:rPr>
        <w:t>Slide 6</w:t>
      </w:r>
    </w:p>
    <w:p w14:paraId="0000016E">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8213562" name="Graphic 1"/>
                    <pic:cNvPicPr/>
                  </pic:nvPicPr>
                  <pic:blipFill>
                    <a:blip r:embed="rId44"/>
                    <a:srcRect/>
                    <a:stretch>
                      <a:fillRect/>
                    </a:stretch>
                  </pic:blipFill>
                  <pic:spPr>
                    <a:xfrm>
                      <a:off x="0" y="0"/>
                      <a:ext cx="5760085" cy="3239770"/>
                    </a:xfrm>
                    <a:prstGeom prst="rect">
                      <a:avLst/>
                    </a:prstGeom>
                  </pic:spPr>
                </pic:pic>
              </a:graphicData>
            </a:graphic>
          </wp:inline>
        </w:drawing>
      </w:r>
    </w:p>
    <w:p w14:paraId="0000016F">
      <w:pPr>
        <w:spacing w:line="360" w:lineRule="auto"/>
        <w:jc w:val="both"/>
        <w:rPr>
          <w:b/>
          <w:iCs/>
          <w:sz w:val="24"/>
          <w:szCs w:val="24"/>
        </w:rPr>
      </w:pPr>
      <w:r>
        <w:rPr>
          <w:b/>
          <w:iCs/>
          <w:sz w:val="24"/>
          <w:szCs w:val="24"/>
        </w:rPr>
        <w:t>Slide 7</w:t>
      </w:r>
    </w:p>
    <w:p w14:paraId="00000170">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965358" name="Graphic 1"/>
                    <pic:cNvPicPr/>
                  </pic:nvPicPr>
                  <pic:blipFill>
                    <a:blip r:embed="rId45"/>
                    <a:srcRect/>
                    <a:stretch>
                      <a:fillRect/>
                    </a:stretch>
                  </pic:blipFill>
                  <pic:spPr>
                    <a:xfrm>
                      <a:off x="0" y="0"/>
                      <a:ext cx="5760085" cy="3239770"/>
                    </a:xfrm>
                    <a:prstGeom prst="rect">
                      <a:avLst/>
                    </a:prstGeom>
                  </pic:spPr>
                </pic:pic>
              </a:graphicData>
            </a:graphic>
          </wp:inline>
        </w:drawing>
      </w:r>
    </w:p>
    <w:p w14:paraId="00000171">
      <w:pPr>
        <w:spacing w:line="360" w:lineRule="auto"/>
        <w:jc w:val="both"/>
        <w:rPr>
          <w:b/>
          <w:iCs/>
          <w:sz w:val="24"/>
          <w:szCs w:val="24"/>
        </w:rPr>
      </w:pPr>
      <w:r>
        <w:rPr>
          <w:b/>
          <w:iCs/>
          <w:sz w:val="24"/>
          <w:szCs w:val="24"/>
        </w:rPr>
        <w:t xml:space="preserve">Slide 8 </w:t>
      </w:r>
    </w:p>
    <w:p w14:paraId="00000172">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696526" name="Graphic 1"/>
                    <pic:cNvPicPr/>
                  </pic:nvPicPr>
                  <pic:blipFill>
                    <a:blip r:embed="rId46"/>
                    <a:srcRect/>
                    <a:stretch>
                      <a:fillRect/>
                    </a:stretch>
                  </pic:blipFill>
                  <pic:spPr>
                    <a:xfrm>
                      <a:off x="0" y="0"/>
                      <a:ext cx="5760085" cy="3239770"/>
                    </a:xfrm>
                    <a:prstGeom prst="rect">
                      <a:avLst/>
                    </a:prstGeom>
                  </pic:spPr>
                </pic:pic>
              </a:graphicData>
            </a:graphic>
          </wp:inline>
        </w:drawing>
      </w:r>
    </w:p>
    <w:p w14:paraId="00000173">
      <w:pPr>
        <w:spacing w:after="200" w:line="276" w:lineRule="auto"/>
        <w:rPr>
          <w:b/>
          <w:iCs/>
          <w:sz w:val="24"/>
          <w:szCs w:val="24"/>
        </w:rPr>
      </w:pPr>
      <w:r>
        <w:rPr>
          <w:b/>
          <w:iCs/>
          <w:sz w:val="24"/>
          <w:szCs w:val="24"/>
        </w:rPr>
        <w:br w:type="page"/>
      </w:r>
    </w:p>
    <w:p w14:paraId="00000174">
      <w:pPr>
        <w:spacing w:line="360" w:lineRule="auto"/>
        <w:jc w:val="both"/>
        <w:rPr>
          <w:b/>
          <w:iCs/>
          <w:sz w:val="24"/>
          <w:szCs w:val="24"/>
        </w:rPr>
      </w:pPr>
      <w:r>
        <w:rPr>
          <w:b/>
          <w:iCs/>
          <w:sz w:val="24"/>
          <w:szCs w:val="24"/>
        </w:rPr>
        <w:t xml:space="preserve">Slide 9 </w:t>
      </w:r>
    </w:p>
    <w:p w14:paraId="00000175">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96478" name="Graphic 1"/>
                    <pic:cNvPicPr/>
                  </pic:nvPicPr>
                  <pic:blipFill>
                    <a:blip r:embed="rId47"/>
                    <a:srcRect/>
                    <a:stretch>
                      <a:fillRect/>
                    </a:stretch>
                  </pic:blipFill>
                  <pic:spPr>
                    <a:xfrm>
                      <a:off x="0" y="0"/>
                      <a:ext cx="5760085" cy="3239770"/>
                    </a:xfrm>
                    <a:prstGeom prst="rect">
                      <a:avLst/>
                    </a:prstGeom>
                  </pic:spPr>
                </pic:pic>
              </a:graphicData>
            </a:graphic>
          </wp:inline>
        </w:drawing>
      </w:r>
    </w:p>
    <w:p w14:paraId="00000176">
      <w:pPr>
        <w:spacing w:line="360" w:lineRule="auto"/>
        <w:jc w:val="both"/>
        <w:rPr>
          <w:b/>
          <w:iCs/>
          <w:sz w:val="24"/>
          <w:szCs w:val="24"/>
        </w:rPr>
      </w:pPr>
      <w:r>
        <w:rPr>
          <w:b/>
          <w:iCs/>
          <w:sz w:val="24"/>
          <w:szCs w:val="24"/>
        </w:rPr>
        <w:t>Slide 10</w:t>
      </w:r>
    </w:p>
    <w:p w14:paraId="00000177">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779819" name="Graphic 1"/>
                    <pic:cNvPicPr/>
                  </pic:nvPicPr>
                  <pic:blipFill>
                    <a:blip r:embed="rId48"/>
                    <a:srcRect/>
                    <a:stretch>
                      <a:fillRect/>
                    </a:stretch>
                  </pic:blipFill>
                  <pic:spPr>
                    <a:xfrm>
                      <a:off x="0" y="0"/>
                      <a:ext cx="5760085" cy="3239770"/>
                    </a:xfrm>
                    <a:prstGeom prst="rect">
                      <a:avLst/>
                    </a:prstGeom>
                  </pic:spPr>
                </pic:pic>
              </a:graphicData>
            </a:graphic>
          </wp:inline>
        </w:drawing>
      </w:r>
      <w:r>
        <w:rPr>
          <w:b/>
          <w:iCs/>
          <w:sz w:val="24"/>
          <w:szCs w:val="24"/>
        </w:rPr>
        <w:br w:type="textWrapping"/>
      </w:r>
    </w:p>
    <w:p w14:paraId="00000178">
      <w:pPr>
        <w:spacing w:after="200" w:line="276" w:lineRule="auto"/>
        <w:rPr>
          <w:b/>
          <w:iCs/>
          <w:sz w:val="24"/>
          <w:szCs w:val="24"/>
        </w:rPr>
      </w:pPr>
      <w:r>
        <w:rPr>
          <w:b/>
          <w:iCs/>
          <w:sz w:val="24"/>
          <w:szCs w:val="24"/>
        </w:rPr>
        <w:br w:type="page"/>
      </w:r>
    </w:p>
    <w:p w14:paraId="00000179">
      <w:pPr>
        <w:spacing w:line="360" w:lineRule="auto"/>
        <w:jc w:val="both"/>
        <w:rPr>
          <w:b/>
          <w:iCs/>
          <w:sz w:val="24"/>
          <w:szCs w:val="24"/>
        </w:rPr>
      </w:pPr>
      <w:r>
        <w:rPr>
          <w:b/>
          <w:iCs/>
          <w:sz w:val="24"/>
          <w:szCs w:val="24"/>
        </w:rPr>
        <w:t>Slide 11</w:t>
      </w:r>
    </w:p>
    <w:p w14:paraId="0000017A">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14614" name="Graphic 1"/>
                    <pic:cNvPicPr/>
                  </pic:nvPicPr>
                  <pic:blipFill>
                    <a:blip r:embed="rId49"/>
                    <a:srcRect/>
                    <a:stretch>
                      <a:fillRect/>
                    </a:stretch>
                  </pic:blipFill>
                  <pic:spPr>
                    <a:xfrm>
                      <a:off x="0" y="0"/>
                      <a:ext cx="5760085" cy="3239770"/>
                    </a:xfrm>
                    <a:prstGeom prst="rect">
                      <a:avLst/>
                    </a:prstGeom>
                  </pic:spPr>
                </pic:pic>
              </a:graphicData>
            </a:graphic>
          </wp:inline>
        </w:drawing>
      </w:r>
    </w:p>
    <w:p w14:paraId="0000017B">
      <w:pPr>
        <w:spacing w:line="360" w:lineRule="auto"/>
        <w:jc w:val="both"/>
        <w:rPr>
          <w:b/>
          <w:iCs/>
          <w:sz w:val="24"/>
          <w:szCs w:val="24"/>
        </w:rPr>
      </w:pPr>
      <w:r>
        <w:rPr>
          <w:b/>
          <w:iCs/>
          <w:sz w:val="24"/>
          <w:szCs w:val="24"/>
        </w:rPr>
        <w:t>Slide 12</w:t>
      </w:r>
    </w:p>
    <w:p w14:paraId="0000017C">
      <w:pPr>
        <w:spacing w:line="360" w:lineRule="auto"/>
        <w:jc w:val="both"/>
        <w:rPr>
          <w:b/>
          <w:iCs/>
          <w:sz w:val="24"/>
          <w:szCs w:val="24"/>
        </w:rPr>
      </w:pPr>
      <w:r>
        <w:rPr/>
        <w:drawing xmlns:mc="http://schemas.openxmlformats.org/markup-compatibility/2006">
          <wp:inline distT="0" distB="0" distL="0" distR="0">
            <wp:extent cx="5760085" cy="3239770"/>
            <wp:effectExtent l="0" t="0" r="0" b="0"/>
            <wp:docPr id="20094931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291898" name="Graphic 1"/>
                    <pic:cNvPicPr/>
                  </pic:nvPicPr>
                  <pic:blipFill>
                    <a:blip r:embed="rId50"/>
                    <a:srcRect/>
                    <a:stretch>
                      <a:fillRect/>
                    </a:stretch>
                  </pic:blipFill>
                  <pic:spPr>
                    <a:xfrm>
                      <a:off x="0" y="0"/>
                      <a:ext cx="5760085" cy="3239770"/>
                    </a:xfrm>
                    <a:prstGeom prst="rect">
                      <a:avLst/>
                    </a:prstGeom>
                  </pic:spPr>
                </pic:pic>
              </a:graphicData>
            </a:graphic>
          </wp:inline>
        </w:drawing>
      </w:r>
    </w:p>
    <w:p w14:paraId="0000017D">
      <w:pPr>
        <w:spacing w:line="360" w:lineRule="auto"/>
        <w:jc w:val="both"/>
        <w:rPr>
          <w:b/>
          <w:iCs/>
          <w:sz w:val="24"/>
          <w:szCs w:val="24"/>
        </w:rPr>
      </w:pPr>
    </w:p>
    <w:p w14:paraId="0000017E">
      <w:pPr>
        <w:spacing w:line="360" w:lineRule="auto"/>
        <w:jc w:val="both"/>
        <w:rPr>
          <w:b/>
          <w:iCs/>
          <w:sz w:val="24"/>
          <w:szCs w:val="24"/>
        </w:rPr>
      </w:pPr>
    </w:p>
    <w:p w14:paraId="0000017F">
      <w:pPr>
        <w:spacing w:line="360" w:lineRule="auto"/>
        <w:jc w:val="both"/>
        <w:rPr>
          <w:b/>
          <w:iCs/>
          <w:sz w:val="24"/>
          <w:szCs w:val="24"/>
        </w:rPr>
      </w:pPr>
    </w:p>
    <w:p w14:paraId="00000180">
      <w:pPr>
        <w:spacing w:line="360" w:lineRule="auto"/>
        <w:jc w:val="both"/>
        <w:rPr>
          <w:b/>
          <w:iCs/>
          <w:sz w:val="24"/>
          <w:szCs w:val="24"/>
        </w:rPr>
      </w:pPr>
      <w:r>
        <w:rPr>
          <w:b/>
          <w:iCs/>
          <w:sz w:val="24"/>
          <w:szCs w:val="24"/>
        </w:rPr>
        <w:br w:type="page"/>
      </w:r>
    </w:p>
    <w:p w14:paraId="00000181">
      <w:pPr>
        <w:spacing w:line="360" w:lineRule="auto"/>
        <w:jc w:val="both"/>
        <w:rPr>
          <w:b/>
          <w:iCs/>
          <w:sz w:val="28"/>
          <w:szCs w:val="22"/>
        </w:rPr>
      </w:pPr>
      <w:r>
        <w:rPr>
          <w:b/>
          <w:iCs/>
          <w:sz w:val="28"/>
          <w:szCs w:val="22"/>
        </w:rPr>
        <w:t>REFERENCE LIST:</w:t>
      </w:r>
    </w:p>
    <w:p w14:paraId="00000182">
      <w:pPr>
        <w:spacing w:after="240" w:line="360" w:lineRule="auto"/>
        <w:jc w:val="both"/>
        <w:rPr>
          <w:rFonts w:eastAsiaTheme="minorEastAsia"/>
          <w:sz w:val="24"/>
          <w:szCs w:val="24"/>
        </w:rPr>
      </w:pPr>
      <w:r>
        <w:rPr>
          <w:sz w:val="24"/>
          <w:szCs w:val="24"/>
        </w:rPr>
        <w:t xml:space="preserve">Adexa Direct (2024) </w:t>
      </w:r>
      <w:r>
        <w:rPr>
          <w:i/>
          <w:iCs/>
          <w:sz w:val="24"/>
          <w:szCs w:val="24"/>
        </w:rPr>
        <w:t>Adexa Direct</w:t>
      </w:r>
      <w:r>
        <w:rPr>
          <w:sz w:val="24"/>
          <w:szCs w:val="24"/>
        </w:rPr>
        <w:t>. [online] Adexa Direct. Available at: https://adexa.co.uk/ [Accessed 1 Jun. 2024].</w:t>
      </w:r>
    </w:p>
    <w:p w14:paraId="00000183">
      <w:pPr>
        <w:spacing w:after="240" w:line="360" w:lineRule="auto"/>
        <w:jc w:val="both"/>
        <w:rPr>
          <w:sz w:val="24"/>
          <w:szCs w:val="24"/>
        </w:rPr>
      </w:pPr>
      <w:r>
        <w:rPr>
          <w:sz w:val="24"/>
          <w:szCs w:val="24"/>
        </w:rPr>
        <w:t xml:space="preserve">Alae-Carew, C., Green, R., Stewart, C., Cook, B., Dangour, A.D. and Scheelbeek, P.F.D. (2021) The Role of plant-based Alternative Foods in Sustainable and Healthy Food systems: Consumption Trends in the UK. </w:t>
      </w:r>
      <w:r>
        <w:rPr>
          <w:i/>
          <w:iCs/>
          <w:sz w:val="24"/>
          <w:szCs w:val="24"/>
        </w:rPr>
        <w:t>Science of the Total Environment</w:t>
      </w:r>
      <w:r>
        <w:rPr>
          <w:sz w:val="24"/>
          <w:szCs w:val="24"/>
        </w:rPr>
        <w:t>, 807(3), p.151041. doi:https://doi.org/10.1016/j.scitotenv.2021.151041.</w:t>
      </w:r>
    </w:p>
    <w:p w14:paraId="00000184">
      <w:pPr>
        <w:spacing w:after="240" w:line="360" w:lineRule="auto"/>
        <w:jc w:val="both"/>
        <w:rPr>
          <w:sz w:val="24"/>
          <w:szCs w:val="24"/>
        </w:rPr>
      </w:pPr>
      <w:r>
        <w:rPr>
          <w:sz w:val="24"/>
          <w:szCs w:val="24"/>
        </w:rPr>
        <w:t xml:space="preserve">Barringer, B.R. and Ireland, R.D. (2018) </w:t>
      </w:r>
      <w:r>
        <w:rPr>
          <w:i/>
          <w:iCs/>
          <w:sz w:val="24"/>
          <w:szCs w:val="24"/>
        </w:rPr>
        <w:t>Entrepreneurship : Successfully Launching New Ventures</w:t>
      </w:r>
      <w:r>
        <w:rPr>
          <w:sz w:val="24"/>
          <w:szCs w:val="24"/>
        </w:rPr>
        <w:t>. New York, Ny: Pearson.</w:t>
      </w:r>
    </w:p>
    <w:p w14:paraId="00000185">
      <w:pPr>
        <w:spacing w:after="240" w:line="360" w:lineRule="auto"/>
        <w:jc w:val="both"/>
        <w:rPr>
          <w:sz w:val="24"/>
          <w:szCs w:val="24"/>
        </w:rPr>
      </w:pPr>
      <w:r>
        <w:rPr>
          <w:sz w:val="24"/>
          <w:szCs w:val="24"/>
        </w:rPr>
        <w:t xml:space="preserve">BBC (2023) The Deep Rooted Problem Holding Back the UK Economy. </w:t>
      </w:r>
      <w:r>
        <w:rPr>
          <w:i/>
          <w:iCs/>
          <w:sz w:val="24"/>
          <w:szCs w:val="24"/>
        </w:rPr>
        <w:t>www.bbc.com</w:t>
      </w:r>
      <w:r>
        <w:rPr>
          <w:sz w:val="24"/>
          <w:szCs w:val="24"/>
        </w:rPr>
        <w:t>. [online] 27 Sep. Available at: https://www.google.com/amp/s/www.bbc.com/news/business-66937239.amp [Accessed 1 Jun. 2024].</w:t>
      </w:r>
    </w:p>
    <w:p w14:paraId="00000186">
      <w:pPr>
        <w:spacing w:after="240" w:line="360" w:lineRule="auto"/>
        <w:jc w:val="both"/>
        <w:rPr>
          <w:sz w:val="24"/>
          <w:szCs w:val="24"/>
        </w:rPr>
      </w:pPr>
      <w:r>
        <w:rPr>
          <w:sz w:val="24"/>
          <w:szCs w:val="24"/>
        </w:rPr>
        <w:t xml:space="preserve">Burns, P. (2016) </w:t>
      </w:r>
      <w:r>
        <w:rPr>
          <w:i/>
          <w:iCs/>
          <w:sz w:val="24"/>
          <w:szCs w:val="24"/>
        </w:rPr>
        <w:t>Entrepreneurship and Small Business : start-up, Growth and Maturity</w:t>
      </w:r>
      <w:r>
        <w:rPr>
          <w:sz w:val="24"/>
          <w:szCs w:val="24"/>
        </w:rPr>
        <w:t>. 5th ed. Basingstoke (Gb): Palgrave Macmillan Education, Cop.</w:t>
      </w:r>
    </w:p>
    <w:p w14:paraId="00000187">
      <w:pPr>
        <w:spacing w:after="240" w:line="360" w:lineRule="auto"/>
        <w:jc w:val="both"/>
        <w:rPr>
          <w:sz w:val="24"/>
          <w:szCs w:val="24"/>
        </w:rPr>
      </w:pPr>
      <w:r>
        <w:rPr>
          <w:sz w:val="24"/>
          <w:szCs w:val="24"/>
        </w:rPr>
        <w:t xml:space="preserve">Cargoseafood (2024) </w:t>
      </w:r>
      <w:r>
        <w:rPr>
          <w:i/>
          <w:iCs/>
          <w:sz w:val="24"/>
          <w:szCs w:val="24"/>
        </w:rPr>
        <w:t>Home | Cargo Seafood Restaurant Liverpool England</w:t>
      </w:r>
      <w:r>
        <w:rPr>
          <w:sz w:val="24"/>
          <w:szCs w:val="24"/>
        </w:rPr>
        <w:t>. [online] Cargo Seafood. Available at: https://www.cargoseafoodrestaurant.co.uk/ [Accessed 1 Jun. 2024].</w:t>
      </w:r>
    </w:p>
    <w:p w14:paraId="00000188">
      <w:pPr>
        <w:spacing w:after="240" w:line="360" w:lineRule="auto"/>
        <w:jc w:val="both"/>
        <w:rPr>
          <w:sz w:val="24"/>
          <w:szCs w:val="24"/>
        </w:rPr>
      </w:pPr>
      <w:r>
        <w:rPr>
          <w:sz w:val="24"/>
          <w:szCs w:val="24"/>
        </w:rPr>
        <w:t xml:space="preserve">Catering Appliance (2024) </w:t>
      </w:r>
      <w:r>
        <w:rPr>
          <w:i/>
          <w:iCs/>
          <w:sz w:val="24"/>
          <w:szCs w:val="24"/>
        </w:rPr>
        <w:t>Commercial Catering Equipment UK</w:t>
      </w:r>
      <w:r>
        <w:rPr>
          <w:sz w:val="24"/>
          <w:szCs w:val="24"/>
        </w:rPr>
        <w:t>. [online] Catering Appliance Superstore. Available at: https://www.catering-appliance.com/ [Accessed 1 Jun. 2024].</w:t>
      </w:r>
    </w:p>
    <w:p w14:paraId="00000189">
      <w:pPr>
        <w:spacing w:after="240" w:line="360" w:lineRule="auto"/>
        <w:jc w:val="both"/>
        <w:rPr>
          <w:sz w:val="24"/>
          <w:szCs w:val="24"/>
        </w:rPr>
      </w:pPr>
      <w:r>
        <w:rPr>
          <w:sz w:val="24"/>
          <w:szCs w:val="24"/>
        </w:rPr>
        <w:t xml:space="preserve">Chaffey, D. and Ellis-Chadwick, F. (2019) </w:t>
      </w:r>
      <w:r>
        <w:rPr>
          <w:i/>
          <w:iCs/>
          <w:sz w:val="24"/>
          <w:szCs w:val="24"/>
        </w:rPr>
        <w:t>Digital Marketing: Strategy, Implementation and Practice</w:t>
      </w:r>
      <w:r>
        <w:rPr>
          <w:sz w:val="24"/>
          <w:szCs w:val="24"/>
        </w:rPr>
        <w:t>. 8th ed. Harlow, England: Pearson.</w:t>
      </w:r>
    </w:p>
    <w:p w14:paraId="0000018A">
      <w:pPr>
        <w:spacing w:after="240" w:line="360" w:lineRule="auto"/>
        <w:jc w:val="both"/>
        <w:rPr>
          <w:sz w:val="24"/>
          <w:szCs w:val="24"/>
        </w:rPr>
      </w:pPr>
      <w:r>
        <w:rPr>
          <w:sz w:val="24"/>
          <w:szCs w:val="24"/>
        </w:rPr>
        <w:t xml:space="preserve">Chefswarehouse (2022) </w:t>
      </w:r>
      <w:r>
        <w:rPr>
          <w:i/>
          <w:iCs/>
          <w:sz w:val="24"/>
          <w:szCs w:val="24"/>
        </w:rPr>
        <w:t xml:space="preserve">Chefswarehouse </w:t>
      </w:r>
      <w:r>
        <w:rPr>
          <w:sz w:val="24"/>
          <w:szCs w:val="24"/>
        </w:rPr>
        <w:t>. [online] Chefswarehouse.com. Available at: https://www.chefswarehouse.com/ [Accessed 1 Jun. 2024].</w:t>
      </w:r>
    </w:p>
    <w:p w14:paraId="0000018B">
      <w:pPr>
        <w:spacing w:after="240" w:line="360" w:lineRule="auto"/>
        <w:jc w:val="both"/>
        <w:rPr>
          <w:sz w:val="24"/>
          <w:szCs w:val="24"/>
        </w:rPr>
      </w:pPr>
      <w:r>
        <w:rPr>
          <w:sz w:val="24"/>
          <w:szCs w:val="24"/>
        </w:rPr>
        <w:t xml:space="preserve">Choi, J.H. and Rajagopal, L. (2013) Food Allergy knowledge, attitudes, practices, and Training of Foodservice Workers at a University Foodservice Operation in the Midwestern United States. </w:t>
      </w:r>
      <w:r>
        <w:rPr>
          <w:i/>
          <w:iCs/>
          <w:sz w:val="24"/>
          <w:szCs w:val="24"/>
        </w:rPr>
        <w:t>Food Control</w:t>
      </w:r>
      <w:r>
        <w:rPr>
          <w:sz w:val="24"/>
          <w:szCs w:val="24"/>
        </w:rPr>
        <w:t>, 31(2), pp.474–481. doi:https://doi.org/10.1016/j.foodcont.2012.10.023.</w:t>
      </w:r>
    </w:p>
    <w:p w14:paraId="0000018C">
      <w:pPr>
        <w:spacing w:after="240" w:line="360" w:lineRule="auto"/>
        <w:jc w:val="both"/>
        <w:rPr>
          <w:sz w:val="24"/>
          <w:szCs w:val="24"/>
        </w:rPr>
      </w:pPr>
      <w:r>
        <w:rPr>
          <w:sz w:val="24"/>
          <w:szCs w:val="24"/>
        </w:rPr>
        <w:t xml:space="preserve">Ciapponi, D. (2023) </w:t>
      </w:r>
      <w:r>
        <w:rPr>
          <w:i/>
          <w:iCs/>
          <w:sz w:val="24"/>
          <w:szCs w:val="24"/>
        </w:rPr>
        <w:t>The Skills Gap in the Hospitality Industry</w:t>
      </w:r>
      <w:r>
        <w:rPr>
          <w:sz w:val="24"/>
          <w:szCs w:val="24"/>
        </w:rPr>
        <w:t>. [online] hospitalityinsights.ehl.edu. Available at: https://hospitalityinsights.ehl.edu/skills-gap-hospitality-industry [Accessed 1 Jun. 2024].</w:t>
      </w:r>
    </w:p>
    <w:p w14:paraId="0000018D">
      <w:pPr>
        <w:spacing w:after="240" w:line="360" w:lineRule="auto"/>
        <w:jc w:val="both"/>
        <w:rPr>
          <w:sz w:val="24"/>
          <w:szCs w:val="24"/>
        </w:rPr>
      </w:pPr>
      <w:r>
        <w:rPr>
          <w:sz w:val="24"/>
          <w:szCs w:val="24"/>
        </w:rPr>
        <w:t xml:space="preserve">Cogneesol (2024) </w:t>
      </w:r>
      <w:r>
        <w:rPr>
          <w:i/>
          <w:iCs/>
          <w:sz w:val="24"/>
          <w:szCs w:val="24"/>
        </w:rPr>
        <w:t>Digital Transformation &amp; Business Process Management Services</w:t>
      </w:r>
      <w:r>
        <w:rPr>
          <w:sz w:val="24"/>
          <w:szCs w:val="24"/>
        </w:rPr>
        <w:t>. [online] www.cogneesol.com. Available at: https://www.cogneesol.com/ [Accessed 1 Jun. 2024].</w:t>
      </w:r>
    </w:p>
    <w:p w14:paraId="0000018E">
      <w:pPr>
        <w:spacing w:after="240" w:line="360" w:lineRule="auto"/>
        <w:jc w:val="both"/>
        <w:rPr>
          <w:sz w:val="24"/>
          <w:szCs w:val="24"/>
        </w:rPr>
      </w:pPr>
      <w:r>
        <w:rPr>
          <w:sz w:val="24"/>
          <w:szCs w:val="24"/>
        </w:rPr>
        <w:t xml:space="preserve">DrumandMonkey (2024) </w:t>
      </w:r>
      <w:r>
        <w:rPr>
          <w:i/>
          <w:iCs/>
          <w:sz w:val="24"/>
          <w:szCs w:val="24"/>
        </w:rPr>
        <w:t>The Drum and Monkey - Seafood Restaurant in Harrogate, North Yorkshire</w:t>
      </w:r>
      <w:r>
        <w:rPr>
          <w:sz w:val="24"/>
          <w:szCs w:val="24"/>
        </w:rPr>
        <w:t>. [online] The Drum and Monkey. Available at: https://drumandmonkey.co.uk/ [Accessed 1 Jun. 2024].</w:t>
      </w:r>
    </w:p>
    <w:p w14:paraId="0000018F">
      <w:pPr>
        <w:spacing w:after="240" w:line="360" w:lineRule="auto"/>
        <w:jc w:val="both"/>
        <w:rPr>
          <w:sz w:val="24"/>
          <w:szCs w:val="24"/>
        </w:rPr>
      </w:pPr>
      <w:r>
        <w:rPr>
          <w:sz w:val="24"/>
          <w:szCs w:val="24"/>
        </w:rPr>
        <w:t xml:space="preserve">Gazdecki, M., Goryńska-Goldmann, E., Kiss, M. and Szakály, Z. (2021) Segmentation of Food Consumers Based on Their Sustainable Attitude. </w:t>
      </w:r>
      <w:r>
        <w:rPr>
          <w:i/>
          <w:iCs/>
          <w:sz w:val="24"/>
          <w:szCs w:val="24"/>
        </w:rPr>
        <w:t>Energies</w:t>
      </w:r>
      <w:r>
        <w:rPr>
          <w:sz w:val="24"/>
          <w:szCs w:val="24"/>
        </w:rPr>
        <w:t>, [online] 14(11), p.3179. doi:https://doi.org/10.3390/en14113179.</w:t>
      </w:r>
    </w:p>
    <w:p w14:paraId="00000190">
      <w:pPr>
        <w:spacing w:after="240" w:line="360" w:lineRule="auto"/>
        <w:jc w:val="both"/>
        <w:rPr>
          <w:sz w:val="24"/>
          <w:szCs w:val="24"/>
        </w:rPr>
      </w:pPr>
      <w:r>
        <w:rPr>
          <w:sz w:val="24"/>
          <w:szCs w:val="24"/>
        </w:rPr>
        <w:t xml:space="preserve">Gurel, E. (2017) SWOT analysis: a Theoretical Review. </w:t>
      </w:r>
      <w:r>
        <w:rPr>
          <w:i/>
          <w:iCs/>
          <w:sz w:val="24"/>
          <w:szCs w:val="24"/>
        </w:rPr>
        <w:t>Journal of International Social Research</w:t>
      </w:r>
      <w:r>
        <w:rPr>
          <w:sz w:val="24"/>
          <w:szCs w:val="24"/>
        </w:rPr>
        <w:t>, [online] 10(51), pp.994–1006. doi:http://dx.doi.org/10.17719/jisr.2017.1832.</w:t>
      </w:r>
    </w:p>
    <w:p w14:paraId="00000191">
      <w:pPr>
        <w:spacing w:after="240" w:line="360" w:lineRule="auto"/>
        <w:jc w:val="both"/>
        <w:rPr>
          <w:sz w:val="24"/>
          <w:szCs w:val="24"/>
        </w:rPr>
      </w:pPr>
      <w:r>
        <w:rPr>
          <w:sz w:val="24"/>
          <w:szCs w:val="24"/>
        </w:rPr>
        <w:t xml:space="preserve">Menzies (2024) </w:t>
      </w:r>
      <w:r>
        <w:rPr>
          <w:i/>
          <w:iCs/>
          <w:sz w:val="24"/>
          <w:szCs w:val="24"/>
        </w:rPr>
        <w:t>Home - Menzies Distribution</w:t>
      </w:r>
      <w:r>
        <w:rPr>
          <w:sz w:val="24"/>
          <w:szCs w:val="24"/>
        </w:rPr>
        <w:t>. [online] Menzies Distribution. Available at: https://www.menziesdistribution.com/ [Accessed 1 Jun. 2024].</w:t>
      </w:r>
    </w:p>
    <w:p w14:paraId="00000192">
      <w:pPr>
        <w:spacing w:after="240" w:line="360" w:lineRule="auto"/>
        <w:jc w:val="both"/>
        <w:rPr>
          <w:sz w:val="24"/>
          <w:szCs w:val="24"/>
        </w:rPr>
      </w:pPr>
      <w:r>
        <w:rPr>
          <w:sz w:val="24"/>
          <w:szCs w:val="24"/>
        </w:rPr>
        <w:t xml:space="preserve">Restaurantonline.co.uk (2022) </w:t>
      </w:r>
      <w:r>
        <w:rPr>
          <w:i/>
          <w:iCs/>
          <w:sz w:val="24"/>
          <w:szCs w:val="24"/>
        </w:rPr>
        <w:t>Opportunities Exist for Restaurant Sector despite Bumpy Road ahead, Says Report</w:t>
      </w:r>
      <w:r>
        <w:rPr>
          <w:sz w:val="24"/>
          <w:szCs w:val="24"/>
        </w:rPr>
        <w:t>. [online] restaurantonline.co.uk. Available at: https://www.restaurantonline.co.uk/Article/2022/01/20/Opportunities-exist-for-restaurant-sector-despite-bumpy-road-ahead-says-Christie-Co-s-annual-Business-Outlook-Report [Accessed 1 Jun. 2024].</w:t>
      </w:r>
    </w:p>
    <w:p w14:paraId="00000193">
      <w:pPr>
        <w:spacing w:after="240" w:line="360" w:lineRule="auto"/>
        <w:jc w:val="both"/>
        <w:rPr>
          <w:sz w:val="24"/>
          <w:szCs w:val="24"/>
        </w:rPr>
      </w:pPr>
      <w:r>
        <w:rPr>
          <w:sz w:val="24"/>
          <w:szCs w:val="24"/>
        </w:rPr>
        <w:t xml:space="preserve">RSE (2023) </w:t>
      </w:r>
      <w:r>
        <w:rPr>
          <w:i/>
          <w:iCs/>
          <w:sz w:val="24"/>
          <w:szCs w:val="24"/>
        </w:rPr>
        <w:t>How Brexit Disrupted UK Trade with the EU</w:t>
      </w:r>
      <w:r>
        <w:rPr>
          <w:sz w:val="24"/>
          <w:szCs w:val="24"/>
        </w:rPr>
        <w:t>. [online] Royal Society of Edinburgh. Available at: https://rse.org.uk/resources/resource/blog/how-brexit-disrupted-uk-trade-with-the-eu/#:~:text=The%20post%2DTCA%20period%20shows [Accessed 1 Jun. 2024].</w:t>
      </w:r>
    </w:p>
    <w:p w14:paraId="00000194">
      <w:pPr>
        <w:spacing w:after="240" w:line="360" w:lineRule="auto"/>
        <w:jc w:val="both"/>
        <w:rPr>
          <w:sz w:val="24"/>
          <w:szCs w:val="24"/>
        </w:rPr>
      </w:pPr>
      <w:r>
        <w:rPr>
          <w:sz w:val="24"/>
          <w:szCs w:val="24"/>
        </w:rPr>
        <w:t xml:space="preserve">Sam (2022) </w:t>
      </w:r>
      <w:r>
        <w:rPr>
          <w:i/>
          <w:iCs/>
          <w:sz w:val="24"/>
          <w:szCs w:val="24"/>
        </w:rPr>
        <w:t>How Much Does It Cost to Open a Restaurant in the UK? – Calculator</w:t>
      </w:r>
      <w:r>
        <w:rPr>
          <w:sz w:val="24"/>
          <w:szCs w:val="24"/>
        </w:rPr>
        <w:t>. [online] Calculator.co.uk. Available at: https://www.calculator.co.uk/2022/03/how-much-does-it-cost-to-open-a-restaurant-in-the-uk/ [Accessed 1 Jun. 2024].</w:t>
      </w:r>
    </w:p>
    <w:p w14:paraId="00000195">
      <w:pPr>
        <w:spacing w:after="240" w:line="360" w:lineRule="auto"/>
        <w:jc w:val="both"/>
        <w:rPr>
          <w:sz w:val="24"/>
          <w:szCs w:val="24"/>
        </w:rPr>
      </w:pPr>
      <w:r>
        <w:rPr>
          <w:sz w:val="24"/>
          <w:szCs w:val="24"/>
        </w:rPr>
        <w:t xml:space="preserve">Seafish (2023) </w:t>
      </w:r>
      <w:r>
        <w:rPr>
          <w:i/>
          <w:iCs/>
          <w:sz w:val="24"/>
          <w:szCs w:val="24"/>
        </w:rPr>
        <w:t>Latest Quarterly UK Seafood Trade Data</w:t>
      </w:r>
      <w:r>
        <w:rPr>
          <w:sz w:val="24"/>
          <w:szCs w:val="24"/>
        </w:rPr>
        <w:t>. [online] Seafish. Available at: https://www.seafish.org/insight-and-research/seafood-trade-data/latest-quarterly-uk-seafood-trade-data/ [Accessed 1 Jun. 2024].</w:t>
      </w:r>
    </w:p>
    <w:p w14:paraId="00000196">
      <w:pPr>
        <w:spacing w:after="240" w:line="360" w:lineRule="auto"/>
        <w:jc w:val="both"/>
        <w:rPr>
          <w:sz w:val="24"/>
          <w:szCs w:val="24"/>
        </w:rPr>
      </w:pPr>
      <w:r>
        <w:rPr>
          <w:sz w:val="24"/>
          <w:szCs w:val="24"/>
        </w:rPr>
        <w:t xml:space="preserve">Seafish (2024) </w:t>
      </w:r>
      <w:r>
        <w:rPr>
          <w:i/>
          <w:iCs/>
          <w:sz w:val="24"/>
          <w:szCs w:val="24"/>
        </w:rPr>
        <w:t>Seafood Trade Data</w:t>
      </w:r>
      <w:r>
        <w:rPr>
          <w:sz w:val="24"/>
          <w:szCs w:val="24"/>
        </w:rPr>
        <w:t>. [online] Seafish. Available at: https://www.seafish.org/insight-and-research/seafood-trade-data/ [Accessed 1 Jun. 2024].</w:t>
      </w:r>
    </w:p>
    <w:p w14:paraId="00000197">
      <w:pPr>
        <w:spacing w:after="240" w:line="360" w:lineRule="auto"/>
        <w:jc w:val="both"/>
        <w:rPr>
          <w:sz w:val="24"/>
          <w:szCs w:val="24"/>
        </w:rPr>
      </w:pPr>
      <w:r>
        <w:rPr>
          <w:sz w:val="24"/>
          <w:szCs w:val="24"/>
        </w:rPr>
        <w:t xml:space="preserve">Spagolytham (2024) </w:t>
      </w:r>
      <w:r>
        <w:rPr>
          <w:i/>
          <w:iCs/>
          <w:sz w:val="24"/>
          <w:szCs w:val="24"/>
        </w:rPr>
        <w:t>Spagó Lytham – Mediterranean and Seafood Restaurant in Lytham, Lancashire. Serving a Wide Selection of Freshly Prepared seafood, pasta, pizzas, Salads and steaks.</w:t>
      </w:r>
      <w:r>
        <w:rPr>
          <w:sz w:val="24"/>
          <w:szCs w:val="24"/>
        </w:rPr>
        <w:t xml:space="preserve"> [online] Spagó Mediterranean &amp; Seafood Restaurant . Available at: https://spagolytham.uk/ [Accessed 1 Jun. 2024].</w:t>
      </w:r>
    </w:p>
    <w:p w14:paraId="00000198">
      <w:pPr>
        <w:spacing w:after="240" w:line="360" w:lineRule="auto"/>
        <w:jc w:val="both"/>
        <w:rPr>
          <w:sz w:val="24"/>
          <w:szCs w:val="24"/>
        </w:rPr>
      </w:pPr>
      <w:r>
        <w:rPr>
          <w:sz w:val="24"/>
          <w:szCs w:val="24"/>
        </w:rPr>
        <w:t xml:space="preserve">Statista (2024) </w:t>
      </w:r>
      <w:r>
        <w:rPr>
          <w:i/>
          <w:iCs/>
          <w:sz w:val="24"/>
          <w:szCs w:val="24"/>
        </w:rPr>
        <w:t>Topic: Fish and Seafood in the UK</w:t>
      </w:r>
      <w:r>
        <w:rPr>
          <w:sz w:val="24"/>
          <w:szCs w:val="24"/>
        </w:rPr>
        <w:t>. [online] Statista. Available at: https://www.statista.com/topics/7948/fish-and-seafood-in-the-uk/#topicOverview [Accessed 1 Jun. 2024].</w:t>
      </w:r>
    </w:p>
    <w:p w14:paraId="00000199">
      <w:pPr>
        <w:spacing w:after="240" w:line="360" w:lineRule="auto"/>
        <w:jc w:val="both"/>
        <w:rPr>
          <w:sz w:val="24"/>
          <w:szCs w:val="24"/>
        </w:rPr>
      </w:pPr>
      <w:r>
        <w:rPr>
          <w:sz w:val="24"/>
          <w:szCs w:val="24"/>
        </w:rPr>
        <w:t xml:space="preserve">Torrington, D. and Hall, L. (2020) </w:t>
      </w:r>
      <w:r>
        <w:rPr>
          <w:i/>
          <w:iCs/>
          <w:sz w:val="24"/>
          <w:szCs w:val="24"/>
        </w:rPr>
        <w:t>Human Resource Management</w:t>
      </w:r>
      <w:r>
        <w:rPr>
          <w:sz w:val="24"/>
          <w:szCs w:val="24"/>
        </w:rPr>
        <w:t>. 11th ed. Harlow, U.K.: Pearson Education Limited.</w:t>
      </w:r>
    </w:p>
    <w:p w14:paraId="0000019A">
      <w:pPr>
        <w:spacing w:after="240" w:line="360" w:lineRule="auto"/>
        <w:jc w:val="both"/>
        <w:rPr>
          <w:sz w:val="24"/>
          <w:szCs w:val="24"/>
        </w:rPr>
      </w:pPr>
      <w:r>
        <w:rPr>
          <w:sz w:val="24"/>
          <w:szCs w:val="24"/>
        </w:rPr>
        <w:t xml:space="preserve">Williams, S. (2021) </w:t>
      </w:r>
      <w:r>
        <w:rPr>
          <w:i/>
          <w:iCs/>
          <w:sz w:val="24"/>
          <w:szCs w:val="24"/>
        </w:rPr>
        <w:t>The Financial Times Guide to Business Start up 2021/2023 : the Most Comprehensive Guide for Entrepreneurs</w:t>
      </w:r>
      <w:r>
        <w:rPr>
          <w:sz w:val="24"/>
          <w:szCs w:val="24"/>
        </w:rPr>
        <w:t>. Harlow, England ; London ; New York: Pearson.</w:t>
      </w:r>
    </w:p>
    <w:p w14:paraId="0000019B">
      <w:pPr>
        <w:spacing w:after="240" w:line="360" w:lineRule="auto"/>
        <w:jc w:val="both"/>
        <w:rPr>
          <w:sz w:val="24"/>
          <w:szCs w:val="24"/>
        </w:rPr>
      </w:pPr>
      <w:r>
        <w:rPr>
          <w:sz w:val="24"/>
          <w:szCs w:val="24"/>
        </w:rPr>
        <w:t xml:space="preserve">Yuan, C.L., Kim, J. and Kim, S.J. (2016) Parasocial Relationship Effects on Customer Equity in the Social Media Context. </w:t>
      </w:r>
      <w:r>
        <w:rPr>
          <w:i/>
          <w:iCs/>
          <w:sz w:val="24"/>
          <w:szCs w:val="24"/>
        </w:rPr>
        <w:t>Journal of Business Research</w:t>
      </w:r>
      <w:r>
        <w:rPr>
          <w:sz w:val="24"/>
          <w:szCs w:val="24"/>
        </w:rPr>
        <w:t>, 69(9), pp.3795–3803.</w:t>
      </w:r>
    </w:p>
    <w:sectPr>
      <w:footerReference w:type="default" r:id="rId51"/>
      <w:footerReference w:type="first" r:id="rId52"/>
      <w:footerReference w:type="even" r:id="rId53"/>
      <w:type w:val="continuous"/>
      <w:pgSz w:w="11907" w:h="16840"/>
      <w:pgMar w:top="1418" w:right="1418" w:bottom="1418" w:left="1418"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r>
        <w:rPr/>
        <w:separator/>
      </w:r>
    </w:p>
  </w:endnote>
  <w:endnote w:type="continuationSeparator" w:id="1">
    <w:p w14:paraId="00000004">
      <w:r>
        <w:rP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00000000" w:usb1="00000000" w:usb2="00000009" w:usb3="00000000" w:csb0="000001ff" w:csb1="00000000"/>
  </w:font>
  <w:font w:name="Times New Roman">
    <w:panose1 w:val="02020603050405020304"/>
    <w:charset w:val="00"/>
    <w:family w:val="roman"/>
    <w:pitch w:val="variable"/>
    <w:sig w:usb0="00000000" w:usb1="00000000" w:usb2="00000009" w:usb3="00000000" w:csb0="000001ff" w:csb1="00000000"/>
  </w:font>
  <w:font w:name="Courier New">
    <w:panose1 w:val="02070309020205020404"/>
    <w:charset w:val="00"/>
    <w:family w:val="modern"/>
    <w:pitch w:val="fixed"/>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Symbol">
    <w:panose1 w:val="05050102010706020507"/>
    <w:charset w:val="02"/>
    <w:family w:val="roman"/>
    <w:pitch w:val="variable"/>
    <w:sig w:usb0="00000000" w:usb1="10000000" w:usb2="00000000" w:usb3="00000000" w:csb0="0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9C">
    <w:pPr>
      <w:pStyle w:val="Footer"/>
      <w:tabs>
        <w:tab w:val="clear" w:pos="4153"/>
        <w:tab w:val="clear" w:pos="8306"/>
        <w:tab w:val="center" w:pos="4820"/>
        <w:tab w:val="right" w:pos="8931"/>
      </w:tabs>
      <w:ind w:right="-143"/>
      <w:rPr>
        <w:color w:val="808080"/>
      </w:rPr>
    </w:pPr>
    <w:r>
      <w:rPr>
        <w:color w:val="808080"/>
      </w:rPr>
      <w:t>---------------------------------------------------------------------------------------------------------------------------------------</w:t>
    </w:r>
  </w:p>
  <w:p w14:paraId="0000019D">
    <w:pPr>
      <w:pStyle w:val="Footer"/>
      <w:tabs>
        <w:tab w:val="clear" w:pos="4153"/>
        <w:tab w:val="clear" w:pos="8306"/>
        <w:tab w:val="center" w:pos="4820"/>
        <w:tab w:val="right" w:pos="8931"/>
      </w:tabs>
      <w:ind w:right="360"/>
      <w:rPr>
        <w:rFonts w:ascii="Arial" w:cs="Arial" w:hAnsi="Arial"/>
        <w:color w:val="808080"/>
      </w:rPr>
    </w:pPr>
    <w:r>
      <w:rPr>
        <w:rFonts w:ascii="Arial" w:cs="Arial" w:hAnsi="Arial"/>
        <w:color w:val="808080"/>
      </w:rPr>
      <w:tab/>
    </w:r>
    <w:r>
      <w:rPr>
        <w:rFonts w:ascii="Arial" w:cs="Arial" w:hAnsi="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Pr>
        <w:rStyle w:val="Pagenumber"/>
        <w:color w:val="808080"/>
      </w:rPr>
      <w:t>20</w:t>
    </w:r>
    <w:r>
      <w:rPr>
        <w:rFonts w:ascii="Arial" w:cs="Arial" w:hAnsi="Arial"/>
        <w:color w:val="808080"/>
      </w:rPr>
      <w:fldChar w:fldCharType="end"/>
    </w:r>
    <w:r>
      <w:rPr>
        <w:rFonts w:ascii="Arial" w:cs="Arial" w:hAnsi="Arial"/>
        <w:color w:val="80808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9E">
    <w:pPr>
      <w:pStyle w:val="Footer"/>
      <w:tabs>
        <w:tab w:val="clear" w:pos="4153"/>
        <w:tab w:val="clear" w:pos="8306"/>
        <w:tab w:val="center" w:pos="4820"/>
        <w:tab w:val="right" w:pos="8931"/>
      </w:tabs>
      <w:ind w:right="-143"/>
      <w:rPr>
        <w:color w:val="808080"/>
      </w:rPr>
    </w:pPr>
    <w:r>
      <w:rPr>
        <w:color w:val="808080"/>
      </w:rPr>
      <w:t>---------------------------------------------------------------------------------------------------------------------------------------</w:t>
    </w:r>
  </w:p>
  <w:p w14:paraId="0000019F">
    <w:pPr>
      <w:pStyle w:val="Footer"/>
      <w:tabs>
        <w:tab w:val="clear" w:pos="4153"/>
        <w:tab w:val="clear" w:pos="8306"/>
        <w:tab w:val="center" w:pos="4820"/>
        <w:tab w:val="right" w:pos="8931"/>
      </w:tabs>
      <w:ind w:right="360"/>
      <w:rPr>
        <w:rFonts w:ascii="Arial" w:cs="Arial" w:hAnsi="Arial"/>
        <w:color w:val="808080"/>
      </w:rPr>
    </w:pPr>
    <w:r>
      <w:rPr>
        <w:rFonts w:ascii="Arial" w:cs="Arial" w:hAnsi="Arial"/>
        <w:color w:val="808080"/>
      </w:rPr>
      <w:tab/>
    </w:r>
    <w:r>
      <w:rPr>
        <w:rFonts w:ascii="Arial" w:cs="Arial" w:hAnsi="Arial"/>
        <w:color w:val="808080"/>
      </w:rPr>
      <w:tab/>
      <w:t xml:space="preserve">Page </w:t>
    </w:r>
    <w:r>
      <w:rPr>
        <w:rStyle w:val="Pagenumber"/>
        <w:color w:val="808080"/>
      </w:rPr>
      <w:fldChar w:fldCharType="begin"/>
    </w:r>
    <w:r>
      <w:rPr>
        <w:rStyle w:val="Pagenumber"/>
        <w:color w:val="808080"/>
      </w:rPr>
      <w:instrText xml:space="preserve"> PAGE </w:instrText>
    </w:r>
    <w:r>
      <w:rPr>
        <w:rStyle w:val="Pagenumber"/>
        <w:color w:val="808080"/>
      </w:rPr>
      <w:fldChar w:fldCharType="separate"/>
    </w:r>
    <w:r>
      <w:rPr>
        <w:rStyle w:val="Pagenumber"/>
        <w:color w:val="808080"/>
      </w:rPr>
      <w:t>0</w:t>
    </w:r>
    <w:r>
      <w:rPr>
        <w:rFonts w:ascii="Arial" w:cs="Arial" w:hAnsi="Arial"/>
        <w:color w:val="808080"/>
      </w:rPr>
      <w:fldChar w:fldCharType="end"/>
    </w:r>
    <w:r>
      <w:rPr>
        <w:rFonts w:ascii="Arial" w:cs="Arial" w:hAnsi="Arial"/>
        <w:color w:val="808080"/>
      </w:rPr>
      <w:t xml:space="preserve"> </w:t>
    </w:r>
  </w:p>
  <w:p w14:paraId="000001A0">
    <w:pPr>
      <w:pStyle w:val="Foot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1A1">
    <w:pPr>
      <w:pStyle w:val="Footer"/>
      <w:framePr w:hAnchor="margin" w:vAnchor="text" w:wrap="around"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14:paraId="000001A2">
    <w:pPr>
      <w:pStyle w:val="Footer"/>
      <w:ind w:right="36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r>
        <w:rPr/>
        <w:separator/>
      </w:r>
    </w:p>
  </w:footnote>
  <w:footnote w:type="continuationSeparator" w:id="1">
    <w:p w14:paraId="00000002">
      <w:r>
        <w:rPr/>
        <w:continuationSeparato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hybridMultilevel"/>
    <w:lvl w:ilvl="0" w:tentative="0">
      <w:start w:val="4"/>
      <w:numFmt w:val="bullet"/>
      <w:lvlText w:val="-"/>
      <w:lvlJc w:val="left"/>
      <w:pPr>
        <w:ind w:left="720" w:hanging="360"/>
      </w:pPr>
      <w:rPr>
        <w:rFonts w:ascii="Arial" w:cs="Arial" w:eastAsia="Times New Roman" w:hAnsi="Aria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
    <w:multiLevelType w:val="multilevel"/>
    <w:lvl w:ilvl="0" w:tentative="0">
      <w:start w:val="3"/>
      <w:numFmt w:val="decimal"/>
      <w:lvlText w:val="%1"/>
      <w:lvlJc w:val="left"/>
      <w:pPr>
        <w:ind w:left="405" w:hanging="405"/>
      </w:pPr>
      <w:rPr>
        <w:rFonts w:hint="default"/>
      </w:rPr>
    </w:lvl>
    <w:lvl w:ilvl="1" w:tentative="0">
      <w:start w:val="1"/>
      <w:numFmt w:val="decimal"/>
      <w:lvlText w:val="%1.%2"/>
      <w:lvlJc w:val="left"/>
      <w:pPr>
        <w:ind w:left="720" w:hanging="720"/>
      </w:pPr>
      <w:rPr>
        <w:rFonts w:hint="default"/>
        <w:b/>
        <w:bCs w:val="off"/>
      </w:rPr>
    </w:lvl>
    <w:lvl w:ilvl="2" w:tentative="0">
      <w:start w:val="1"/>
      <w:numFmt w:val="decimal"/>
      <w:lvlText w:val="%1.%2.%3"/>
      <w:lvlJc w:val="left"/>
      <w:pPr>
        <w:ind w:left="1570" w:hanging="720"/>
      </w:pPr>
      <w:rPr>
        <w:rFonts w:hint="default"/>
        <w:b/>
        <w:bCs w:val="off"/>
        <w:i w:val="off"/>
        <w:iCs w:val="off"/>
        <w:sz w:val="24"/>
        <w:szCs w:val="24"/>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
    <w:multiLevelType w:val="hybridMultilevel"/>
    <w:lvl w:ilvl="0" w:tentative="0">
      <w:start w:val="1"/>
      <w:numFmt w:val="bullet"/>
      <w:lvlText w:val=""/>
      <w:lvlJc w:val="left"/>
      <w:pPr>
        <w:ind w:left="360" w:hanging="360"/>
      </w:pPr>
      <w:rPr>
        <w:rFonts w:ascii="Symbol" w:hAnsi="Symbol" w:hint="default"/>
        <w:color w:val="auto"/>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3">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4">
    <w:multiLevelType w:val="multilevel"/>
    <w:lvl w:ilvl="0" w:tentative="0">
      <w:start w:val="3"/>
      <w:numFmt w:val="decimal"/>
      <w:lvlText w:val="%1"/>
      <w:lvlJc w:val="left"/>
      <w:pPr>
        <w:ind w:left="375" w:hanging="375"/>
      </w:pPr>
      <w:rPr>
        <w:rFonts w:hint="default"/>
      </w:rPr>
    </w:lvl>
    <w:lvl w:ilvl="1" w:tentative="0">
      <w:start w:val="2"/>
      <w:numFmt w:val="decimal"/>
      <w:lvlText w:val="%1.%2"/>
      <w:lvlJc w:val="left"/>
      <w:pPr>
        <w:ind w:left="750" w:hanging="375"/>
      </w:pPr>
      <w:rPr>
        <w:rFonts w:hint="default"/>
      </w:rPr>
    </w:lvl>
    <w:lvl w:ilvl="2" w:tentative="0">
      <w:start w:val="1"/>
      <w:numFmt w:val="decimal"/>
      <w:lvlText w:val="%1.%2.%3"/>
      <w:lvlJc w:val="left"/>
      <w:pPr>
        <w:ind w:left="1470" w:hanging="720"/>
      </w:pPr>
      <w:rPr>
        <w:rFonts w:hint="default"/>
      </w:rPr>
    </w:lvl>
    <w:lvl w:ilvl="3" w:tentative="0">
      <w:start w:val="1"/>
      <w:numFmt w:val="decimal"/>
      <w:lvlText w:val="%1.%2.%3.%4"/>
      <w:lvlJc w:val="left"/>
      <w:pPr>
        <w:ind w:left="2205" w:hanging="1080"/>
      </w:pPr>
      <w:rPr>
        <w:rFonts w:hint="default"/>
      </w:rPr>
    </w:lvl>
    <w:lvl w:ilvl="4" w:tentative="0">
      <w:start w:val="1"/>
      <w:numFmt w:val="decimal"/>
      <w:lvlText w:val="%1.%2.%3.%4.%5"/>
      <w:lvlJc w:val="left"/>
      <w:pPr>
        <w:ind w:left="2580" w:hanging="1080"/>
      </w:pPr>
      <w:rPr>
        <w:rFonts w:hint="default"/>
      </w:rPr>
    </w:lvl>
    <w:lvl w:ilvl="5" w:tentative="0">
      <w:start w:val="1"/>
      <w:numFmt w:val="decimal"/>
      <w:lvlText w:val="%1.%2.%3.%4.%5.%6"/>
      <w:lvlJc w:val="left"/>
      <w:pPr>
        <w:ind w:left="3315" w:hanging="1440"/>
      </w:pPr>
      <w:rPr>
        <w:rFonts w:hint="default"/>
      </w:rPr>
    </w:lvl>
    <w:lvl w:ilvl="6" w:tentative="0">
      <w:start w:val="1"/>
      <w:numFmt w:val="decimal"/>
      <w:lvlText w:val="%1.%2.%3.%4.%5.%6.%7"/>
      <w:lvlJc w:val="left"/>
      <w:pPr>
        <w:ind w:left="3690" w:hanging="1440"/>
      </w:pPr>
      <w:rPr>
        <w:rFonts w:hint="default"/>
      </w:rPr>
    </w:lvl>
    <w:lvl w:ilvl="7" w:tentative="0">
      <w:start w:val="1"/>
      <w:numFmt w:val="decimal"/>
      <w:lvlText w:val="%1.%2.%3.%4.%5.%6.%7.%8"/>
      <w:lvlJc w:val="left"/>
      <w:pPr>
        <w:ind w:left="4425" w:hanging="1800"/>
      </w:pPr>
      <w:rPr>
        <w:rFonts w:hint="default"/>
      </w:rPr>
    </w:lvl>
    <w:lvl w:ilvl="8" w:tentative="0">
      <w:start w:val="1"/>
      <w:numFmt w:val="decimal"/>
      <w:lvlText w:val="%1.%2.%3.%4.%5.%6.%7.%8.%9"/>
      <w:lvlJc w:val="left"/>
      <w:pPr>
        <w:ind w:left="5160" w:hanging="2160"/>
      </w:pPr>
      <w:rPr>
        <w:rFonts w:hint="default"/>
      </w:rPr>
    </w:lvl>
  </w:abstractNum>
  <w:abstractNum w:abstractNumId="5">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6">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7">
    <w:multiLevelType w:val="multilevel"/>
    <w:lvl w:ilvl="0" w:tentative="0">
      <w:start w:val="3"/>
      <w:numFmt w:val="decimal"/>
      <w:lvlText w:val="%1"/>
      <w:lvlJc w:val="left"/>
      <w:pPr>
        <w:ind w:left="480" w:hanging="480"/>
      </w:pPr>
      <w:rPr>
        <w:rFonts w:hint="default"/>
        <w:b/>
        <w:i w:val="off"/>
        <w:sz w:val="24"/>
      </w:rPr>
    </w:lvl>
    <w:lvl w:ilvl="1" w:tentative="0">
      <w:start w:val="2"/>
      <w:numFmt w:val="decimal"/>
      <w:lvlText w:val="%1.%2"/>
      <w:lvlJc w:val="left"/>
      <w:pPr>
        <w:ind w:left="480" w:hanging="480"/>
      </w:pPr>
      <w:rPr>
        <w:rFonts w:hint="default"/>
        <w:b/>
        <w:i w:val="off"/>
        <w:sz w:val="24"/>
      </w:rPr>
    </w:lvl>
    <w:lvl w:ilvl="2" w:tentative="0">
      <w:start w:val="3"/>
      <w:numFmt w:val="decimal"/>
      <w:lvlText w:val="%1.%2.%3"/>
      <w:lvlJc w:val="left"/>
      <w:pPr>
        <w:ind w:left="720" w:hanging="720"/>
      </w:pPr>
      <w:rPr>
        <w:rFonts w:hint="default"/>
        <w:b/>
        <w:i w:val="off"/>
        <w:sz w:val="24"/>
      </w:rPr>
    </w:lvl>
    <w:lvl w:ilvl="3" w:tentative="0">
      <w:start w:val="1"/>
      <w:numFmt w:val="decimal"/>
      <w:lvlText w:val="%1.%2.%3.%4"/>
      <w:lvlJc w:val="left"/>
      <w:pPr>
        <w:ind w:left="720" w:hanging="720"/>
      </w:pPr>
      <w:rPr>
        <w:rFonts w:hint="default"/>
        <w:b/>
        <w:i w:val="off"/>
        <w:sz w:val="24"/>
      </w:rPr>
    </w:lvl>
    <w:lvl w:ilvl="4" w:tentative="0">
      <w:start w:val="1"/>
      <w:numFmt w:val="decimal"/>
      <w:lvlText w:val="%1.%2.%3.%4.%5"/>
      <w:lvlJc w:val="left"/>
      <w:pPr>
        <w:ind w:left="1080" w:hanging="1080"/>
      </w:pPr>
      <w:rPr>
        <w:rFonts w:hint="default"/>
        <w:b/>
        <w:i w:val="off"/>
        <w:sz w:val="24"/>
      </w:rPr>
    </w:lvl>
    <w:lvl w:ilvl="5" w:tentative="0">
      <w:start w:val="1"/>
      <w:numFmt w:val="decimal"/>
      <w:lvlText w:val="%1.%2.%3.%4.%5.%6"/>
      <w:lvlJc w:val="left"/>
      <w:pPr>
        <w:ind w:left="1080" w:hanging="1080"/>
      </w:pPr>
      <w:rPr>
        <w:rFonts w:hint="default"/>
        <w:b/>
        <w:i w:val="off"/>
        <w:sz w:val="24"/>
      </w:rPr>
    </w:lvl>
    <w:lvl w:ilvl="6" w:tentative="0">
      <w:start w:val="1"/>
      <w:numFmt w:val="decimal"/>
      <w:lvlText w:val="%1.%2.%3.%4.%5.%6.%7"/>
      <w:lvlJc w:val="left"/>
      <w:pPr>
        <w:ind w:left="1440" w:hanging="1440"/>
      </w:pPr>
      <w:rPr>
        <w:rFonts w:hint="default"/>
        <w:b/>
        <w:i w:val="off"/>
        <w:sz w:val="24"/>
      </w:rPr>
    </w:lvl>
    <w:lvl w:ilvl="7" w:tentative="0">
      <w:start w:val="1"/>
      <w:numFmt w:val="decimal"/>
      <w:lvlText w:val="%1.%2.%3.%4.%5.%6.%7.%8"/>
      <w:lvlJc w:val="left"/>
      <w:pPr>
        <w:ind w:left="1440" w:hanging="1440"/>
      </w:pPr>
      <w:rPr>
        <w:rFonts w:hint="default"/>
        <w:b/>
        <w:i w:val="off"/>
        <w:sz w:val="24"/>
      </w:rPr>
    </w:lvl>
    <w:lvl w:ilvl="8" w:tentative="0">
      <w:start w:val="1"/>
      <w:numFmt w:val="decimal"/>
      <w:lvlText w:val="%1.%2.%3.%4.%5.%6.%7.%8.%9"/>
      <w:lvlJc w:val="left"/>
      <w:pPr>
        <w:ind w:left="1440" w:hanging="1440"/>
      </w:pPr>
      <w:rPr>
        <w:rFonts w:hint="default"/>
        <w:b/>
        <w:i w:val="off"/>
        <w:sz w:val="24"/>
      </w:rPr>
    </w:lvl>
  </w:abstractNum>
  <w:abstractNum w:abstractNumId="8">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9">
    <w:multiLevelType w:val="multilevel"/>
    <w:lvl w:ilvl="0" w:tentative="0">
      <w:start w:val="3"/>
      <w:numFmt w:val="decimal"/>
      <w:lvlText w:val="%1"/>
      <w:lvlJc w:val="left"/>
      <w:pPr>
        <w:ind w:left="375" w:hanging="375"/>
      </w:pPr>
      <w:rPr>
        <w:rFonts w:hint="default"/>
      </w:rPr>
    </w:lvl>
    <w:lvl w:ilvl="1" w:tentative="0">
      <w:start w:val="2"/>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0">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1">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2">
    <w:multiLevelType w:val="hybridMultilevel"/>
    <w:lvl w:ilvl="0" w:tentative="0">
      <w:start w:val="1"/>
      <w:numFmt w:val="bullet"/>
      <w:lvlText w:val=""/>
      <w:lvlJc w:val="left"/>
      <w:pPr>
        <w:tabs>
          <w:tab w:val="num" w:pos="-737"/>
        </w:tabs>
        <w:ind w:left="403" w:hanging="233"/>
      </w:pPr>
      <w:rPr>
        <w:rFonts w:ascii="Symbol" w:hAnsi="Symbol" w:hint="default"/>
      </w:rPr>
    </w:lvl>
    <w:lvl w:ilvl="1" w:tentative="1">
      <w:start w:val="1"/>
      <w:numFmt w:val="bullet"/>
      <w:lvlText w:val="o"/>
      <w:lvlJc w:val="left"/>
      <w:pPr>
        <w:tabs>
          <w:tab w:val="num" w:pos="1440"/>
        </w:tabs>
        <w:ind w:left="1440" w:hanging="360"/>
      </w:pPr>
      <w:rPr>
        <w:rFonts w:ascii="Courier New" w:cs="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cs="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cs="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4">
    <w:multiLevelType w:val="hybridMultilevel"/>
    <w:lvl w:ilvl="0" w:tentative="0">
      <w:start w:val="1"/>
      <w:numFmt w:val="bullet"/>
      <w:lvlText w:val=""/>
      <w:lvlJc w:val="left"/>
      <w:pPr>
        <w:ind w:left="360" w:hanging="360"/>
      </w:pPr>
      <w:rPr>
        <w:rFonts w:ascii="Symbol" w:hAnsi="Symbol" w:hint="default"/>
        <w:color w:val="auto"/>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15">
    <w:multiLevelType w:val="multilevel"/>
    <w:lvl w:ilvl="0" w:tentative="0">
      <w:start w:val="4"/>
      <w:numFmt w:val="decimal"/>
      <w:lvlText w:val="%1"/>
      <w:lvlJc w:val="left"/>
      <w:pPr>
        <w:ind w:left="405" w:hanging="405"/>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440" w:hanging="144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6">
    <w:multiLevelType w:val="multilevel"/>
    <w:lvl w:ilvl="0" w:tentative="0">
      <w:start w:val="3"/>
      <w:numFmt w:val="decimal"/>
      <w:lvlText w:val="%1"/>
      <w:lvlJc w:val="left"/>
      <w:pPr>
        <w:ind w:left="375" w:hanging="375"/>
      </w:pPr>
      <w:rPr>
        <w:rFonts w:hint="default"/>
      </w:rPr>
    </w:lvl>
    <w:lvl w:ilvl="1" w:tentative="0">
      <w:start w:val="2"/>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7">
    <w:multiLevelType w:val="hybridMultilevel"/>
    <w:lvl w:ilvl="0" w:tentative="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8">
    <w:multiLevelType w:val="multilevel"/>
    <w:lvl w:ilvl="0" w:tentative="0">
      <w:start w:val="3"/>
      <w:numFmt w:val="decimal"/>
      <w:lvlText w:val="%1"/>
      <w:lvlJc w:val="left"/>
      <w:pPr>
        <w:ind w:left="375" w:hanging="375"/>
      </w:pPr>
      <w:rPr>
        <w:rFonts w:hint="default"/>
      </w:rPr>
    </w:lvl>
    <w:lvl w:ilvl="1" w:tentative="0">
      <w:start w:val="2"/>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19">
    <w:multiLevelType w:val="multilevel"/>
    <w:lvl w:ilvl="0" w:tentative="0">
      <w:start w:val="3"/>
      <w:numFmt w:val="decimal"/>
      <w:lvlText w:val="%1"/>
      <w:lvlJc w:val="left"/>
      <w:pPr>
        <w:ind w:left="375" w:hanging="375"/>
      </w:pPr>
      <w:rPr>
        <w:rFonts w:hint="default"/>
      </w:rPr>
    </w:lvl>
    <w:lvl w:ilvl="1" w:tentative="0">
      <w:start w:val="1"/>
      <w:numFmt w:val="decimal"/>
      <w:lvlText w:val="%1.%2"/>
      <w:lvlJc w:val="left"/>
      <w:pPr>
        <w:ind w:left="375" w:hanging="375"/>
      </w:pPr>
      <w:rPr>
        <w:rFonts w:hint="default"/>
      </w:rPr>
    </w:lvl>
    <w:lvl w:ilvl="2" w:tentative="0">
      <w:start w:val="1"/>
      <w:numFmt w:val="decimal"/>
      <w:lvlText w:val="%1.%2.%3"/>
      <w:lvlJc w:val="left"/>
      <w:pPr>
        <w:ind w:left="720" w:hanging="720"/>
      </w:pPr>
      <w:rPr>
        <w:rFonts w:hint="default"/>
        <w:b/>
        <w:bCs w:val="off"/>
        <w:i w:val="off"/>
        <w:iCs w:val="off"/>
        <w:sz w:val="24"/>
        <w:szCs w:val="24"/>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20">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21">
    <w:multiLevelType w:val="multilevel"/>
    <w:lvl w:ilvl="0" w:tentative="0">
      <w:start w:val="3"/>
      <w:numFmt w:val="decimal"/>
      <w:lvlText w:val="%1"/>
      <w:lvlJc w:val="left"/>
      <w:pPr>
        <w:ind w:left="600" w:hanging="600"/>
      </w:pPr>
      <w:rPr>
        <w:rFonts w:hint="default"/>
        <w:b/>
        <w:i w:val="off"/>
        <w:sz w:val="24"/>
      </w:rPr>
    </w:lvl>
    <w:lvl w:ilvl="1" w:tentative="0">
      <w:start w:val="2"/>
      <w:numFmt w:val="decimal"/>
      <w:lvlText w:val="%1.%2"/>
      <w:lvlJc w:val="left"/>
      <w:pPr>
        <w:ind w:left="600" w:hanging="600"/>
      </w:pPr>
      <w:rPr>
        <w:rFonts w:hint="default"/>
        <w:b/>
        <w:i w:val="off"/>
        <w:sz w:val="24"/>
      </w:rPr>
    </w:lvl>
    <w:lvl w:ilvl="2" w:tentative="0">
      <w:start w:val="43"/>
      <w:numFmt w:val="decimal"/>
      <w:lvlText w:val="%1.%2.%3"/>
      <w:lvlJc w:val="left"/>
      <w:pPr>
        <w:ind w:left="720" w:hanging="720"/>
      </w:pPr>
      <w:rPr>
        <w:rFonts w:hint="default"/>
        <w:b/>
        <w:i w:val="off"/>
        <w:sz w:val="24"/>
      </w:rPr>
    </w:lvl>
    <w:lvl w:ilvl="3" w:tentative="0">
      <w:start w:val="1"/>
      <w:numFmt w:val="decimal"/>
      <w:lvlText w:val="%1.%2.%3.%4"/>
      <w:lvlJc w:val="left"/>
      <w:pPr>
        <w:ind w:left="720" w:hanging="720"/>
      </w:pPr>
      <w:rPr>
        <w:rFonts w:hint="default"/>
        <w:b/>
        <w:i w:val="off"/>
        <w:sz w:val="24"/>
      </w:rPr>
    </w:lvl>
    <w:lvl w:ilvl="4" w:tentative="0">
      <w:start w:val="1"/>
      <w:numFmt w:val="decimal"/>
      <w:lvlText w:val="%1.%2.%3.%4.%5"/>
      <w:lvlJc w:val="left"/>
      <w:pPr>
        <w:ind w:left="1080" w:hanging="1080"/>
      </w:pPr>
      <w:rPr>
        <w:rFonts w:hint="default"/>
        <w:b/>
        <w:i w:val="off"/>
        <w:sz w:val="24"/>
      </w:rPr>
    </w:lvl>
    <w:lvl w:ilvl="5" w:tentative="0">
      <w:start w:val="1"/>
      <w:numFmt w:val="decimal"/>
      <w:lvlText w:val="%1.%2.%3.%4.%5.%6"/>
      <w:lvlJc w:val="left"/>
      <w:pPr>
        <w:ind w:left="1080" w:hanging="1080"/>
      </w:pPr>
      <w:rPr>
        <w:rFonts w:hint="default"/>
        <w:b/>
        <w:i w:val="off"/>
        <w:sz w:val="24"/>
      </w:rPr>
    </w:lvl>
    <w:lvl w:ilvl="6" w:tentative="0">
      <w:start w:val="1"/>
      <w:numFmt w:val="decimal"/>
      <w:lvlText w:val="%1.%2.%3.%4.%5.%6.%7"/>
      <w:lvlJc w:val="left"/>
      <w:pPr>
        <w:ind w:left="1440" w:hanging="1440"/>
      </w:pPr>
      <w:rPr>
        <w:rFonts w:hint="default"/>
        <w:b/>
        <w:i w:val="off"/>
        <w:sz w:val="24"/>
      </w:rPr>
    </w:lvl>
    <w:lvl w:ilvl="7" w:tentative="0">
      <w:start w:val="1"/>
      <w:numFmt w:val="decimal"/>
      <w:lvlText w:val="%1.%2.%3.%4.%5.%6.%7.%8"/>
      <w:lvlJc w:val="left"/>
      <w:pPr>
        <w:ind w:left="1440" w:hanging="1440"/>
      </w:pPr>
      <w:rPr>
        <w:rFonts w:hint="default"/>
        <w:b/>
        <w:i w:val="off"/>
        <w:sz w:val="24"/>
      </w:rPr>
    </w:lvl>
    <w:lvl w:ilvl="8" w:tentative="0">
      <w:start w:val="1"/>
      <w:numFmt w:val="decimal"/>
      <w:lvlText w:val="%1.%2.%3.%4.%5.%6.%7.%8.%9"/>
      <w:lvlJc w:val="left"/>
      <w:pPr>
        <w:ind w:left="1440" w:hanging="1440"/>
      </w:pPr>
      <w:rPr>
        <w:rFonts w:hint="default"/>
        <w:b/>
        <w:i w:val="off"/>
        <w:sz w:val="24"/>
      </w:rPr>
    </w:lvl>
  </w:abstractNum>
  <w:abstractNum w:abstractNumId="22">
    <w:multiLevelType w:val="hybridMultilevel"/>
    <w:lvl w:ilvl="0" w:tentative="0">
      <w:start w:val="1"/>
      <w:numFmt w:val="bullet"/>
      <w:lvlText w:val=""/>
      <w:lvlJc w:val="left"/>
      <w:pPr>
        <w:ind w:left="1080" w:hanging="360"/>
      </w:pPr>
      <w:rPr>
        <w:rFonts w:ascii="Symbol" w:hAnsi="Symbol" w:hint="default"/>
      </w:rPr>
    </w:lvl>
    <w:lvl w:ilvl="1" w:tentative="1">
      <w:start w:val="1"/>
      <w:numFmt w:val="bullet"/>
      <w:lvlText w:val="o"/>
      <w:lvlJc w:val="left"/>
      <w:pPr>
        <w:ind w:left="1800" w:hanging="360"/>
      </w:pPr>
      <w:rPr>
        <w:rFonts w:ascii="Courier New" w:cs="Courier New" w:hAnsi="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cs="Courier New" w:hAnsi="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cs="Courier New" w:hAnsi="Courier New" w:hint="default"/>
      </w:rPr>
    </w:lvl>
    <w:lvl w:ilvl="8" w:tentative="1">
      <w:start w:val="1"/>
      <w:numFmt w:val="bullet"/>
      <w:lvlText w:val=""/>
      <w:lvlJc w:val="left"/>
      <w:pPr>
        <w:ind w:left="6840" w:hanging="360"/>
      </w:pPr>
      <w:rPr>
        <w:rFonts w:ascii="Wingdings" w:hAnsi="Wingdings" w:hint="default"/>
      </w:rPr>
    </w:lvl>
  </w:abstractNum>
  <w:abstractNum w:abstractNumId="23">
    <w:multiLevelType w:val="multilevel"/>
    <w:lvl w:ilvl="0" w:tentative="0">
      <w:start w:val="1"/>
      <w:numFmt w:val="decimal"/>
      <w:lvlText w:val="%1."/>
      <w:lvlJc w:val="left"/>
      <w:pPr>
        <w:ind w:left="360" w:hanging="360"/>
      </w:pPr>
    </w:lvl>
    <w:lvl w:ilvl="1" w:tentative="0">
      <w:start w:val="1"/>
      <w:numFmt w:val="decimal"/>
      <w:lvlText w:val="%1.%2."/>
      <w:lvlJc w:val="left"/>
      <w:pPr>
        <w:ind w:left="792" w:hanging="432"/>
      </w:pPr>
    </w:lvl>
    <w:lvl w:ilvl="2" w:tentative="0">
      <w:start w:val="1"/>
      <w:numFmt w:val="decimal"/>
      <w:lvlText w:val="%1.%2.%3."/>
      <w:lvlJc w:val="left"/>
      <w:pPr>
        <w:ind w:left="1224" w:hanging="504"/>
      </w:pPr>
    </w:lvl>
    <w:lvl w:ilvl="3" w:tentative="0">
      <w:start w:val="1"/>
      <w:numFmt w:val="decimal"/>
      <w:lvlText w:val="%1.%2.%3.%4."/>
      <w:lvlJc w:val="left"/>
      <w:pPr>
        <w:ind w:left="1728"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4">
    <w:multiLevelType w:val="hybridMultilevel"/>
    <w:lvl w:ilvl="0" w:tentative="0">
      <w:start w:val="1"/>
      <w:numFmt w:val="bullet"/>
      <w:lvlText w:val="o"/>
      <w:lvlJc w:val="left"/>
      <w:pPr>
        <w:ind w:left="720" w:hanging="360"/>
      </w:pPr>
      <w:rPr>
        <w:rFonts w:ascii="Courier New" w:cs="Courier New" w:hAnsi="Courier New" w:hint="default"/>
        <w:color w:val="auto"/>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5">
    <w:multiLevelType w:val="hybridMultilevel"/>
    <w:lvl w:ilvl="0" w:tentative="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multiLevelType w:val="hybridMultilevel"/>
    <w:lvl w:ilvl="0" w:tentative="0">
      <w:start w:val="1"/>
      <w:numFmt w:val="bullet"/>
      <w:lvlText w:val="o"/>
      <w:lvlJc w:val="left"/>
      <w:pPr>
        <w:ind w:left="720" w:hanging="360"/>
      </w:pPr>
      <w:rPr>
        <w:rFonts w:ascii="Courier New" w:cs="Courier New" w:hAnsi="Courier New" w:hint="default"/>
        <w:color w:val="auto"/>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27">
    <w:multiLevelType w:val="hybridMultilevel"/>
    <w:lvl w:ilvl="0" w:tentative="0">
      <w:start w:val="1"/>
      <w:numFmt w:val="decimal"/>
      <w:lvlText w:val="%1."/>
      <w:lvlJc w:val="left"/>
      <w:pPr>
        <w:ind w:left="360" w:hanging="360"/>
      </w:pPr>
      <w:rPr>
        <w:rFonts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28">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29">
    <w:multiLevelType w:val="hybridMultilevel"/>
    <w:lvl w:ilvl="0" w:tentative="0">
      <w:start w:val="1"/>
      <w:numFmt w:val="bullet"/>
      <w:lvlText w:val=""/>
      <w:lvlJc w:val="left"/>
      <w:pPr>
        <w:ind w:left="360" w:hanging="360"/>
      </w:pPr>
      <w:rPr>
        <w:rFonts w:ascii="Symbol" w:hAnsi="Symbol" w:hint="default"/>
      </w:rPr>
    </w:lvl>
    <w:lvl w:ilvl="1" w:tentative="1">
      <w:start w:val="1"/>
      <w:numFmt w:val="bullet"/>
      <w:lvlText w:val="o"/>
      <w:lvlJc w:val="left"/>
      <w:pPr>
        <w:ind w:left="1080" w:hanging="360"/>
      </w:pPr>
      <w:rPr>
        <w:rFonts w:ascii="Courier New" w:cs="Courier New" w:hAnsi="Courier New" w:hint="default"/>
      </w:rPr>
    </w:lvl>
    <w:lvl w:ilvl="2" w:tentative="1">
      <w:start w:val="1"/>
      <w:numFmt w:val="bullet"/>
      <w:lvlText w:val=""/>
      <w:lvlJc w:val="left"/>
      <w:pPr>
        <w:ind w:left="1800" w:hanging="360"/>
      </w:pPr>
      <w:rPr>
        <w:rFonts w:ascii="Wingdings" w:hAnsi="Wingdings" w:hint="default"/>
      </w:rPr>
    </w:lvl>
    <w:lvl w:ilvl="3" w:tentative="1">
      <w:start w:val="1"/>
      <w:numFmt w:val="bullet"/>
      <w:lvlText w:val=""/>
      <w:lvlJc w:val="left"/>
      <w:pPr>
        <w:ind w:left="2520" w:hanging="360"/>
      </w:pPr>
      <w:rPr>
        <w:rFonts w:ascii="Symbol" w:hAnsi="Symbol" w:hint="default"/>
      </w:rPr>
    </w:lvl>
    <w:lvl w:ilvl="4" w:tentative="1">
      <w:start w:val="1"/>
      <w:numFmt w:val="bullet"/>
      <w:lvlText w:val="o"/>
      <w:lvlJc w:val="left"/>
      <w:pPr>
        <w:ind w:left="3240" w:hanging="360"/>
      </w:pPr>
      <w:rPr>
        <w:rFonts w:ascii="Courier New" w:cs="Courier New" w:hAnsi="Courier New" w:hint="default"/>
      </w:rPr>
    </w:lvl>
    <w:lvl w:ilvl="5" w:tentative="1">
      <w:start w:val="1"/>
      <w:numFmt w:val="bullet"/>
      <w:lvlText w:val=""/>
      <w:lvlJc w:val="left"/>
      <w:pPr>
        <w:ind w:left="3960" w:hanging="360"/>
      </w:pPr>
      <w:rPr>
        <w:rFonts w:ascii="Wingdings" w:hAnsi="Wingdings" w:hint="default"/>
      </w:rPr>
    </w:lvl>
    <w:lvl w:ilvl="6" w:tentative="1">
      <w:start w:val="1"/>
      <w:numFmt w:val="bullet"/>
      <w:lvlText w:val=""/>
      <w:lvlJc w:val="left"/>
      <w:pPr>
        <w:ind w:left="4680" w:hanging="360"/>
      </w:pPr>
      <w:rPr>
        <w:rFonts w:ascii="Symbol" w:hAnsi="Symbol" w:hint="default"/>
      </w:rPr>
    </w:lvl>
    <w:lvl w:ilvl="7" w:tentative="1">
      <w:start w:val="1"/>
      <w:numFmt w:val="bullet"/>
      <w:lvlText w:val="o"/>
      <w:lvlJc w:val="left"/>
      <w:pPr>
        <w:ind w:left="5400" w:hanging="360"/>
      </w:pPr>
      <w:rPr>
        <w:rFonts w:ascii="Courier New" w:cs="Courier New" w:hAnsi="Courier New" w:hint="default"/>
      </w:rPr>
    </w:lvl>
    <w:lvl w:ilvl="8" w:tentative="1">
      <w:start w:val="1"/>
      <w:numFmt w:val="bullet"/>
      <w:lvlText w:val=""/>
      <w:lvlJc w:val="left"/>
      <w:pPr>
        <w:ind w:left="6120" w:hanging="360"/>
      </w:pPr>
      <w:rPr>
        <w:rFonts w:ascii="Wingdings" w:hAnsi="Wingdings" w:hint="default"/>
      </w:rPr>
    </w:lvl>
  </w:abstractNum>
  <w:abstractNum w:abstractNumId="30">
    <w:multiLevelType w:val="hybridMultilevel"/>
    <w:lvl w:ilvl="0" w:tentative="0">
      <w:start w:val="1"/>
      <w:numFmt w:val="bullet"/>
      <w:lvlText w:val=""/>
      <w:lvlJc w:val="left"/>
      <w:pPr>
        <w:tabs>
          <w:tab w:val="num" w:pos="680"/>
        </w:tabs>
        <w:ind w:left="680" w:hanging="453"/>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
    <w:multiLevelType w:val="multilevel"/>
    <w:lvl w:ilvl="0" w:tentative="0">
      <w:start w:val="3"/>
      <w:numFmt w:val="decimal"/>
      <w:lvlText w:val="%1"/>
      <w:lvlJc w:val="left"/>
      <w:pPr>
        <w:ind w:left="375" w:hanging="375"/>
      </w:pPr>
      <w:rPr>
        <w:rFonts w:hint="default"/>
      </w:rPr>
    </w:lvl>
    <w:lvl w:ilvl="1" w:tentative="0">
      <w:start w:val="2"/>
      <w:numFmt w:val="decimal"/>
      <w:lvlText w:val="%1.%2"/>
      <w:lvlJc w:val="left"/>
      <w:pPr>
        <w:ind w:left="375" w:hanging="375"/>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32">
    <w:multiLevelType w:val="multilevel"/>
    <w:lvl w:ilvl="0" w:tentative="0">
      <w:start w:val="3"/>
      <w:numFmt w:val="decimal"/>
      <w:lvlText w:val="%1"/>
      <w:lvlJc w:val="left"/>
      <w:pPr>
        <w:ind w:left="480" w:hanging="480"/>
      </w:pPr>
      <w:rPr>
        <w:rFonts w:hint="default"/>
        <w:b/>
        <w:i w:val="off"/>
        <w:sz w:val="24"/>
      </w:rPr>
    </w:lvl>
    <w:lvl w:ilvl="1" w:tentative="0">
      <w:start w:val="2"/>
      <w:numFmt w:val="decimal"/>
      <w:lvlText w:val="%1.%2"/>
      <w:lvlJc w:val="left"/>
      <w:pPr>
        <w:ind w:left="480" w:hanging="480"/>
      </w:pPr>
      <w:rPr>
        <w:rFonts w:hint="default"/>
        <w:b/>
        <w:i w:val="off"/>
        <w:sz w:val="24"/>
      </w:rPr>
    </w:lvl>
    <w:lvl w:ilvl="2" w:tentative="0">
      <w:start w:val="3"/>
      <w:numFmt w:val="decimal"/>
      <w:lvlText w:val="%1.%2.%3"/>
      <w:lvlJc w:val="left"/>
      <w:pPr>
        <w:ind w:left="720" w:hanging="720"/>
      </w:pPr>
      <w:rPr>
        <w:rFonts w:hint="default"/>
        <w:b/>
        <w:i w:val="off"/>
        <w:sz w:val="24"/>
      </w:rPr>
    </w:lvl>
    <w:lvl w:ilvl="3" w:tentative="0">
      <w:start w:val="1"/>
      <w:numFmt w:val="decimal"/>
      <w:lvlText w:val="%1.%2.%3.%4"/>
      <w:lvlJc w:val="left"/>
      <w:pPr>
        <w:ind w:left="720" w:hanging="720"/>
      </w:pPr>
      <w:rPr>
        <w:rFonts w:hint="default"/>
        <w:b/>
        <w:i w:val="off"/>
        <w:sz w:val="24"/>
      </w:rPr>
    </w:lvl>
    <w:lvl w:ilvl="4" w:tentative="0">
      <w:start w:val="1"/>
      <w:numFmt w:val="decimal"/>
      <w:lvlText w:val="%1.%2.%3.%4.%5"/>
      <w:lvlJc w:val="left"/>
      <w:pPr>
        <w:ind w:left="1080" w:hanging="1080"/>
      </w:pPr>
      <w:rPr>
        <w:rFonts w:hint="default"/>
        <w:b/>
        <w:i w:val="off"/>
        <w:sz w:val="24"/>
      </w:rPr>
    </w:lvl>
    <w:lvl w:ilvl="5" w:tentative="0">
      <w:start w:val="1"/>
      <w:numFmt w:val="decimal"/>
      <w:lvlText w:val="%1.%2.%3.%4.%5.%6"/>
      <w:lvlJc w:val="left"/>
      <w:pPr>
        <w:ind w:left="1080" w:hanging="1080"/>
      </w:pPr>
      <w:rPr>
        <w:rFonts w:hint="default"/>
        <w:b/>
        <w:i w:val="off"/>
        <w:sz w:val="24"/>
      </w:rPr>
    </w:lvl>
    <w:lvl w:ilvl="6" w:tentative="0">
      <w:start w:val="1"/>
      <w:numFmt w:val="decimal"/>
      <w:lvlText w:val="%1.%2.%3.%4.%5.%6.%7"/>
      <w:lvlJc w:val="left"/>
      <w:pPr>
        <w:ind w:left="1440" w:hanging="1440"/>
      </w:pPr>
      <w:rPr>
        <w:rFonts w:hint="default"/>
        <w:b/>
        <w:i w:val="off"/>
        <w:sz w:val="24"/>
      </w:rPr>
    </w:lvl>
    <w:lvl w:ilvl="7" w:tentative="0">
      <w:start w:val="1"/>
      <w:numFmt w:val="decimal"/>
      <w:lvlText w:val="%1.%2.%3.%4.%5.%6.%7.%8"/>
      <w:lvlJc w:val="left"/>
      <w:pPr>
        <w:ind w:left="1440" w:hanging="1440"/>
      </w:pPr>
      <w:rPr>
        <w:rFonts w:hint="default"/>
        <w:b/>
        <w:i w:val="off"/>
        <w:sz w:val="24"/>
      </w:rPr>
    </w:lvl>
    <w:lvl w:ilvl="8" w:tentative="0">
      <w:start w:val="1"/>
      <w:numFmt w:val="decimal"/>
      <w:lvlText w:val="%1.%2.%3.%4.%5.%6.%7.%8.%9"/>
      <w:lvlJc w:val="left"/>
      <w:pPr>
        <w:ind w:left="1440" w:hanging="1440"/>
      </w:pPr>
      <w:rPr>
        <w:rFonts w:hint="default"/>
        <w:b/>
        <w:i w:val="off"/>
        <w:sz w:val="24"/>
      </w:rPr>
    </w:lvl>
  </w:abstractNum>
  <w:abstractNum w:abstractNumId="33">
    <w:multiLevelType w:val="hybridMultilevel"/>
    <w:lvl w:ilvl="0" w:tentative="0">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num w:numId="1">
    <w:abstractNumId w:val="30"/>
  </w:num>
  <w:num w:numId="2">
    <w:abstractNumId w:val="12"/>
  </w:num>
  <w:num w:numId="3">
    <w:abstractNumId w:val="23"/>
  </w:num>
  <w:num w:numId="4">
    <w:abstractNumId w:val="15"/>
  </w:num>
  <w:num w:numId="5">
    <w:abstractNumId w:val="1"/>
  </w:num>
  <w:num w:numId="6">
    <w:abstractNumId w:val="0"/>
  </w:num>
  <w:num w:numId="7">
    <w:abstractNumId w:val="22"/>
  </w:num>
  <w:num w:numId="8">
    <w:abstractNumId w:val="19"/>
  </w:num>
  <w:num w:numId="9">
    <w:abstractNumId w:val="9"/>
  </w:num>
  <w:num w:numId="10">
    <w:abstractNumId w:val="7"/>
  </w:num>
  <w:num w:numId="11">
    <w:abstractNumId w:val="21"/>
  </w:num>
  <w:num w:numId="12">
    <w:abstractNumId w:val="32"/>
  </w:num>
  <w:num w:numId="13">
    <w:abstractNumId w:val="27"/>
  </w:num>
  <w:num w:numId="14">
    <w:abstractNumId w:val="33"/>
  </w:num>
  <w:num w:numId="15">
    <w:abstractNumId w:val="18"/>
  </w:num>
  <w:num w:numId="16">
    <w:abstractNumId w:val="31"/>
  </w:num>
  <w:num w:numId="17">
    <w:abstractNumId w:val="4"/>
  </w:num>
  <w:num w:numId="18">
    <w:abstractNumId w:val="16"/>
  </w:num>
  <w:num w:numId="19">
    <w:abstractNumId w:val="8"/>
  </w:num>
  <w:num w:numId="20">
    <w:abstractNumId w:val="5"/>
  </w:num>
  <w:num w:numId="21">
    <w:abstractNumId w:val="28"/>
  </w:num>
  <w:num w:numId="22">
    <w:abstractNumId w:val="11"/>
  </w:num>
  <w:num w:numId="23">
    <w:abstractNumId w:val="3"/>
  </w:num>
  <w:num w:numId="24">
    <w:abstractNumId w:val="6"/>
  </w:num>
  <w:num w:numId="25">
    <w:abstractNumId w:val="20"/>
  </w:num>
  <w:num w:numId="26">
    <w:abstractNumId w:val="10"/>
  </w:num>
  <w:num w:numId="27">
    <w:abstractNumId w:val="13"/>
  </w:num>
  <w:num w:numId="28">
    <w:abstractNumId w:val="29"/>
  </w:num>
  <w:num w:numId="29">
    <w:abstractNumId w:val="17"/>
  </w:num>
  <w:num w:numId="30">
    <w:abstractNumId w:val="26"/>
  </w:num>
  <w:num w:numId="31">
    <w:abstractNumId w:val="14"/>
  </w:num>
  <w:num w:numId="32">
    <w:abstractNumId w:val="24"/>
  </w:num>
  <w:num w:numId="33">
    <w:abstractNumId w:val="2"/>
  </w:num>
  <w:num w:numId="3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hideSpellingErrors/>
  <w:proofState w:spelling="clean" w:grammar="clean"/>
  <w:defaultTabStop w:val="720"/>
  <w:characterSpacingControl w:val="doNotCompress"/>
  <w:hdrShapeDefaults>
    <o:shapedefaults v:ext="edit" spidmax="2050"/>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50A"/>
    <w:rsid w:val="00001462"/>
    <w:rsid w:val="000066F6"/>
    <w:rsid w:val="000257C9"/>
    <w:rsid w:val="000306D1"/>
    <w:rsid w:val="00057192"/>
    <w:rsid w:val="000754C2"/>
    <w:rsid w:val="000A07D0"/>
    <w:rsid w:val="000A08B2"/>
    <w:rsid w:val="000A350A"/>
    <w:rsid w:val="000A61CA"/>
    <w:rsid w:val="000A675F"/>
    <w:rsid w:val="000B4437"/>
    <w:rsid w:val="000C4ED9"/>
    <w:rsid w:val="000D11E3"/>
    <w:rsid w:val="000D43CC"/>
    <w:rsid w:val="000D6A71"/>
    <w:rsid w:val="000E204D"/>
    <w:rsid w:val="000E34B6"/>
    <w:rsid w:val="000E352C"/>
    <w:rsid w:val="000E5B65"/>
    <w:rsid w:val="0010165A"/>
    <w:rsid w:val="0011576A"/>
    <w:rsid w:val="00117A41"/>
    <w:rsid w:val="001237F3"/>
    <w:rsid w:val="0012424E"/>
    <w:rsid w:val="001419FA"/>
    <w:rsid w:val="001456A8"/>
    <w:rsid w:val="0014648A"/>
    <w:rsid w:val="00146E7D"/>
    <w:rsid w:val="001478AA"/>
    <w:rsid w:val="0017158D"/>
    <w:rsid w:val="001720B8"/>
    <w:rsid w:val="00180556"/>
    <w:rsid w:val="00183988"/>
    <w:rsid w:val="001945C7"/>
    <w:rsid w:val="00196B4C"/>
    <w:rsid w:val="001A5B71"/>
    <w:rsid w:val="001B3262"/>
    <w:rsid w:val="001B3F7A"/>
    <w:rsid w:val="001B41A3"/>
    <w:rsid w:val="001C17BC"/>
    <w:rsid w:val="001D0A93"/>
    <w:rsid w:val="001D431E"/>
    <w:rsid w:val="001D4770"/>
    <w:rsid w:val="001D4E7C"/>
    <w:rsid w:val="001D5B07"/>
    <w:rsid w:val="001F4945"/>
    <w:rsid w:val="001F5867"/>
    <w:rsid w:val="001F5C45"/>
    <w:rsid w:val="001F7B0E"/>
    <w:rsid w:val="002009FC"/>
    <w:rsid w:val="002016FD"/>
    <w:rsid w:val="00212799"/>
    <w:rsid w:val="002243ED"/>
    <w:rsid w:val="00224A4A"/>
    <w:rsid w:val="00224CC2"/>
    <w:rsid w:val="00224E16"/>
    <w:rsid w:val="00231941"/>
    <w:rsid w:val="00237BBB"/>
    <w:rsid w:val="002422AC"/>
    <w:rsid w:val="00243E64"/>
    <w:rsid w:val="00245096"/>
    <w:rsid w:val="002474D3"/>
    <w:rsid w:val="00250425"/>
    <w:rsid w:val="00253E51"/>
    <w:rsid w:val="00271565"/>
    <w:rsid w:val="00281D13"/>
    <w:rsid w:val="00281D1E"/>
    <w:rsid w:val="00285D80"/>
    <w:rsid w:val="00294CFF"/>
    <w:rsid w:val="002A1920"/>
    <w:rsid w:val="002A6D41"/>
    <w:rsid w:val="002B001A"/>
    <w:rsid w:val="002B7A5D"/>
    <w:rsid w:val="002C12BD"/>
    <w:rsid w:val="002C5C75"/>
    <w:rsid w:val="002D1E40"/>
    <w:rsid w:val="002D77CA"/>
    <w:rsid w:val="002E250A"/>
    <w:rsid w:val="002E4A00"/>
    <w:rsid w:val="002E5E18"/>
    <w:rsid w:val="002F2917"/>
    <w:rsid w:val="002F6CD5"/>
    <w:rsid w:val="002F7AB3"/>
    <w:rsid w:val="0030242A"/>
    <w:rsid w:val="00311221"/>
    <w:rsid w:val="00316FD5"/>
    <w:rsid w:val="00326907"/>
    <w:rsid w:val="003270D6"/>
    <w:rsid w:val="00327EC5"/>
    <w:rsid w:val="00333D08"/>
    <w:rsid w:val="00333D90"/>
    <w:rsid w:val="00351AAB"/>
    <w:rsid w:val="00355B36"/>
    <w:rsid w:val="0038543F"/>
    <w:rsid w:val="003920BD"/>
    <w:rsid w:val="0039231B"/>
    <w:rsid w:val="003A55BC"/>
    <w:rsid w:val="003A5C92"/>
    <w:rsid w:val="003A6B56"/>
    <w:rsid w:val="003A754A"/>
    <w:rsid w:val="003B12D8"/>
    <w:rsid w:val="003B2624"/>
    <w:rsid w:val="003B2AB9"/>
    <w:rsid w:val="003C115C"/>
    <w:rsid w:val="003C3011"/>
    <w:rsid w:val="003C3424"/>
    <w:rsid w:val="003D6AF1"/>
    <w:rsid w:val="003E66C9"/>
    <w:rsid w:val="003F10E4"/>
    <w:rsid w:val="003F36FB"/>
    <w:rsid w:val="00401B65"/>
    <w:rsid w:val="00403DEC"/>
    <w:rsid w:val="004170D2"/>
    <w:rsid w:val="00424472"/>
    <w:rsid w:val="00432AC1"/>
    <w:rsid w:val="00452E19"/>
    <w:rsid w:val="00456233"/>
    <w:rsid w:val="00456714"/>
    <w:rsid w:val="00456D1B"/>
    <w:rsid w:val="004742C7"/>
    <w:rsid w:val="0048212F"/>
    <w:rsid w:val="00486BBC"/>
    <w:rsid w:val="00495830"/>
    <w:rsid w:val="004A02AC"/>
    <w:rsid w:val="004A0A73"/>
    <w:rsid w:val="004A2A38"/>
    <w:rsid w:val="004A2D28"/>
    <w:rsid w:val="004A61E3"/>
    <w:rsid w:val="004C0411"/>
    <w:rsid w:val="004C065F"/>
    <w:rsid w:val="004E1893"/>
    <w:rsid w:val="0050312D"/>
    <w:rsid w:val="005127F8"/>
    <w:rsid w:val="00513764"/>
    <w:rsid w:val="00526FF6"/>
    <w:rsid w:val="005328E9"/>
    <w:rsid w:val="0053715D"/>
    <w:rsid w:val="0054200D"/>
    <w:rsid w:val="0055289F"/>
    <w:rsid w:val="00556652"/>
    <w:rsid w:val="00563FB2"/>
    <w:rsid w:val="00565EAA"/>
    <w:rsid w:val="0056755A"/>
    <w:rsid w:val="005708C2"/>
    <w:rsid w:val="005722B2"/>
    <w:rsid w:val="005734E2"/>
    <w:rsid w:val="00573D40"/>
    <w:rsid w:val="005805D7"/>
    <w:rsid w:val="005839A5"/>
    <w:rsid w:val="005953CA"/>
    <w:rsid w:val="005A0928"/>
    <w:rsid w:val="005C40E7"/>
    <w:rsid w:val="005D33FC"/>
    <w:rsid w:val="005E542A"/>
    <w:rsid w:val="005F3886"/>
    <w:rsid w:val="005F3B7E"/>
    <w:rsid w:val="00601211"/>
    <w:rsid w:val="00604AFA"/>
    <w:rsid w:val="0061054A"/>
    <w:rsid w:val="006157DF"/>
    <w:rsid w:val="00616D51"/>
    <w:rsid w:val="006176CB"/>
    <w:rsid w:val="0062075D"/>
    <w:rsid w:val="00621617"/>
    <w:rsid w:val="006243D7"/>
    <w:rsid w:val="00625D81"/>
    <w:rsid w:val="0063353E"/>
    <w:rsid w:val="0063437C"/>
    <w:rsid w:val="00645FBD"/>
    <w:rsid w:val="00646832"/>
    <w:rsid w:val="00652916"/>
    <w:rsid w:val="0065398D"/>
    <w:rsid w:val="00655EE8"/>
    <w:rsid w:val="006755EA"/>
    <w:rsid w:val="0068233A"/>
    <w:rsid w:val="006A1566"/>
    <w:rsid w:val="006A2185"/>
    <w:rsid w:val="006A45FC"/>
    <w:rsid w:val="006B0BD6"/>
    <w:rsid w:val="006B4842"/>
    <w:rsid w:val="006B586D"/>
    <w:rsid w:val="006B71FD"/>
    <w:rsid w:val="006C4E22"/>
    <w:rsid w:val="00704138"/>
    <w:rsid w:val="00710018"/>
    <w:rsid w:val="00720865"/>
    <w:rsid w:val="007421BA"/>
    <w:rsid w:val="00763566"/>
    <w:rsid w:val="007638FD"/>
    <w:rsid w:val="00763B17"/>
    <w:rsid w:val="00765B5F"/>
    <w:rsid w:val="0076644A"/>
    <w:rsid w:val="007755CD"/>
    <w:rsid w:val="00786610"/>
    <w:rsid w:val="007867A9"/>
    <w:rsid w:val="0078713D"/>
    <w:rsid w:val="00791525"/>
    <w:rsid w:val="007A19AA"/>
    <w:rsid w:val="007D3A8B"/>
    <w:rsid w:val="007E2107"/>
    <w:rsid w:val="007E3DA6"/>
    <w:rsid w:val="007F087C"/>
    <w:rsid w:val="008015CA"/>
    <w:rsid w:val="00806ED1"/>
    <w:rsid w:val="00812AD3"/>
    <w:rsid w:val="008134F6"/>
    <w:rsid w:val="0082476D"/>
    <w:rsid w:val="00831100"/>
    <w:rsid w:val="008368EB"/>
    <w:rsid w:val="00840ADB"/>
    <w:rsid w:val="008461D0"/>
    <w:rsid w:val="0085067D"/>
    <w:rsid w:val="00860F43"/>
    <w:rsid w:val="008628FE"/>
    <w:rsid w:val="00867B3B"/>
    <w:rsid w:val="008803F9"/>
    <w:rsid w:val="00890AA8"/>
    <w:rsid w:val="00891C24"/>
    <w:rsid w:val="00896DDA"/>
    <w:rsid w:val="008A0DDD"/>
    <w:rsid w:val="008A13C4"/>
    <w:rsid w:val="008A6BAA"/>
    <w:rsid w:val="008B20DC"/>
    <w:rsid w:val="008C61FB"/>
    <w:rsid w:val="008C6242"/>
    <w:rsid w:val="008E261C"/>
    <w:rsid w:val="008E5BDC"/>
    <w:rsid w:val="008E76B0"/>
    <w:rsid w:val="0090017E"/>
    <w:rsid w:val="00905531"/>
    <w:rsid w:val="00922C28"/>
    <w:rsid w:val="009254E0"/>
    <w:rsid w:val="009302D9"/>
    <w:rsid w:val="00947FFE"/>
    <w:rsid w:val="00977CC4"/>
    <w:rsid w:val="009812E8"/>
    <w:rsid w:val="009956A6"/>
    <w:rsid w:val="009A1E88"/>
    <w:rsid w:val="009A2583"/>
    <w:rsid w:val="009B62D7"/>
    <w:rsid w:val="009C2D88"/>
    <w:rsid w:val="009D1C99"/>
    <w:rsid w:val="009D5156"/>
    <w:rsid w:val="009D6FD9"/>
    <w:rsid w:val="009E323F"/>
    <w:rsid w:val="00A110BC"/>
    <w:rsid w:val="00A15340"/>
    <w:rsid w:val="00A161F3"/>
    <w:rsid w:val="00A2214E"/>
    <w:rsid w:val="00A23F2D"/>
    <w:rsid w:val="00A24140"/>
    <w:rsid w:val="00A37388"/>
    <w:rsid w:val="00A6185A"/>
    <w:rsid w:val="00A6465E"/>
    <w:rsid w:val="00A65C6C"/>
    <w:rsid w:val="00A70B00"/>
    <w:rsid w:val="00A80352"/>
    <w:rsid w:val="00A86586"/>
    <w:rsid w:val="00AA356F"/>
    <w:rsid w:val="00AA5C6C"/>
    <w:rsid w:val="00AB02C3"/>
    <w:rsid w:val="00AB5C22"/>
    <w:rsid w:val="00AC11A5"/>
    <w:rsid w:val="00AC6EE3"/>
    <w:rsid w:val="00AC7A97"/>
    <w:rsid w:val="00AD6346"/>
    <w:rsid w:val="00AD749B"/>
    <w:rsid w:val="00AE4804"/>
    <w:rsid w:val="00AE63E0"/>
    <w:rsid w:val="00AF3DD0"/>
    <w:rsid w:val="00B07677"/>
    <w:rsid w:val="00B103DB"/>
    <w:rsid w:val="00B1459D"/>
    <w:rsid w:val="00B167B6"/>
    <w:rsid w:val="00B25139"/>
    <w:rsid w:val="00B31055"/>
    <w:rsid w:val="00B343F4"/>
    <w:rsid w:val="00B40421"/>
    <w:rsid w:val="00B50B28"/>
    <w:rsid w:val="00B5100F"/>
    <w:rsid w:val="00B6070F"/>
    <w:rsid w:val="00B65ECB"/>
    <w:rsid w:val="00B6686D"/>
    <w:rsid w:val="00B818D0"/>
    <w:rsid w:val="00BA2BA0"/>
    <w:rsid w:val="00BB77B2"/>
    <w:rsid w:val="00BC613D"/>
    <w:rsid w:val="00BD79F1"/>
    <w:rsid w:val="00BE0C8D"/>
    <w:rsid w:val="00BE2CDA"/>
    <w:rsid w:val="00BE3814"/>
    <w:rsid w:val="00BF1E9F"/>
    <w:rsid w:val="00C013BF"/>
    <w:rsid w:val="00C036B6"/>
    <w:rsid w:val="00C03862"/>
    <w:rsid w:val="00C13183"/>
    <w:rsid w:val="00C27FC2"/>
    <w:rsid w:val="00C31FA5"/>
    <w:rsid w:val="00C51506"/>
    <w:rsid w:val="00C5213D"/>
    <w:rsid w:val="00C535C5"/>
    <w:rsid w:val="00C73D91"/>
    <w:rsid w:val="00C740B6"/>
    <w:rsid w:val="00C76315"/>
    <w:rsid w:val="00C77FE1"/>
    <w:rsid w:val="00C90C6D"/>
    <w:rsid w:val="00C919F2"/>
    <w:rsid w:val="00C92701"/>
    <w:rsid w:val="00C959B4"/>
    <w:rsid w:val="00CB474B"/>
    <w:rsid w:val="00CC2135"/>
    <w:rsid w:val="00CC7A43"/>
    <w:rsid w:val="00CD61B8"/>
    <w:rsid w:val="00D10BC5"/>
    <w:rsid w:val="00D12CD7"/>
    <w:rsid w:val="00D15BFB"/>
    <w:rsid w:val="00D2078F"/>
    <w:rsid w:val="00D2450F"/>
    <w:rsid w:val="00D26AFC"/>
    <w:rsid w:val="00D31B14"/>
    <w:rsid w:val="00D42CF0"/>
    <w:rsid w:val="00D43F5A"/>
    <w:rsid w:val="00D56E67"/>
    <w:rsid w:val="00D6026F"/>
    <w:rsid w:val="00D642C3"/>
    <w:rsid w:val="00D659B5"/>
    <w:rsid w:val="00D81D22"/>
    <w:rsid w:val="00D8678E"/>
    <w:rsid w:val="00D879FD"/>
    <w:rsid w:val="00D87CD6"/>
    <w:rsid w:val="00D944AB"/>
    <w:rsid w:val="00DA161C"/>
    <w:rsid w:val="00DA7E8B"/>
    <w:rsid w:val="00DB56A3"/>
    <w:rsid w:val="00DC16BA"/>
    <w:rsid w:val="00DC6D44"/>
    <w:rsid w:val="00DD5352"/>
    <w:rsid w:val="00DE41B2"/>
    <w:rsid w:val="00DE5D91"/>
    <w:rsid w:val="00DF17F9"/>
    <w:rsid w:val="00DF6248"/>
    <w:rsid w:val="00E1110E"/>
    <w:rsid w:val="00E12F8F"/>
    <w:rsid w:val="00E1445D"/>
    <w:rsid w:val="00E20CF8"/>
    <w:rsid w:val="00E228D4"/>
    <w:rsid w:val="00E42F23"/>
    <w:rsid w:val="00E4513E"/>
    <w:rsid w:val="00E60A39"/>
    <w:rsid w:val="00E60B01"/>
    <w:rsid w:val="00E66672"/>
    <w:rsid w:val="00E66C57"/>
    <w:rsid w:val="00E7135D"/>
    <w:rsid w:val="00E741A6"/>
    <w:rsid w:val="00E82EF9"/>
    <w:rsid w:val="00EA3119"/>
    <w:rsid w:val="00EB08B6"/>
    <w:rsid w:val="00EB4E9C"/>
    <w:rsid w:val="00EB63A9"/>
    <w:rsid w:val="00EC2C16"/>
    <w:rsid w:val="00EC5065"/>
    <w:rsid w:val="00EC5544"/>
    <w:rsid w:val="00ED00B5"/>
    <w:rsid w:val="00ED2379"/>
    <w:rsid w:val="00ED5DCE"/>
    <w:rsid w:val="00EE226D"/>
    <w:rsid w:val="00EE5898"/>
    <w:rsid w:val="00EF216C"/>
    <w:rsid w:val="00EF223A"/>
    <w:rsid w:val="00F000DE"/>
    <w:rsid w:val="00F00F9B"/>
    <w:rsid w:val="00F01519"/>
    <w:rsid w:val="00F042E5"/>
    <w:rsid w:val="00F07FD3"/>
    <w:rsid w:val="00F11E3C"/>
    <w:rsid w:val="00F20E77"/>
    <w:rsid w:val="00F22B7E"/>
    <w:rsid w:val="00F27FA9"/>
    <w:rsid w:val="00F30748"/>
    <w:rsid w:val="00F30A68"/>
    <w:rsid w:val="00F350F1"/>
    <w:rsid w:val="00F357E5"/>
    <w:rsid w:val="00F418CE"/>
    <w:rsid w:val="00F4568D"/>
    <w:rsid w:val="00F45E03"/>
    <w:rsid w:val="00F4611E"/>
    <w:rsid w:val="00F70826"/>
    <w:rsid w:val="00FB4065"/>
    <w:rsid w:val="00FC3E2C"/>
    <w:rsid w:val="00FC5AE2"/>
    <w:rsid w:val="00FD0F27"/>
    <w:rsid w:val="00FD1302"/>
    <w:rsid w:val="00FE4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4CE60E"/>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heme="minorHAnsi" w:cstheme="minorBidi" w:eastAsiaTheme="minorHAnsi" w:hAnsiTheme="minorHAnsi"/>
        <w:sz w:val="22"/>
        <w:szCs w:val="22"/>
        <w:lang w:val="en-GB" w:bidi="ar-SA" w:eastAsia="en-US"/>
      </w:rPr>
    </w:rPrDefault>
    <w:pPrDefault>
      <w:pPr>
        <w:spacing w:after="200" w:line="276" w:lineRule="auto"/>
      </w:pPr>
    </w:pPrDefault>
  </w:docDefaults>
  <w:style w:type="paragraph" w:default="1" w:styleId="Normal">
    <w:name w:val="Normal"/>
    <w:uiPriority w:val="99"/>
    <w:qFormat w:val="on"/>
    <w:pPr>
      <w:spacing w:after="0" w:line="240" w:lineRule="auto"/>
    </w:pPr>
    <w:rPr>
      <w:rFonts w:ascii="Times New Roman" w:cs="Times New Roman" w:eastAsia="Times New Roman" w:hAnsi="Times New Roman"/>
      <w:sz w:val="20"/>
      <w:szCs w:val="20"/>
    </w:rPr>
  </w:style>
  <w:style w:type="paragraph" w:styleId="Heading1">
    <w:name w:val="Heading 1"/>
    <w:basedOn w:val="Normal"/>
    <w:next w:val="Normal"/>
    <w:link w:val="Heading1Char"/>
    <w:uiPriority w:val="9"/>
    <w:qFormat w:val="on"/>
    <w:pPr>
      <w:keepNext w:val="on"/>
      <w:keepLines w:val="on"/>
      <w:spacing w:before="480"/>
    </w:pPr>
    <w:rPr>
      <w:rFonts w:asciiTheme="majorHAnsi" w:cstheme="majorBidi" w:eastAsiaTheme="majorEastAsia" w:hAnsiTheme="majorHAnsi"/>
      <w:b/>
      <w:bCs/>
      <w:color w:val="104760" w:themeColor="accent1" w:themeShade="bf"/>
      <w:sz w:val="28"/>
      <w:szCs w:val="28"/>
    </w:rPr>
  </w:style>
  <w:style w:type="paragraph" w:styleId="Heading2">
    <w:name w:val="Heading 2"/>
    <w:basedOn w:val="Normal"/>
    <w:next w:val="Normal"/>
    <w:link w:val="Heading2Char"/>
    <w:uiPriority w:val="9"/>
    <w:unhideWhenUsed w:val="on"/>
    <w:qFormat w:val="on"/>
    <w:pPr>
      <w:keepNext w:val="on"/>
      <w:jc w:val="both"/>
    </w:pPr>
    <w:rPr>
      <w:bCs/>
      <w:i/>
      <w:iCs/>
      <w:sz w:val="24"/>
    </w:rPr>
  </w:style>
  <w:style w:type="paragraph" w:styleId="Heading3">
    <w:name w:val="Heading 3"/>
    <w:basedOn w:val="Normal"/>
    <w:next w:val="Normal"/>
    <w:link w:val="Heading3Char"/>
    <w:uiPriority w:val="9"/>
    <w:unhideWhenUsed w:val="on"/>
    <w:qFormat w:val="on"/>
    <w:pPr>
      <w:keepNext w:val="on"/>
      <w:jc w:val="both"/>
    </w:pPr>
    <w:rPr>
      <w:b/>
      <w:sz w:val="24"/>
    </w:rPr>
  </w:style>
  <w:style w:type="paragraph" w:styleId="Heading4">
    <w:name w:val="Heading 4"/>
    <w:basedOn w:val="Normal"/>
    <w:next w:val="Normal"/>
    <w:link w:val="Heading4Char"/>
    <w:uiPriority w:val="9"/>
    <w:unhideWhenUsed w:val="on"/>
    <w:qFormat w:val="on"/>
    <w:pPr>
      <w:keepNext w:val="on"/>
      <w:jc w:val="center"/>
    </w:pPr>
    <w:rPr>
      <w:rFonts w:ascii="Arial" w:cs="Arial" w:hAnsi="Arial"/>
      <w:b/>
      <w:bCs/>
      <w:sz w:val="40"/>
    </w:rPr>
  </w:style>
  <w:style w:type="paragraph" w:styleId="Heading5">
    <w:name w:val="Heading 5"/>
    <w:basedOn w:val="Normal"/>
    <w:next w:val="Normal"/>
    <w:link w:val="Heading5Char"/>
    <w:uiPriority w:val="9"/>
    <w:semiHidden w:val="on"/>
    <w:unhideWhenUsed w:val="on"/>
    <w:qFormat w:val="on"/>
    <w:pPr>
      <w:keepNext w:val="on"/>
      <w:keepLines w:val="on"/>
      <w:spacing w:before="200"/>
    </w:pPr>
    <w:rPr>
      <w:rFonts w:asciiTheme="majorHAnsi" w:cstheme="majorBidi" w:eastAsiaTheme="majorEastAsia" w:hAnsiTheme="majorHAnsi"/>
      <w:color w:val="0a2f40" w:themeColor="accent1" w:themeShade="7f"/>
    </w:rPr>
  </w:style>
  <w:style w:type="paragraph" w:styleId="Heading6">
    <w:name w:val="Heading 6"/>
    <w:basedOn w:val="Normal"/>
    <w:next w:val="Normal"/>
    <w:link w:val="Heading6Char"/>
    <w:uiPriority w:val="9"/>
    <w:semiHidden w:val="on"/>
    <w:unhideWhenUsed w:val="on"/>
    <w:qFormat w:val="on"/>
    <w:pPr>
      <w:keepNext w:val="on"/>
      <w:keepLines w:val="on"/>
      <w:spacing w:before="200"/>
    </w:pPr>
    <w:rPr>
      <w:rFonts w:asciiTheme="majorHAnsi" w:cstheme="majorBidi" w:eastAsiaTheme="majorEastAsia" w:hAnsiTheme="majorHAnsi"/>
      <w:i/>
      <w:iCs/>
      <w:color w:val="0a2f40" w:themeColor="accent1" w:themeShade="7f"/>
    </w:rPr>
  </w:style>
  <w:style w:type="paragraph" w:styleId="Heading7">
    <w:name w:val="Heading 7"/>
    <w:basedOn w:val="Normal"/>
    <w:next w:val="Normal"/>
    <w:link w:val="Heading7Char"/>
    <w:uiPriority w:val="9"/>
    <w:semiHidden w:val="on"/>
    <w:unhideWhenUsed w:val="on"/>
    <w:qFormat w:val="on"/>
    <w:pPr>
      <w:keepNext w:val="on"/>
      <w:keepLines w:val="on"/>
      <w:spacing w:before="20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pPr>
    <w:rPr>
      <w:rFonts w:asciiTheme="majorHAnsi" w:cstheme="majorBidi" w:eastAsiaTheme="majorEastAsia" w:hAnsiTheme="majorHAnsi"/>
      <w:color w:val="404040" w:themeColor="text1" w:themeTint="bf"/>
    </w:rPr>
  </w:style>
  <w:style w:type="paragraph" w:styleId="Heading9">
    <w:name w:val="Heading 9"/>
    <w:basedOn w:val="Normal"/>
    <w:next w:val="Normal"/>
    <w:link w:val="Heading9Char"/>
    <w:uiPriority w:val="9"/>
    <w:semiHidden w:val="on"/>
    <w:unhideWhenUsed w:val="on"/>
    <w:qFormat w:val="on"/>
    <w:pPr>
      <w:keepNext w:val="on"/>
      <w:keepLines w:val="on"/>
      <w:spacing w:before="200"/>
    </w:pPr>
    <w:rPr>
      <w:rFonts w:asciiTheme="majorHAnsi" w:cstheme="majorBidi" w:eastAsiaTheme="majorEastAsia" w:hAnsiTheme="majorHAnsi"/>
      <w:i/>
      <w:iCs/>
      <w:color w:val="404040" w:themeColor="text1" w:themeTint="bf"/>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104760" w:themeColor="accent1" w:themeShade="bf"/>
      <w:sz w:val="28"/>
      <w:szCs w:val="28"/>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0a2f4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0a2f4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paragraph" w:styleId="Title">
    <w:name w:val="Title"/>
    <w:basedOn w:val="Normal"/>
    <w:next w:val="Normal"/>
    <w:link w:val="TitleChar"/>
    <w:uiPriority w:val="10"/>
    <w:qFormat w:val="on"/>
    <w:pPr>
      <w:pBdr>
        <w:bottom w:val="single" w:color="156082" w:themeColor="accent1" w:sz="8" w:space="4"/>
      </w:pBdr>
      <w:spacing w:after="300"/>
      <w:contextualSpacing w:val="on"/>
    </w:pPr>
    <w:rPr>
      <w:rFonts w:asciiTheme="majorHAnsi" w:cstheme="majorBidi" w:eastAsiaTheme="majorEastAsia" w:hAnsiTheme="majorHAnsi"/>
      <w:color w:val="0a1d30" w:themeColor="text2" w:themeShade="bf"/>
      <w:spacing w:val="5"/>
      <w:sz w:val="52"/>
      <w:szCs w:val="52"/>
    </w:rPr>
  </w:style>
  <w:style w:type="character" w:customStyle="1" w:styleId="TitleChar">
    <w:name w:val="Title Char"/>
    <w:basedOn w:val="DefaultParagraphFont"/>
    <w:link w:val="Title"/>
    <w:uiPriority w:val="10"/>
    <w:rPr>
      <w:rFonts w:asciiTheme="majorHAnsi" w:cstheme="majorBidi" w:eastAsiaTheme="majorEastAsia" w:hAnsiTheme="majorHAnsi"/>
      <w:color w:val="0a1d30" w:themeColor="text2" w:themeShade="bf"/>
      <w:spacing w:val="5"/>
      <w:sz w:val="52"/>
      <w:szCs w:val="52"/>
    </w:rPr>
  </w:style>
  <w:style w:type="paragraph" w:styleId="Subtitle">
    <w:name w:val="Subtitle"/>
    <w:basedOn w:val="Normal"/>
    <w:next w:val="Normal"/>
    <w:link w:val="SubtitleChar"/>
    <w:uiPriority w:val="11"/>
    <w:qFormat w:val="on"/>
    <w:rPr>
      <w:rFonts w:asciiTheme="majorHAnsi" w:cstheme="majorBidi" w:eastAsiaTheme="majorEastAsia" w:hAnsiTheme="majorHAnsi"/>
      <w:i/>
      <w:iCs/>
      <w:color w:val="156082" w:themeColor="accent1"/>
      <w:spacing w:val="15"/>
      <w:sz w:val="24"/>
      <w:szCs w:val="24"/>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156082"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156082"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156082" w:themeColor="accent1" w:sz="4" w:space="4"/>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Pr>
      <w:b/>
      <w:bCs/>
      <w:i/>
      <w:iCs/>
      <w:color w:val="156082" w:themeColor="accent1"/>
    </w:rPr>
  </w:style>
  <w:style w:type="character" w:styleId="SubtleReference">
    <w:name w:val="Subtle Reference"/>
    <w:basedOn w:val="DefaultParagraphFont"/>
    <w:uiPriority w:val="31"/>
    <w:qFormat w:val="on"/>
    <w:rPr>
      <w:smallCaps/>
      <w:color w:val="e97132" w:themeColor="accent2"/>
      <w:u w:val="single"/>
    </w:rPr>
  </w:style>
  <w:style w:type="character" w:styleId="IntenseReference">
    <w:name w:val="Intense Reference"/>
    <w:basedOn w:val="DefaultParagraphFont"/>
    <w:uiPriority w:val="32"/>
    <w:qFormat w:val="on"/>
    <w:rPr>
      <w:b/>
      <w:bCs/>
      <w:smallCaps/>
      <w:color w:val="e97132" w:themeColor="accent2"/>
      <w:spacing w:val="5"/>
      <w:u w:val="single"/>
    </w:rPr>
  </w:style>
  <w:style w:type="character" w:styleId="BookTitle">
    <w:name w:val="Book Title"/>
    <w:basedOn w:val="DefaultParagraphFont"/>
    <w:uiPriority w:val="33"/>
    <w:qFormat w:val="on"/>
    <w:rPr>
      <w:b/>
      <w:bCs/>
      <w:smallCaps/>
      <w:spacing w:val="5"/>
    </w:rPr>
  </w:style>
  <w:style w:type="paragraph" w:styleId="Footnotetext">
    <w:name w:val="Footnote text"/>
    <w:basedOn w:val="Normal"/>
    <w:link w:val="FootnoteTextChar"/>
    <w:uiPriority w:val="99"/>
    <w:semiHidden w:val="on"/>
    <w:unhideWhenUsed w:val="on"/>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Caption">
    <w:name w:val="Caption"/>
    <w:basedOn w:val="Normal"/>
    <w:next w:val="Normal"/>
    <w:uiPriority w:val="35"/>
    <w:unhideWhenUsed w:val="on"/>
    <w:qFormat w:val="on"/>
    <w:pPr>
      <w:spacing w:after="200"/>
    </w:pPr>
    <w:rPr>
      <w:i/>
      <w:iCs/>
      <w:color w:val="0e2841" w:themeColor="text2"/>
      <w:sz w:val="18"/>
      <w:szCs w:val="18"/>
    </w:rPr>
  </w:style>
  <w:style w:type="character" w:customStyle="1" w:styleId="Heading2Char">
    <w:name w:val="Heading 2 Char"/>
    <w:basedOn w:val="DefaultParagraphFont"/>
    <w:link w:val="Heading2"/>
    <w:uiPriority w:val="99"/>
    <w:rPr>
      <w:rFonts w:ascii="Times New Roman" w:cs="Times New Roman" w:eastAsia="Times New Roman" w:hAnsi="Times New Roman"/>
      <w:bCs/>
      <w:i/>
      <w:iCs/>
      <w:sz w:val="24"/>
      <w:szCs w:val="20"/>
    </w:rPr>
  </w:style>
  <w:style w:type="character" w:customStyle="1" w:styleId="Heading3Char">
    <w:name w:val="Heading 3 Char"/>
    <w:basedOn w:val="DefaultParagraphFont"/>
    <w:link w:val="Heading3"/>
    <w:uiPriority w:val="99"/>
    <w:rPr>
      <w:rFonts w:ascii="Times New Roman" w:cs="Times New Roman" w:eastAsia="Times New Roman" w:hAnsi="Times New Roman"/>
      <w:b/>
      <w:sz w:val="24"/>
      <w:szCs w:val="20"/>
    </w:rPr>
  </w:style>
  <w:style w:type="character" w:customStyle="1" w:styleId="Heading4Char">
    <w:name w:val="Heading 4 Char"/>
    <w:basedOn w:val="DefaultParagraphFont"/>
    <w:link w:val="Heading4"/>
    <w:uiPriority w:val="99"/>
    <w:rPr>
      <w:rFonts w:ascii="Arial" w:cs="Arial" w:eastAsia="Times New Roman" w:hAnsi="Arial"/>
      <w:b/>
      <w:bCs/>
      <w:sz w:val="40"/>
      <w:szCs w:val="20"/>
    </w:rPr>
  </w:style>
  <w:style w:type="paragraph" w:styleId="Header">
    <w:name w:val="Header"/>
    <w:basedOn w:val="Normal"/>
    <w:link w:val="HeaderChar"/>
    <w:uiPriority w:val="99"/>
    <w:pPr>
      <w:tabs>
        <w:tab w:val="center" w:pos="4320"/>
        <w:tab w:val="right" w:pos="8640"/>
      </w:tabs>
    </w:pPr>
    <w:rPr>
      <w:rFonts w:ascii="Bookman Old Style" w:hAnsi="Bookman Old Style"/>
      <w:sz w:val="24"/>
      <w:lang w:val="en-US"/>
    </w:rPr>
  </w:style>
  <w:style w:type="character" w:customStyle="1" w:styleId="HeaderChar">
    <w:name w:val="Header Char"/>
    <w:basedOn w:val="DefaultParagraphFont"/>
    <w:link w:val="Header"/>
    <w:uiPriority w:val="99"/>
    <w:rPr>
      <w:rFonts w:ascii="Bookman Old Style" w:cs="Times New Roman" w:eastAsia="Times New Roman" w:hAnsi="Bookman Old Style"/>
      <w:sz w:val="24"/>
      <w:szCs w:val="20"/>
      <w:lang w:val="en-US"/>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basedOn w:val="DefaultParagraphFont"/>
    <w:link w:val="Footer"/>
    <w:uiPriority w:val="99"/>
    <w:rPr>
      <w:rFonts w:ascii="Times New Roman" w:cs="Times New Roman" w:eastAsia="Times New Roman" w:hAnsi="Times New Roman"/>
      <w:sz w:val="20"/>
      <w:szCs w:val="20"/>
    </w:rPr>
  </w:style>
  <w:style w:type="character" w:styleId="Pagenumber">
    <w:name w:val="Page number"/>
    <w:basedOn w:val="DefaultParagraphFont"/>
    <w:uiPriority w:val="99"/>
  </w:style>
  <w:style w:type="paragraph" w:styleId="BodyText">
    <w:name w:val="Body Text"/>
    <w:basedOn w:val="Normal"/>
    <w:link w:val="BodyTextChar"/>
    <w:uiPriority w:val="99"/>
    <w:rPr>
      <w:b/>
      <w:sz w:val="24"/>
    </w:rPr>
  </w:style>
  <w:style w:type="character" w:customStyle="1" w:styleId="BodyTextChar">
    <w:name w:val="Body Text Char"/>
    <w:basedOn w:val="DefaultParagraphFont"/>
    <w:link w:val="BodyText"/>
    <w:uiPriority w:val="99"/>
    <w:rPr>
      <w:rFonts w:ascii="Times New Roman" w:cs="Times New Roman" w:eastAsia="Times New Roman" w:hAnsi="Times New Roman"/>
      <w:b/>
      <w:sz w:val="24"/>
      <w:szCs w:val="20"/>
    </w:rPr>
  </w:style>
  <w:style w:type="paragraph" w:styleId="BodyText3">
    <w:name w:val="Body Text 3"/>
    <w:basedOn w:val="Normal"/>
    <w:link w:val="BodyText3Char"/>
    <w:uiPriority w:val="99"/>
    <w:pPr>
      <w:jc w:val="both"/>
    </w:pPr>
    <w:rPr>
      <w:i/>
      <w:iCs/>
      <w:sz w:val="24"/>
    </w:rPr>
  </w:style>
  <w:style w:type="character" w:customStyle="1" w:styleId="BodyText3Char">
    <w:name w:val="Body Text 3 Char"/>
    <w:basedOn w:val="DefaultParagraphFont"/>
    <w:link w:val="BodyText3"/>
    <w:uiPriority w:val="99"/>
    <w:rPr>
      <w:rFonts w:ascii="Times New Roman" w:cs="Times New Roman" w:eastAsia="Times New Roman" w:hAnsi="Times New Roman"/>
      <w:i/>
      <w:iCs/>
      <w:sz w:val="24"/>
      <w:szCs w:val="20"/>
    </w:rPr>
  </w:style>
  <w:style w:type="character" w:styleId="Hyperlink">
    <w:name w:val="Hyperlink"/>
    <w:basedOn w:val="DefaultParagraphFont"/>
    <w:uiPriority w:val="99"/>
    <w:unhideWhenUsed w:val="on"/>
    <w:rPr>
      <w:color w:val="467886" w:themeColor="hyperlink"/>
      <w:u w:val="single"/>
    </w:rPr>
  </w:style>
  <w:style w:type="paragraph" w:styleId="ListParagraph">
    <w:name w:val="List Paragraph"/>
    <w:basedOn w:val="Normal"/>
    <w:uiPriority w:val="34"/>
    <w:qFormat w:val="on"/>
    <w:pPr>
      <w:ind w:left="720"/>
      <w:contextualSpacing w:val="on"/>
    </w:pPr>
  </w:style>
  <w:style w:type="table" w:styleId="TableGrid">
    <w:name w:val="Table Grid"/>
    <w:basedOn w:val="NormalTable"/>
    <w:uiPriority w:val="59"/>
    <w:unhideWhenUsed w:val="on"/>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587864">
      <w:bodyDiv w:val="1"/>
      <w:marLeft w:val="0"/>
      <w:marRight w:val="0"/>
      <w:marTop w:val="0"/>
      <w:marBottom w:val="0"/>
      <w:divBdr>
        <w:top w:val="none" w:sz="0" w:space="0" w:color="auto"/>
        <w:left w:val="none" w:sz="0" w:space="0" w:color="auto"/>
        <w:bottom w:val="none" w:sz="0" w:space="0" w:color="auto"/>
        <w:right w:val="none" w:sz="0" w:space="0" w:color="auto"/>
      </w:divBdr>
    </w:div>
    <w:div w:id="978413365">
      <w:bodyDiv w:val="1"/>
      <w:marLeft w:val="0"/>
      <w:marRight w:val="0"/>
      <w:marTop w:val="0"/>
      <w:marBottom w:val="0"/>
      <w:divBdr>
        <w:top w:val="none" w:sz="0" w:space="0" w:color="auto"/>
        <w:left w:val="none" w:sz="0" w:space="0" w:color="auto"/>
        <w:bottom w:val="none" w:sz="0" w:space="0" w:color="auto"/>
        <w:right w:val="none" w:sz="0" w:space="0" w:color="auto"/>
      </w:divBdr>
    </w:div>
    <w:div w:id="1145776322">
      <w:bodyDiv w:val="1"/>
      <w:marLeft w:val="0"/>
      <w:marRight w:val="0"/>
      <w:marTop w:val="0"/>
      <w:marBottom w:val="0"/>
      <w:divBdr>
        <w:top w:val="none" w:sz="0" w:space="0" w:color="auto"/>
        <w:left w:val="none" w:sz="0" w:space="0" w:color="auto"/>
        <w:bottom w:val="none" w:sz="0" w:space="0" w:color="auto"/>
        <w:right w:val="none" w:sz="0" w:space="0" w:color="auto"/>
      </w:divBdr>
    </w:div>
    <w:div w:id="1165170993">
      <w:bodyDiv w:val="1"/>
      <w:marLeft w:val="0"/>
      <w:marRight w:val="0"/>
      <w:marTop w:val="0"/>
      <w:marBottom w:val="0"/>
      <w:divBdr>
        <w:top w:val="none" w:sz="0" w:space="0" w:color="auto"/>
        <w:left w:val="none" w:sz="0" w:space="0" w:color="auto"/>
        <w:bottom w:val="none" w:sz="0" w:space="0" w:color="auto"/>
        <w:right w:val="none" w:sz="0" w:space="0" w:color="auto"/>
      </w:divBdr>
      <w:divsChild>
        <w:div w:id="2090498759">
          <w:marLeft w:val="0"/>
          <w:marRight w:val="0"/>
          <w:marTop w:val="0"/>
          <w:marBottom w:val="0"/>
          <w:divBdr>
            <w:top w:val="none" w:sz="0" w:space="0" w:color="auto"/>
            <w:left w:val="none" w:sz="0" w:space="0" w:color="auto"/>
            <w:bottom w:val="none" w:sz="0" w:space="0" w:color="auto"/>
            <w:right w:val="none" w:sz="0" w:space="0" w:color="auto"/>
          </w:divBdr>
        </w:div>
      </w:divsChild>
    </w:div>
    <w:div w:id="203491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3" Type="http://schemas.openxmlformats.org/officeDocument/2006/relationships/styles" Target="styles.xml"/><Relationship Id="rId36" Type="http://schemas.openxmlformats.org/officeDocument/2006/relationships/fontTable" Target="fontTable.xml"/><Relationship Id="rId37" Type="http://schemas.openxmlformats.org/officeDocument/2006/relationships/theme" Target="theme/theme1.xml"/><Relationship Id="rId38" Type="http://schemas.openxmlformats.org/officeDocument/2006/relationships/image" Target="media/image2.jpeg"/><Relationship Id="rId39" Type="http://schemas.openxmlformats.org/officeDocument/2006/relationships/image" Target="media/image3.png"/><Relationship Id="rId4" Type="http://schemas.openxmlformats.org/officeDocument/2006/relationships/settings" Target="settings.xml"/><Relationship Id="rId40" Type="http://schemas.openxmlformats.org/officeDocument/2006/relationships/image" Target="media/image5.png"/><Relationship Id="rId41" Type="http://schemas.openxmlformats.org/officeDocument/2006/relationships/image" Target="media/image7.png"/><Relationship Id="rId42" Type="http://schemas.openxmlformats.org/officeDocument/2006/relationships/image" Target="media/image9.png"/><Relationship Id="rId43" Type="http://schemas.openxmlformats.org/officeDocument/2006/relationships/image" Target="media/image11.png"/><Relationship Id="rId44" Type="http://schemas.openxmlformats.org/officeDocument/2006/relationships/image" Target="media/image13.png"/><Relationship Id="rId45" Type="http://schemas.openxmlformats.org/officeDocument/2006/relationships/image" Target="media/image15.png"/><Relationship Id="rId46" Type="http://schemas.openxmlformats.org/officeDocument/2006/relationships/image" Target="media/image17.png"/><Relationship Id="rId47" Type="http://schemas.openxmlformats.org/officeDocument/2006/relationships/image" Target="media/image19.png"/><Relationship Id="rId48" Type="http://schemas.openxmlformats.org/officeDocument/2006/relationships/image" Target="media/image21.png"/><Relationship Id="rId49" Type="http://schemas.openxmlformats.org/officeDocument/2006/relationships/image" Target="media/image23.png"/><Relationship Id="rId50" Type="http://schemas.openxmlformats.org/officeDocument/2006/relationships/image" Target="media/image25.png"/><Relationship Id="rId51" Type="http://schemas.openxmlformats.org/officeDocument/2006/relationships/footer" Target="footer1.xml"/><Relationship Id="rId52" Type="http://schemas.openxmlformats.org/officeDocument/2006/relationships/footer" Target="footer2.xml"/><Relationship Id="rId53" Type="http://schemas.openxmlformats.org/officeDocument/2006/relationships/footer" Target="footer3.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image" Target="media/image3.svg"/><Relationship Id="rId12" Type="http://schemas.openxmlformats.org/officeDocument/2006/relationships/image" Target="media/image5.svg"/><Relationship Id="rId14" Type="http://schemas.openxmlformats.org/officeDocument/2006/relationships/image" Target="media/image7.svg"/><Relationship Id="rId16" Type="http://schemas.openxmlformats.org/officeDocument/2006/relationships/image" Target="media/image9.svg"/><Relationship Id="rId18" Type="http://schemas.openxmlformats.org/officeDocument/2006/relationships/image" Target="media/image11.svg"/><Relationship Id="rId20" Type="http://schemas.openxmlformats.org/officeDocument/2006/relationships/image" Target="media/image13.svg"/><Relationship Id="rId22" Type="http://schemas.openxmlformats.org/officeDocument/2006/relationships/image" Target="media/image15.svg"/><Relationship Id="rId24" Type="http://schemas.openxmlformats.org/officeDocument/2006/relationships/image" Target="media/image17.svg"/><Relationship Id="rId26" Type="http://schemas.openxmlformats.org/officeDocument/2006/relationships/image" Target="media/image19.svg"/><Relationship Id="rId28" Type="http://schemas.openxmlformats.org/officeDocument/2006/relationships/image" Target="media/image21.svg"/><Relationship Id="rId30" Type="http://schemas.openxmlformats.org/officeDocument/2006/relationships/image" Target="media/image23.svg"/><Relationship Id="rId32" Type="http://schemas.openxmlformats.org/officeDocument/2006/relationships/image" Target="media/image25.sv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er3.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Aptos" panose="0211000402020202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明朝"/>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41AA4-8C34-4F6A-B812-82C89947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3785</Words>
  <Characters>21580</Characters>
  <Application>Microsoft Office Word</Application>
  <DocSecurity>0</DocSecurity>
  <Lines>179</Lines>
  <Paragraphs>50</Paragraphs>
  <ScaleCrop>false</ScaleCrop>
  <Company/>
  <LinksUpToDate>false</LinksUpToDate>
  <CharactersWithSpaces>25315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 Pitirici</dc:creator>
  <cp:lastModifiedBy>Vasile Pitirici</cp:lastModifiedB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2024-06-01T10:39:50Z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94f64e83-e042-4814-96f3-471d5fbe69d1</vt:lpwstr>
  </property>
  <property fmtid="{D5CDD505-2E9C-101B-9397-08002B2CF9AE}" pid="8" name="MSIP_Label_defa4170-0d19-0005-0004-bc88714345d2_ContentBits">
    <vt:lpwstr>0</vt:lpwstr>
  </property>
</Properties>
</file>