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62988F0A" w:rsidP="76D6C722" w:rsidRDefault="62988F0A" w14:paraId="5D8BDFB0" w14:textId="66DAAE8F"/>
    <w:p w:rsidR="62988F0A" w:rsidP="76D6C722" w:rsidRDefault="62988F0A" w14:paraId="19AF65B5" w14:textId="10E90910"/>
    <w:p w:rsidR="62988F0A" w:rsidP="76D6C722" w:rsidRDefault="62988F0A" w14:paraId="4FE570B5" w14:textId="59A2E378"/>
    <w:p w:rsidR="62988F0A" w:rsidP="21628FAE" w:rsidRDefault="61E5D4AC" w14:paraId="55439381" w14:textId="05826EE2">
      <w:pPr>
        <w:rPr>
          <w:rFonts w:ascii="Calibri" w:hAnsi="Calibri" w:eastAsia="Calibri" w:cs="Calibri"/>
          <w:color w:val="000000" w:themeColor="text1"/>
        </w:rPr>
      </w:pPr>
      <w:r>
        <w:rPr>
          <w:noProof/>
        </w:rPr>
        <w:drawing>
          <wp:inline distT="0" distB="0" distL="0" distR="0" wp14:anchorId="01B85AD2" wp14:editId="1EF9E633">
            <wp:extent cx="1790700" cy="714375"/>
            <wp:effectExtent l="0" t="0" r="0" b="0"/>
            <wp:docPr id="192713475" name="Obraz 192713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extLst>
                        <a:ext uri="{28A0092B-C50C-407E-A947-70E740481C1C}">
                          <a14:useLocalDpi xmlns:a14="http://schemas.microsoft.com/office/drawing/2010/main" val="0"/>
                        </a:ext>
                      </a:extLst>
                    </a:blip>
                    <a:stretch>
                      <a:fillRect/>
                    </a:stretch>
                  </pic:blipFill>
                  <pic:spPr>
                    <a:xfrm>
                      <a:off x="0" y="0"/>
                      <a:ext cx="1790700" cy="714375"/>
                    </a:xfrm>
                    <a:prstGeom prst="rect">
                      <a:avLst/>
                    </a:prstGeom>
                  </pic:spPr>
                </pic:pic>
              </a:graphicData>
            </a:graphic>
          </wp:inline>
        </w:drawing>
      </w:r>
    </w:p>
    <w:p w:rsidR="62988F0A" w:rsidP="21628FAE" w:rsidRDefault="62988F0A" w14:paraId="7EAA781F" w14:textId="019467B7">
      <w:pPr>
        <w:rPr>
          <w:rFonts w:ascii="Calibri" w:hAnsi="Calibri" w:eastAsia="Calibri" w:cs="Calibri"/>
          <w:color w:val="000000" w:themeColor="text1"/>
        </w:rPr>
      </w:pPr>
    </w:p>
    <w:p w:rsidR="62988F0A" w:rsidP="21628FAE" w:rsidRDefault="62988F0A" w14:paraId="0F4B3181" w14:textId="332F1D9F">
      <w:pPr>
        <w:rPr>
          <w:rFonts w:ascii="Calibri" w:hAnsi="Calibri" w:eastAsia="Calibri" w:cs="Calibri"/>
          <w:color w:val="000000" w:themeColor="text1"/>
        </w:rPr>
      </w:pPr>
    </w:p>
    <w:p w:rsidR="62988F0A" w:rsidP="21628FAE" w:rsidRDefault="61E5D4AC" w14:paraId="69276506" w14:textId="43FEE26A">
      <w:pPr>
        <w:rPr>
          <w:rFonts w:ascii="Grandview Display" w:hAnsi="Grandview Display" w:eastAsia="Grandview Display" w:cs="Grandview Display"/>
          <w:color w:val="0070C0"/>
          <w:sz w:val="115"/>
          <w:szCs w:val="115"/>
        </w:rPr>
      </w:pPr>
      <w:r w:rsidRPr="21628FAE">
        <w:rPr>
          <w:rFonts w:ascii="Grandview Display" w:hAnsi="Grandview Display" w:eastAsia="Grandview Display" w:cs="Grandview Display"/>
          <w:b/>
          <w:bCs/>
          <w:i/>
          <w:iCs/>
          <w:color w:val="0070C0"/>
          <w:sz w:val="144"/>
          <w:szCs w:val="144"/>
          <w:vertAlign w:val="subscript"/>
        </w:rPr>
        <w:t>Criminal Courts</w:t>
      </w:r>
    </w:p>
    <w:p w:rsidR="62988F0A" w:rsidP="21628FAE" w:rsidRDefault="62988F0A" w14:paraId="59C043A8" w14:textId="7521F5F8">
      <w:pPr>
        <w:ind w:left="1440"/>
        <w:rPr>
          <w:rFonts w:ascii="Grandview Display" w:hAnsi="Grandview Display" w:eastAsia="Grandview Display" w:cs="Grandview Display"/>
          <w:color w:val="0070C0"/>
          <w:sz w:val="64"/>
          <w:szCs w:val="64"/>
        </w:rPr>
      </w:pPr>
    </w:p>
    <w:p w:rsidR="62988F0A" w:rsidP="21628FAE" w:rsidRDefault="62988F0A" w14:paraId="726BB056" w14:textId="039A0810">
      <w:pPr>
        <w:ind w:left="1440"/>
        <w:rPr>
          <w:rFonts w:ascii="Grandview Display" w:hAnsi="Grandview Display" w:eastAsia="Grandview Display" w:cs="Grandview Display"/>
          <w:color w:val="0070C0"/>
          <w:sz w:val="64"/>
          <w:szCs w:val="64"/>
        </w:rPr>
      </w:pPr>
    </w:p>
    <w:p w:rsidR="62988F0A" w:rsidP="21628FAE" w:rsidRDefault="62988F0A" w14:paraId="2BD154FB" w14:textId="6E9BCC2B">
      <w:pPr>
        <w:ind w:left="1440"/>
        <w:rPr>
          <w:rFonts w:ascii="Grandview Display" w:hAnsi="Grandview Display" w:eastAsia="Grandview Display" w:cs="Grandview Display"/>
          <w:color w:val="0070C0"/>
          <w:sz w:val="64"/>
          <w:szCs w:val="64"/>
        </w:rPr>
      </w:pPr>
    </w:p>
    <w:p w:rsidR="62988F0A" w:rsidP="21628FAE" w:rsidRDefault="62988F0A" w14:paraId="3F26FCC5" w14:textId="49D1A81A">
      <w:pPr>
        <w:ind w:left="1440"/>
        <w:rPr>
          <w:rFonts w:ascii="Grandview Display" w:hAnsi="Grandview Display" w:eastAsia="Grandview Display" w:cs="Grandview Display"/>
          <w:color w:val="0070C0"/>
          <w:sz w:val="64"/>
          <w:szCs w:val="64"/>
        </w:rPr>
      </w:pPr>
    </w:p>
    <w:p w:rsidR="62988F0A" w:rsidP="21628FAE" w:rsidRDefault="62988F0A" w14:paraId="25E316D0" w14:textId="13C9E78E">
      <w:pPr>
        <w:ind w:left="1440"/>
        <w:rPr>
          <w:rFonts w:ascii="Grandview Display" w:hAnsi="Grandview Display" w:eastAsia="Grandview Display" w:cs="Grandview Display"/>
          <w:color w:val="0070C0"/>
          <w:sz w:val="64"/>
          <w:szCs w:val="64"/>
        </w:rPr>
      </w:pPr>
    </w:p>
    <w:p w:rsidR="62988F0A" w:rsidP="21628FAE" w:rsidRDefault="62988F0A" w14:paraId="238AFCFB" w14:textId="73945277">
      <w:pPr>
        <w:ind w:left="1440"/>
        <w:rPr>
          <w:rFonts w:ascii="Grandview Display" w:hAnsi="Grandview Display" w:eastAsia="Grandview Display" w:cs="Grandview Display"/>
          <w:color w:val="0070C0"/>
          <w:sz w:val="64"/>
          <w:szCs w:val="64"/>
        </w:rPr>
      </w:pPr>
    </w:p>
    <w:p w:rsidR="62988F0A" w:rsidP="21628FAE" w:rsidRDefault="61E5D4AC" w14:paraId="00DBD1AC" w14:textId="5F777C61">
      <w:pPr>
        <w:spacing w:line="240" w:lineRule="exact"/>
        <w:rPr>
          <w:rFonts w:ascii="Bahnschrift" w:hAnsi="Bahnschrift" w:eastAsia="Bahnschrift" w:cs="Bahnschrift"/>
          <w:color w:val="000000" w:themeColor="text1"/>
        </w:rPr>
      </w:pPr>
      <w:r w:rsidRPr="21628FAE">
        <w:rPr>
          <w:rFonts w:ascii="Bahnschrift" w:hAnsi="Bahnschrift" w:eastAsia="Bahnschrift" w:cs="Bahnschrift"/>
          <w:caps/>
          <w:color w:val="0070C0"/>
          <w:sz w:val="28"/>
          <w:szCs w:val="28"/>
          <w:vertAlign w:val="subscript"/>
          <w:lang w:val="en-US"/>
        </w:rPr>
        <w:t>STUDENT NAME</w:t>
      </w:r>
      <w:r w:rsidRPr="21628FAE">
        <w:rPr>
          <w:rFonts w:ascii="Bahnschrift" w:hAnsi="Bahnschrift" w:eastAsia="Bahnschrift" w:cs="Bahnschrift"/>
          <w:caps/>
          <w:color w:val="000000" w:themeColor="text1"/>
          <w:sz w:val="28"/>
          <w:szCs w:val="28"/>
          <w:vertAlign w:val="subscript"/>
          <w:lang w:val="en-US"/>
        </w:rPr>
        <w:t>: NATALIA MARIA KONCIAK</w:t>
      </w:r>
    </w:p>
    <w:p w:rsidR="62988F0A" w:rsidP="21628FAE" w:rsidRDefault="61E5D4AC" w14:paraId="19FF1DC2" w14:textId="421AD0A1">
      <w:pPr>
        <w:spacing w:line="240" w:lineRule="exact"/>
        <w:rPr>
          <w:rFonts w:ascii="Bahnschrift" w:hAnsi="Bahnschrift" w:eastAsia="Bahnschrift" w:cs="Bahnschrift"/>
          <w:color w:val="000000" w:themeColor="text1"/>
        </w:rPr>
      </w:pPr>
      <w:r w:rsidRPr="21628FAE">
        <w:rPr>
          <w:rFonts w:ascii="Bahnschrift" w:hAnsi="Bahnschrift" w:eastAsia="Bahnschrift" w:cs="Bahnschrift"/>
          <w:caps/>
          <w:color w:val="0070C0"/>
          <w:sz w:val="28"/>
          <w:szCs w:val="28"/>
          <w:vertAlign w:val="subscript"/>
          <w:lang w:val="en-US"/>
        </w:rPr>
        <w:t>STUDENT ID NUMBER</w:t>
      </w:r>
      <w:r w:rsidRPr="21628FAE">
        <w:rPr>
          <w:rFonts w:ascii="Bahnschrift" w:hAnsi="Bahnschrift" w:eastAsia="Bahnschrift" w:cs="Bahnschrift"/>
          <w:caps/>
          <w:color w:val="000000" w:themeColor="text1"/>
          <w:sz w:val="28"/>
          <w:szCs w:val="28"/>
          <w:vertAlign w:val="subscript"/>
          <w:lang w:val="en-US"/>
        </w:rPr>
        <w:t>: 2238990</w:t>
      </w:r>
    </w:p>
    <w:p w:rsidR="62988F0A" w:rsidP="21628FAE" w:rsidRDefault="61E5D4AC" w14:paraId="148D5EA8" w14:textId="6E70A02E">
      <w:pPr>
        <w:spacing w:line="240" w:lineRule="exact"/>
        <w:rPr>
          <w:rFonts w:ascii="Bahnschrift" w:hAnsi="Bahnschrift" w:eastAsia="Bahnschrift" w:cs="Bahnschrift"/>
          <w:color w:val="000000" w:themeColor="text1"/>
        </w:rPr>
      </w:pPr>
      <w:r w:rsidRPr="21628FAE">
        <w:rPr>
          <w:rFonts w:ascii="Bahnschrift" w:hAnsi="Bahnschrift" w:eastAsia="Bahnschrift" w:cs="Bahnschrift"/>
          <w:caps/>
          <w:color w:val="0070C0"/>
          <w:sz w:val="28"/>
          <w:szCs w:val="28"/>
          <w:vertAlign w:val="subscript"/>
          <w:lang w:val="en-US"/>
        </w:rPr>
        <w:t>MODULE</w:t>
      </w:r>
      <w:r w:rsidRPr="21628FAE">
        <w:rPr>
          <w:rFonts w:ascii="Bahnschrift" w:hAnsi="Bahnschrift" w:eastAsia="Bahnschrift" w:cs="Bahnschrift"/>
          <w:caps/>
          <w:color w:val="000000" w:themeColor="text1"/>
          <w:sz w:val="28"/>
          <w:szCs w:val="28"/>
          <w:vertAlign w:val="subscript"/>
          <w:lang w:val="en-US"/>
        </w:rPr>
        <w:t>: LEGAL PROCESS</w:t>
      </w:r>
    </w:p>
    <w:p w:rsidR="62988F0A" w:rsidP="21628FAE" w:rsidRDefault="61E5D4AC" w14:paraId="1C33EE3C" w14:textId="52A2EB00">
      <w:pPr>
        <w:spacing w:line="240" w:lineRule="exact"/>
        <w:rPr>
          <w:rFonts w:ascii="Bahnschrift" w:hAnsi="Bahnschrift" w:eastAsia="Bahnschrift" w:cs="Bahnschrift"/>
          <w:color w:val="000000" w:themeColor="text1"/>
        </w:rPr>
      </w:pPr>
      <w:r w:rsidRPr="21628FAE">
        <w:rPr>
          <w:rFonts w:ascii="Bahnschrift" w:hAnsi="Bahnschrift" w:eastAsia="Bahnschrift" w:cs="Bahnschrift"/>
          <w:caps/>
          <w:color w:val="4472C4" w:themeColor="accent1"/>
          <w:sz w:val="28"/>
          <w:szCs w:val="28"/>
          <w:vertAlign w:val="subscript"/>
          <w:lang w:val="en-US"/>
        </w:rPr>
        <w:t>MODULE CODE</w:t>
      </w:r>
      <w:r w:rsidRPr="21628FAE">
        <w:rPr>
          <w:rFonts w:ascii="Bahnschrift" w:hAnsi="Bahnschrift" w:eastAsia="Bahnschrift" w:cs="Bahnschrift"/>
          <w:caps/>
          <w:color w:val="000000" w:themeColor="text1"/>
          <w:sz w:val="28"/>
          <w:szCs w:val="28"/>
          <w:vertAlign w:val="subscript"/>
          <w:lang w:val="en-US"/>
        </w:rPr>
        <w:t>- BMPL4011</w:t>
      </w:r>
    </w:p>
    <w:p w:rsidR="62988F0A" w:rsidP="21628FAE" w:rsidRDefault="62988F0A" w14:paraId="79249D87" w14:textId="5317A404">
      <w:pPr>
        <w:rPr>
          <w:rFonts w:ascii="Calibri" w:hAnsi="Calibri" w:eastAsia="Calibri" w:cs="Calibri"/>
          <w:color w:val="000000" w:themeColor="text1"/>
        </w:rPr>
      </w:pPr>
    </w:p>
    <w:p w:rsidR="62988F0A" w:rsidP="21628FAE" w:rsidRDefault="62988F0A" w14:paraId="479B63CD" w14:textId="28206CF8">
      <w:pPr>
        <w:rPr>
          <w:rFonts w:ascii="Calibri" w:hAnsi="Calibri" w:eastAsia="Calibri" w:cs="Calibri"/>
          <w:color w:val="000000" w:themeColor="text1"/>
        </w:rPr>
      </w:pPr>
    </w:p>
    <w:p w:rsidR="62988F0A" w:rsidP="21628FAE" w:rsidRDefault="62988F0A" w14:paraId="1DA7B57F" w14:textId="068B7A06">
      <w:pPr>
        <w:rPr>
          <w:rFonts w:ascii="Calibri" w:hAnsi="Calibri" w:eastAsia="Calibri" w:cs="Calibri"/>
          <w:color w:val="000000" w:themeColor="text1"/>
        </w:rPr>
      </w:pPr>
    </w:p>
    <w:p w:rsidR="62988F0A" w:rsidP="21628FAE" w:rsidRDefault="62988F0A" w14:paraId="141B05B7" w14:textId="36434D7A">
      <w:pPr>
        <w:rPr>
          <w:rFonts w:eastAsiaTheme="minorEastAsia"/>
          <w:sz w:val="28"/>
          <w:szCs w:val="28"/>
        </w:rPr>
      </w:pPr>
      <w:r w:rsidRPr="21628FAE">
        <w:rPr>
          <w:rFonts w:eastAsiaTheme="minorEastAsia"/>
          <w:sz w:val="28"/>
          <w:szCs w:val="28"/>
        </w:rPr>
        <w:t xml:space="preserve">Introduction  </w:t>
      </w:r>
    </w:p>
    <w:p w:rsidR="62988F0A" w:rsidP="21628FAE" w:rsidRDefault="62988F0A" w14:paraId="2262E382" w14:textId="456CB8D6">
      <w:pPr>
        <w:rPr>
          <w:rFonts w:eastAsiaTheme="minorEastAsia"/>
          <w:sz w:val="28"/>
          <w:szCs w:val="28"/>
        </w:rPr>
      </w:pPr>
      <w:r w:rsidRPr="21628FAE">
        <w:rPr>
          <w:rFonts w:eastAsiaTheme="minorEastAsia"/>
          <w:sz w:val="28"/>
          <w:szCs w:val="28"/>
        </w:rPr>
        <w:t xml:space="preserve"> </w:t>
      </w:r>
    </w:p>
    <w:p w:rsidR="009C42DD" w:rsidP="21628FAE" w:rsidRDefault="62988F0A" w14:paraId="4590BD85" w14:textId="77777777">
      <w:pPr>
        <w:rPr>
          <w:rFonts w:eastAsiaTheme="minorEastAsia"/>
          <w:sz w:val="28"/>
          <w:szCs w:val="28"/>
        </w:rPr>
      </w:pPr>
      <w:r w:rsidRPr="21628FAE">
        <w:rPr>
          <w:rFonts w:eastAsiaTheme="minorEastAsia"/>
          <w:sz w:val="28"/>
          <w:szCs w:val="28"/>
        </w:rPr>
        <w:t xml:space="preserve">The criminal justice system of England and Wales is founded upon the principles of common law, a method of law primarily derived from judicial precedent rather than legislative enactments. This implies that, typically, legislative authority does not reside solely with Parliament but is also exercised by magistrates who consider and enforce legal statutes.  The process of law serves as a mechanism for resolving disagreements and conflicts among individuals or collectives.   </w:t>
      </w:r>
    </w:p>
    <w:p w:rsidR="62988F0A" w:rsidP="21628FAE" w:rsidRDefault="62988F0A" w14:paraId="1FCCD9AD" w14:textId="0793A0E9">
      <w:pPr>
        <w:rPr>
          <w:rFonts w:eastAsiaTheme="minorEastAsia"/>
          <w:sz w:val="28"/>
          <w:szCs w:val="28"/>
        </w:rPr>
      </w:pPr>
      <w:r w:rsidRPr="21628FAE">
        <w:rPr>
          <w:rFonts w:eastAsiaTheme="minorEastAsia"/>
          <w:sz w:val="28"/>
          <w:szCs w:val="28"/>
        </w:rPr>
        <w:t>In England and Wales, the legal system encompasses two primary categories of law: common law and statute law. Common law refers to a legal system where magistrates establish legal principles and rules through their rulings in court. Statute law refers to the body of law established by the legislative branch of government, specifically through enacting Acts of Parliament. (Smith,2022)</w:t>
      </w:r>
      <w:r w:rsidRPr="21628FAE" w:rsidR="1F192EA8">
        <w:rPr>
          <w:rFonts w:eastAsiaTheme="minorEastAsia"/>
          <w:sz w:val="28"/>
          <w:szCs w:val="28"/>
        </w:rPr>
        <w:t>.</w:t>
      </w:r>
    </w:p>
    <w:p w:rsidR="00B32E56" w:rsidP="21628FAE" w:rsidRDefault="62988F0A" w14:paraId="21642E03" w14:textId="77777777">
      <w:pPr>
        <w:rPr>
          <w:rFonts w:eastAsiaTheme="minorEastAsia"/>
          <w:sz w:val="28"/>
          <w:szCs w:val="28"/>
        </w:rPr>
      </w:pPr>
      <w:r w:rsidRPr="21628FAE">
        <w:rPr>
          <w:rFonts w:eastAsiaTheme="minorEastAsia"/>
          <w:sz w:val="28"/>
          <w:szCs w:val="28"/>
        </w:rPr>
        <w:t xml:space="preserve"> This essay attempts to examine the fundamental elements of the justice system, encompassing the court system, and elucidate their organisational framework, absolute values, and functions within the realm of fairness.  </w:t>
      </w:r>
    </w:p>
    <w:p w:rsidR="62988F0A" w:rsidP="21628FAE" w:rsidRDefault="62988F0A" w14:paraId="7189E1DF" w14:textId="655C4F89">
      <w:pPr>
        <w:rPr>
          <w:rFonts w:eastAsiaTheme="minorEastAsia"/>
          <w:sz w:val="28"/>
          <w:szCs w:val="28"/>
        </w:rPr>
      </w:pPr>
      <w:r w:rsidRPr="21628FAE">
        <w:rPr>
          <w:rFonts w:eastAsiaTheme="minorEastAsia"/>
          <w:sz w:val="28"/>
          <w:szCs w:val="28"/>
        </w:rPr>
        <w:t xml:space="preserve">The present piece aims at analysing the significance of criminal courts, the obstacles they encounter, and the societal ramifications they generate.   </w:t>
      </w:r>
    </w:p>
    <w:p w:rsidR="62988F0A" w:rsidP="21628FAE" w:rsidRDefault="62988F0A" w14:paraId="3DB22F10" w14:textId="77A394EB">
      <w:pPr>
        <w:rPr>
          <w:rFonts w:eastAsiaTheme="minorEastAsia"/>
          <w:sz w:val="28"/>
          <w:szCs w:val="28"/>
        </w:rPr>
      </w:pPr>
      <w:r w:rsidRPr="21628FAE">
        <w:rPr>
          <w:rFonts w:eastAsiaTheme="minorEastAsia"/>
          <w:sz w:val="28"/>
          <w:szCs w:val="28"/>
        </w:rPr>
        <w:t xml:space="preserve">The paper aims to examine the significance of magistrates and the crown court, as well as the involvement of lay individuals in the law system. It will emphasise their distinct roles, their benefits, and the potential obstacles they might encounter.  </w:t>
      </w:r>
    </w:p>
    <w:p w:rsidR="62988F0A" w:rsidP="21628FAE" w:rsidRDefault="62988F0A" w14:paraId="48FE9B9F" w14:textId="506B43E3">
      <w:pPr>
        <w:rPr>
          <w:rFonts w:eastAsiaTheme="minorEastAsia"/>
          <w:sz w:val="28"/>
          <w:szCs w:val="28"/>
        </w:rPr>
      </w:pPr>
      <w:r w:rsidRPr="21628FAE">
        <w:rPr>
          <w:rFonts w:eastAsiaTheme="minorEastAsia"/>
          <w:sz w:val="28"/>
          <w:szCs w:val="28"/>
        </w:rPr>
        <w:t xml:space="preserve">This piece aims to introduce the Jury Act of 1974, a significant legislative measure that had a transformative impact on the jury selection system.  </w:t>
      </w:r>
    </w:p>
    <w:p w:rsidR="62988F0A" w:rsidP="21628FAE" w:rsidRDefault="62988F0A" w14:paraId="353A20A5" w14:textId="731D5D9E">
      <w:pPr>
        <w:rPr>
          <w:rFonts w:eastAsiaTheme="minorEastAsia"/>
          <w:sz w:val="28"/>
          <w:szCs w:val="28"/>
        </w:rPr>
      </w:pPr>
      <w:r w:rsidRPr="21628FAE">
        <w:rPr>
          <w:rFonts w:eastAsiaTheme="minorEastAsia"/>
          <w:sz w:val="28"/>
          <w:szCs w:val="28"/>
        </w:rPr>
        <w:t>The following piece aims to analyse the necessity of improvements for these tribunals by introducing reform suggestions.</w:t>
      </w:r>
    </w:p>
    <w:p w:rsidR="76D6C722" w:rsidP="21628FAE" w:rsidRDefault="76D6C722" w14:paraId="10181563" w14:textId="75CCD769">
      <w:pPr>
        <w:rPr>
          <w:rFonts w:eastAsiaTheme="minorEastAsia"/>
          <w:sz w:val="28"/>
          <w:szCs w:val="28"/>
        </w:rPr>
      </w:pPr>
    </w:p>
    <w:p w:rsidR="76D6C722" w:rsidP="21628FAE" w:rsidRDefault="76D6C722" w14:paraId="15F0FB65" w14:textId="360E937F">
      <w:pPr>
        <w:rPr>
          <w:rFonts w:eastAsiaTheme="minorEastAsia"/>
          <w:sz w:val="28"/>
          <w:szCs w:val="28"/>
        </w:rPr>
      </w:pPr>
    </w:p>
    <w:p w:rsidR="21628FAE" w:rsidP="21628FAE" w:rsidRDefault="21628FAE" w14:paraId="3B81B864" w14:textId="7E08307B">
      <w:pPr>
        <w:rPr>
          <w:rFonts w:eastAsiaTheme="minorEastAsia"/>
          <w:sz w:val="28"/>
          <w:szCs w:val="28"/>
        </w:rPr>
      </w:pPr>
    </w:p>
    <w:p w:rsidR="7A9FC338" w:rsidP="21628FAE" w:rsidRDefault="7A9FC338" w14:paraId="5E972143" w14:textId="32411DAA">
      <w:pPr>
        <w:rPr>
          <w:rFonts w:eastAsiaTheme="minorEastAsia"/>
          <w:sz w:val="28"/>
          <w:szCs w:val="28"/>
        </w:rPr>
      </w:pPr>
      <w:r w:rsidRPr="21628FAE">
        <w:rPr>
          <w:rFonts w:eastAsiaTheme="minorEastAsia"/>
          <w:sz w:val="28"/>
          <w:szCs w:val="28"/>
        </w:rPr>
        <w:t xml:space="preserve">Main Body  </w:t>
      </w:r>
    </w:p>
    <w:p w:rsidR="7A9FC338" w:rsidP="21628FAE" w:rsidRDefault="7A9FC338" w14:paraId="489AB5E0" w14:textId="3B0D8615">
      <w:pPr>
        <w:rPr>
          <w:rFonts w:eastAsiaTheme="minorEastAsia"/>
          <w:sz w:val="28"/>
          <w:szCs w:val="28"/>
        </w:rPr>
      </w:pPr>
      <w:r w:rsidRPr="21628FAE">
        <w:rPr>
          <w:rFonts w:eastAsiaTheme="minorEastAsia"/>
          <w:sz w:val="28"/>
          <w:szCs w:val="28"/>
        </w:rPr>
        <w:t xml:space="preserve"> </w:t>
      </w:r>
    </w:p>
    <w:p w:rsidR="7A9FC338" w:rsidP="0D0D1A97" w:rsidRDefault="7A9FC338" w14:paraId="0BDC6120" w14:textId="774D290D">
      <w:pPr>
        <w:rPr>
          <w:rFonts w:eastAsia="" w:eastAsiaTheme="minorEastAsia"/>
          <w:sz w:val="28"/>
          <w:szCs w:val="28"/>
        </w:rPr>
      </w:pPr>
      <w:r w:rsidRPr="0D0D1A97" w:rsidR="7A9FC338">
        <w:rPr>
          <w:rFonts w:eastAsia="" w:eastAsiaTheme="minorEastAsia"/>
          <w:sz w:val="28"/>
          <w:szCs w:val="28"/>
        </w:rPr>
        <w:t xml:space="preserve">The legal structure of England and Wales is characterised by its commitment to the common law tradition, wherein decisions made in court cases hold greater significance than written statutes. The primary legislation of England and Wales is enacted by the legislature, with most laws being formulated by the incumbent government. The parliamentary institution has two chambers: the House of Commons and the House of </w:t>
      </w:r>
      <w:r w:rsidRPr="0D0D1A97" w:rsidR="64A333F5">
        <w:rPr>
          <w:rFonts w:eastAsia="" w:eastAsiaTheme="minorEastAsia"/>
          <w:sz w:val="28"/>
          <w:szCs w:val="28"/>
        </w:rPr>
        <w:t>Lords. The</w:t>
      </w:r>
      <w:r w:rsidRPr="0D0D1A97" w:rsidR="7A9FC338">
        <w:rPr>
          <w:rFonts w:eastAsia="" w:eastAsiaTheme="minorEastAsia"/>
          <w:sz w:val="28"/>
          <w:szCs w:val="28"/>
        </w:rPr>
        <w:t xml:space="preserve"> legal framework </w:t>
      </w:r>
      <w:r w:rsidRPr="0D0D1A97" w:rsidR="7A9FC338">
        <w:rPr>
          <w:rFonts w:eastAsia="" w:eastAsiaTheme="minorEastAsia"/>
          <w:sz w:val="28"/>
          <w:szCs w:val="28"/>
        </w:rPr>
        <w:t>comprises</w:t>
      </w:r>
      <w:r w:rsidRPr="0D0D1A97" w:rsidR="7A9FC338">
        <w:rPr>
          <w:rFonts w:eastAsia="" w:eastAsiaTheme="minorEastAsia"/>
          <w:sz w:val="28"/>
          <w:szCs w:val="28"/>
        </w:rPr>
        <w:t xml:space="preserve"> several key components: the Supreme Court, the Court of Appeal, the High Court, the Crown </w:t>
      </w:r>
      <w:r w:rsidRPr="0D0D1A97" w:rsidR="7A9FC338">
        <w:rPr>
          <w:rFonts w:eastAsia="" w:eastAsiaTheme="minorEastAsia"/>
          <w:sz w:val="28"/>
          <w:szCs w:val="28"/>
        </w:rPr>
        <w:t>Court</w:t>
      </w:r>
      <w:r w:rsidRPr="0D0D1A97" w:rsidR="7A9FC338">
        <w:rPr>
          <w:rFonts w:eastAsia="" w:eastAsiaTheme="minorEastAsia"/>
          <w:sz w:val="28"/>
          <w:szCs w:val="28"/>
        </w:rPr>
        <w:t xml:space="preserve"> and the magistrates' courts. The Supreme Court holds the most potent authority within the judicial system, while the Court of Appeal assumes the next-highest position. The High Court </w:t>
      </w:r>
      <w:r w:rsidRPr="0D0D1A97" w:rsidR="7A9FC338">
        <w:rPr>
          <w:rFonts w:eastAsia="" w:eastAsiaTheme="minorEastAsia"/>
          <w:sz w:val="28"/>
          <w:szCs w:val="28"/>
        </w:rPr>
        <w:t>is responsible for</w:t>
      </w:r>
      <w:r w:rsidRPr="0D0D1A97" w:rsidR="7A9FC338">
        <w:rPr>
          <w:rFonts w:eastAsia="" w:eastAsiaTheme="minorEastAsia"/>
          <w:sz w:val="28"/>
          <w:szCs w:val="28"/>
        </w:rPr>
        <w:t xml:space="preserve"> settling significant civil and criminal matters, while the Courts of Magistrates handle criminal cases of a more severe nature (</w:t>
      </w:r>
      <w:r w:rsidRPr="0D0D1A97" w:rsidR="7A9FC338">
        <w:rPr>
          <w:rFonts w:eastAsia="" w:eastAsiaTheme="minorEastAsia"/>
          <w:sz w:val="28"/>
          <w:szCs w:val="28"/>
        </w:rPr>
        <w:t>Rab,2023</w:t>
      </w:r>
      <w:r w:rsidRPr="0D0D1A97" w:rsidR="7A9FC338">
        <w:rPr>
          <w:rFonts w:eastAsia="" w:eastAsiaTheme="minorEastAsia"/>
          <w:sz w:val="28"/>
          <w:szCs w:val="28"/>
        </w:rPr>
        <w:t>)</w:t>
      </w:r>
      <w:r w:rsidRPr="0D0D1A97" w:rsidR="5E38790A">
        <w:rPr>
          <w:rFonts w:eastAsia="" w:eastAsiaTheme="minorEastAsia"/>
          <w:sz w:val="28"/>
          <w:szCs w:val="28"/>
        </w:rPr>
        <w:t xml:space="preserve">. </w:t>
      </w:r>
    </w:p>
    <w:p w:rsidR="7A9FC338" w:rsidP="21628FAE" w:rsidRDefault="7A9FC338" w14:paraId="59E1EB57" w14:textId="566F1B8F">
      <w:pPr>
        <w:rPr>
          <w:rFonts w:eastAsiaTheme="minorEastAsia"/>
          <w:sz w:val="28"/>
          <w:szCs w:val="28"/>
        </w:rPr>
      </w:pPr>
      <w:r w:rsidRPr="21628FAE">
        <w:rPr>
          <w:rFonts w:eastAsiaTheme="minorEastAsia"/>
          <w:sz w:val="28"/>
          <w:szCs w:val="28"/>
        </w:rPr>
        <w:t xml:space="preserve">Criminal courts are judicial bodies that are responsible for </w:t>
      </w:r>
      <w:r w:rsidRPr="21628FAE" w:rsidR="6D297033">
        <w:rPr>
          <w:rFonts w:eastAsiaTheme="minorEastAsia"/>
          <w:sz w:val="28"/>
          <w:szCs w:val="28"/>
        </w:rPr>
        <w:t>settling</w:t>
      </w:r>
      <w:r w:rsidRPr="21628FAE">
        <w:rPr>
          <w:rFonts w:eastAsiaTheme="minorEastAsia"/>
          <w:sz w:val="28"/>
          <w:szCs w:val="28"/>
        </w:rPr>
        <w:t xml:space="preserve"> issues about criminal offences. The primary objective of courts is to uphold fairness by facilitating impartial trials, determining guilt or innocence, and imposing suitable sanctions or rehabilitative actions for people found guilty. The courts above fulfil an essential function in safeguarding the principles of legal governance and preserving societal harmony</w:t>
      </w:r>
      <w:r w:rsidRPr="21628FAE" w:rsidR="223B905C">
        <w:rPr>
          <w:rFonts w:eastAsiaTheme="minorEastAsia"/>
          <w:sz w:val="28"/>
          <w:szCs w:val="28"/>
        </w:rPr>
        <w:t xml:space="preserve">. </w:t>
      </w:r>
      <w:r w:rsidRPr="21628FAE">
        <w:rPr>
          <w:rFonts w:eastAsiaTheme="minorEastAsia"/>
          <w:sz w:val="28"/>
          <w:szCs w:val="28"/>
        </w:rPr>
        <w:t>Judiciary members fulfil a crucial function within the framework of the criminal justice system. (</w:t>
      </w:r>
      <w:proofErr w:type="spellStart"/>
      <w:r w:rsidRPr="21628FAE">
        <w:rPr>
          <w:rFonts w:eastAsiaTheme="minorEastAsia"/>
          <w:sz w:val="28"/>
          <w:szCs w:val="28"/>
        </w:rPr>
        <w:t>Britannica,</w:t>
      </w:r>
      <w:r w:rsidRPr="21628FAE" w:rsidR="09DBE17C">
        <w:rPr>
          <w:rFonts w:eastAsiaTheme="minorEastAsia"/>
          <w:sz w:val="28"/>
          <w:szCs w:val="28"/>
        </w:rPr>
        <w:t>2023</w:t>
      </w:r>
      <w:proofErr w:type="spellEnd"/>
      <w:r w:rsidRPr="21628FAE">
        <w:rPr>
          <w:rFonts w:eastAsiaTheme="minorEastAsia"/>
          <w:sz w:val="28"/>
          <w:szCs w:val="28"/>
        </w:rPr>
        <w:t>)</w:t>
      </w:r>
      <w:r w:rsidRPr="21628FAE" w:rsidR="4688F059">
        <w:rPr>
          <w:rFonts w:eastAsiaTheme="minorEastAsia"/>
          <w:sz w:val="28"/>
          <w:szCs w:val="28"/>
        </w:rPr>
        <w:t xml:space="preserve">. </w:t>
      </w:r>
    </w:p>
    <w:p w:rsidR="1AB61B10" w:rsidP="21628FAE" w:rsidRDefault="1AB61B10" w14:paraId="1C6861A7" w14:textId="1B1AEE06">
      <w:pPr>
        <w:rPr>
          <w:rFonts w:eastAsiaTheme="minorEastAsia"/>
          <w:sz w:val="28"/>
          <w:szCs w:val="28"/>
        </w:rPr>
      </w:pPr>
      <w:r w:rsidRPr="21628FAE">
        <w:rPr>
          <w:rFonts w:eastAsiaTheme="minorEastAsia"/>
          <w:sz w:val="28"/>
          <w:szCs w:val="28"/>
        </w:rPr>
        <w:t>Magistrates hold a pivotal position within the legal framework of the United Kingdom since they are responsible for rendering judgements on a diverse array of criminal and civil matters. These individuals, sometimes called justices of the peace, are not professional jurists but regular community members who voluntarily provide their services to preside over legal proceedings</w:t>
      </w:r>
      <w:r w:rsidRPr="21628FAE" w:rsidR="3A25B5D5">
        <w:rPr>
          <w:rFonts w:eastAsiaTheme="minorEastAsia"/>
          <w:sz w:val="28"/>
          <w:szCs w:val="28"/>
        </w:rPr>
        <w:t xml:space="preserve">. </w:t>
      </w:r>
      <w:r w:rsidRPr="21628FAE">
        <w:rPr>
          <w:rFonts w:eastAsiaTheme="minorEastAsia"/>
          <w:sz w:val="28"/>
          <w:szCs w:val="28"/>
        </w:rPr>
        <w:t xml:space="preserve">According to </w:t>
      </w:r>
      <w:proofErr w:type="spellStart"/>
      <w:r w:rsidRPr="21628FAE">
        <w:rPr>
          <w:rFonts w:eastAsiaTheme="minorEastAsia"/>
          <w:sz w:val="28"/>
          <w:szCs w:val="28"/>
        </w:rPr>
        <w:t>Allbon</w:t>
      </w:r>
      <w:proofErr w:type="spellEnd"/>
      <w:r w:rsidRPr="21628FAE">
        <w:rPr>
          <w:rFonts w:eastAsiaTheme="minorEastAsia"/>
          <w:sz w:val="28"/>
          <w:szCs w:val="28"/>
        </w:rPr>
        <w:t>(2020), The number of lay magistrates in the magistrate's courts exceeds 16,000, although approximately 140 professional judges also preside over these courts</w:t>
      </w:r>
      <w:r w:rsidRPr="21628FAE" w:rsidR="6C8BE074">
        <w:rPr>
          <w:rFonts w:eastAsiaTheme="minorEastAsia"/>
          <w:sz w:val="28"/>
          <w:szCs w:val="28"/>
        </w:rPr>
        <w:t xml:space="preserve">. </w:t>
      </w:r>
    </w:p>
    <w:p w:rsidR="1AB61B10" w:rsidP="21628FAE" w:rsidRDefault="1AB61B10" w14:paraId="4294B749" w14:textId="517B7D20">
      <w:pPr>
        <w:rPr>
          <w:rFonts w:eastAsiaTheme="minorEastAsia"/>
          <w:sz w:val="28"/>
          <w:szCs w:val="28"/>
        </w:rPr>
      </w:pPr>
      <w:r w:rsidRPr="21628FAE">
        <w:rPr>
          <w:rFonts w:eastAsiaTheme="minorEastAsia"/>
          <w:sz w:val="28"/>
          <w:szCs w:val="28"/>
        </w:rPr>
        <w:t>The appointment of magistrates is handled by the Lord Chancellor, who selects individuals from various backgrounds to guarantee an equitable representation of society. The primary function of judges is to ascertain guilt or innocence, administer penalties, and authorise pretrial release. Magistrates can grant warrants to confirm searches, seizures, and arrests to uphold public safety and ensure law enforcement. Moreover, it is within their purview to oversee the commencement of preliminary hearings, during which they evaluate the evidence put up by the prosecution and ascertain whether sufficient justification exists for the progression of a trial. The inclusion of non-legal professionals inside the legal system serves to sustain the fundamental tenet of jury duty. It fosters public trust in the fair and effective execution of the judicial process (</w:t>
      </w:r>
      <w:proofErr w:type="spellStart"/>
      <w:r w:rsidRPr="21628FAE">
        <w:rPr>
          <w:rFonts w:eastAsiaTheme="minorEastAsia"/>
          <w:sz w:val="28"/>
          <w:szCs w:val="28"/>
        </w:rPr>
        <w:t>Ivković,2021</w:t>
      </w:r>
      <w:proofErr w:type="spellEnd"/>
      <w:r w:rsidRPr="21628FAE">
        <w:rPr>
          <w:rFonts w:eastAsiaTheme="minorEastAsia"/>
          <w:sz w:val="28"/>
          <w:szCs w:val="28"/>
        </w:rPr>
        <w:t xml:space="preserve">).  </w:t>
      </w:r>
    </w:p>
    <w:p w:rsidR="4032E826" w:rsidP="21628FAE" w:rsidRDefault="4032E826" w14:paraId="624A9491" w14:textId="7A031DD5">
      <w:pPr>
        <w:rPr>
          <w:rFonts w:eastAsiaTheme="minorEastAsia"/>
          <w:sz w:val="28"/>
          <w:szCs w:val="28"/>
        </w:rPr>
      </w:pPr>
      <w:r w:rsidRPr="21628FAE">
        <w:rPr>
          <w:rFonts w:eastAsiaTheme="minorEastAsia"/>
          <w:sz w:val="28"/>
          <w:szCs w:val="28"/>
        </w:rPr>
        <w:t>One advantage of employing magistrates to reduce expenses is mitigating the cost pressure imposed on the court system. Due to their status as voluntary individuals, magistrates do not necessitate the provision of income or rewards, leading to substantial government cost reductions. Furthermore, the unpaid nature of the position facilitates access to a broader selection of individuals who can serve as magistrates. This results in an increased number of candidates with varied areas of knowledge and viewpoints without anyone spending any extra costs. The financial expenses associated with each disputed matter settled in the Crown Court are notably higher than the potential situation wherein magistrates would have rendered the decision</w:t>
      </w:r>
      <w:r w:rsidRPr="21628FAE" w:rsidR="66F3CAB9">
        <w:rPr>
          <w:rFonts w:eastAsiaTheme="minorEastAsia"/>
          <w:sz w:val="28"/>
          <w:szCs w:val="28"/>
        </w:rPr>
        <w:t xml:space="preserve">. </w:t>
      </w:r>
    </w:p>
    <w:p w:rsidR="4032E826" w:rsidP="21628FAE" w:rsidRDefault="4032E826" w14:paraId="763CBE14" w14:textId="6CF64090">
      <w:pPr>
        <w:rPr>
          <w:rFonts w:eastAsiaTheme="minorEastAsia"/>
          <w:sz w:val="28"/>
          <w:szCs w:val="28"/>
        </w:rPr>
      </w:pPr>
      <w:r w:rsidRPr="21628FAE">
        <w:rPr>
          <w:rFonts w:eastAsiaTheme="minorEastAsia"/>
          <w:sz w:val="28"/>
          <w:szCs w:val="28"/>
        </w:rPr>
        <w:t xml:space="preserve">Additionally, a continuous effort exists among the governmental and judicial spheres to enhance the </w:t>
      </w:r>
      <w:bookmarkStart w:name="_Int_i8Hzzjum" w:id="0"/>
      <w:r w:rsidRPr="21628FAE">
        <w:rPr>
          <w:rFonts w:eastAsiaTheme="minorEastAsia"/>
          <w:sz w:val="28"/>
          <w:szCs w:val="28"/>
        </w:rPr>
        <w:t>jurisdiction</w:t>
      </w:r>
      <w:bookmarkEnd w:id="0"/>
      <w:r w:rsidRPr="21628FAE">
        <w:rPr>
          <w:rFonts w:eastAsiaTheme="minorEastAsia"/>
          <w:sz w:val="28"/>
          <w:szCs w:val="28"/>
        </w:rPr>
        <w:t xml:space="preserve"> of quick procedures while limiting citizens' capacity to choose a trial by jury. The main driving force for this concerns the financial costs and time commitment involved in Crown Court proceedings (</w:t>
      </w:r>
      <w:proofErr w:type="spellStart"/>
      <w:r w:rsidRPr="21628FAE">
        <w:rPr>
          <w:rFonts w:eastAsiaTheme="minorEastAsia"/>
          <w:sz w:val="28"/>
          <w:szCs w:val="28"/>
        </w:rPr>
        <w:t>Soubise,2017</w:t>
      </w:r>
      <w:proofErr w:type="spellEnd"/>
      <w:r w:rsidRPr="21628FAE">
        <w:rPr>
          <w:rFonts w:eastAsiaTheme="minorEastAsia"/>
          <w:sz w:val="28"/>
          <w:szCs w:val="28"/>
        </w:rPr>
        <w:t>)</w:t>
      </w:r>
      <w:r w:rsidRPr="21628FAE" w:rsidR="138F6FFF">
        <w:rPr>
          <w:rFonts w:eastAsiaTheme="minorEastAsia"/>
          <w:sz w:val="28"/>
          <w:szCs w:val="28"/>
        </w:rPr>
        <w:t xml:space="preserve">. </w:t>
      </w:r>
    </w:p>
    <w:p w:rsidR="4032E826" w:rsidP="21628FAE" w:rsidRDefault="4032E826" w14:paraId="019E1496" w14:textId="3E7F8746">
      <w:pPr>
        <w:rPr>
          <w:rFonts w:eastAsiaTheme="minorEastAsia"/>
          <w:sz w:val="28"/>
          <w:szCs w:val="28"/>
        </w:rPr>
      </w:pPr>
      <w:r w:rsidRPr="21628FAE">
        <w:rPr>
          <w:rFonts w:eastAsiaTheme="minorEastAsia"/>
          <w:sz w:val="28"/>
          <w:szCs w:val="28"/>
        </w:rPr>
        <w:t xml:space="preserve">Trials conducted within the magistrates' court are presided over by two or three magistrates or a single district judge. The duration of a problem exhibits considerable variability, ranging from a brief span of less than 24 hours to an extended period of several months or even more. This temporal disparity is contingent upon multiple factors, including the intricacy of the case, the volume of evidence presented, and the presence of a </w:t>
      </w:r>
      <w:proofErr w:type="spellStart"/>
      <w:r w:rsidRPr="21628FAE">
        <w:rPr>
          <w:rFonts w:eastAsiaTheme="minorEastAsia"/>
          <w:sz w:val="28"/>
          <w:szCs w:val="28"/>
        </w:rPr>
        <w:t xml:space="preserve">backlog </w:t>
      </w:r>
      <w:proofErr w:type="spellEnd"/>
      <w:r w:rsidRPr="21628FAE">
        <w:rPr>
          <w:rFonts w:eastAsiaTheme="minorEastAsia"/>
          <w:sz w:val="28"/>
          <w:szCs w:val="28"/>
        </w:rPr>
        <w:t>of outstanding claims (Gov</w:t>
      </w:r>
      <w:r w:rsidR="00DD6FD0">
        <w:rPr>
          <w:rFonts w:eastAsiaTheme="minorEastAsia"/>
          <w:sz w:val="28"/>
          <w:szCs w:val="28"/>
        </w:rPr>
        <w:t>U</w:t>
      </w:r>
      <w:r w:rsidR="00E57B48">
        <w:rPr>
          <w:rFonts w:eastAsiaTheme="minorEastAsia"/>
          <w:sz w:val="28"/>
          <w:szCs w:val="28"/>
        </w:rPr>
        <w:t>k</w:t>
      </w:r>
      <w:r w:rsidRPr="21628FAE">
        <w:rPr>
          <w:rFonts w:eastAsiaTheme="minorEastAsia"/>
          <w:sz w:val="28"/>
          <w:szCs w:val="28"/>
        </w:rPr>
        <w:t>,2020).</w:t>
      </w:r>
    </w:p>
    <w:p w:rsidR="3D267476" w:rsidP="21628FAE" w:rsidRDefault="3D267476" w14:paraId="0A603803" w14:textId="056E532B">
      <w:pPr>
        <w:rPr>
          <w:rFonts w:eastAsiaTheme="minorEastAsia"/>
          <w:sz w:val="28"/>
          <w:szCs w:val="28"/>
        </w:rPr>
      </w:pPr>
      <w:r w:rsidRPr="21628FAE">
        <w:rPr>
          <w:rFonts w:eastAsiaTheme="minorEastAsia"/>
          <w:sz w:val="28"/>
          <w:szCs w:val="28"/>
        </w:rPr>
        <w:t>The Crown Court is responsible for settling less than 10% of criminal cases presented before the judicial system in England and Wales. The Crown Court is significant in the justice system, primarily responsible for prosecuting and punishing individuals involved in the most severe criminal offences (</w:t>
      </w:r>
      <w:proofErr w:type="spellStart"/>
      <w:r w:rsidRPr="21628FAE">
        <w:rPr>
          <w:rFonts w:eastAsiaTheme="minorEastAsia"/>
          <w:sz w:val="28"/>
          <w:szCs w:val="28"/>
        </w:rPr>
        <w:t>Jacobson,2015</w:t>
      </w:r>
      <w:proofErr w:type="spellEnd"/>
      <w:r w:rsidRPr="21628FAE">
        <w:rPr>
          <w:rFonts w:eastAsiaTheme="minorEastAsia"/>
          <w:sz w:val="28"/>
          <w:szCs w:val="28"/>
        </w:rPr>
        <w:t xml:space="preserve">).  </w:t>
      </w:r>
    </w:p>
    <w:p w:rsidR="3D267476" w:rsidP="21628FAE" w:rsidRDefault="3D267476" w14:paraId="0A5CF7E5" w14:textId="515B485B">
      <w:pPr>
        <w:rPr>
          <w:rFonts w:eastAsiaTheme="minorEastAsia"/>
          <w:sz w:val="28"/>
          <w:szCs w:val="28"/>
        </w:rPr>
      </w:pPr>
      <w:r w:rsidRPr="21628FAE">
        <w:rPr>
          <w:rFonts w:eastAsiaTheme="minorEastAsia"/>
          <w:sz w:val="28"/>
          <w:szCs w:val="28"/>
        </w:rPr>
        <w:t xml:space="preserve">To serve as a Crown Court judge, it is a requirement that an individual must have accumulated a minimum of seven years of professional experience as a practising lawyer. The individuals in question are designated by the Ministry of Justice division, the Judicial Appointments Commission.  </w:t>
      </w:r>
    </w:p>
    <w:p w:rsidR="3D267476" w:rsidP="21628FAE" w:rsidRDefault="3D267476" w14:paraId="75B3BB87" w14:textId="5B95CF71">
      <w:pPr>
        <w:rPr>
          <w:rFonts w:eastAsiaTheme="minorEastAsia"/>
          <w:sz w:val="28"/>
          <w:szCs w:val="28"/>
        </w:rPr>
      </w:pPr>
      <w:r w:rsidRPr="21628FAE">
        <w:rPr>
          <w:rFonts w:eastAsiaTheme="minorEastAsia"/>
          <w:sz w:val="28"/>
          <w:szCs w:val="28"/>
        </w:rPr>
        <w:t xml:space="preserve">During a trial, it is customary for the presiding Judge to be accompanied by a jury consisting of 12 individuals who are selected at random from the electoral roll within the area's local region. The presiding Judge is responsible for rendering judicial choices and rulings and providing the jury with a comprehensive summary of the factual evidence. However, the jury's prerogative decides either guilty or not guilty. If a jury determines an individual's guilt, it is the responsibility of the Judge to administer the appropriate penalty.  </w:t>
      </w:r>
    </w:p>
    <w:p w:rsidR="3D267476" w:rsidP="21628FAE" w:rsidRDefault="3D267476" w14:paraId="5E9E2EA3" w14:textId="7DE02B3E">
      <w:pPr>
        <w:rPr>
          <w:rFonts w:eastAsiaTheme="minorEastAsia"/>
          <w:sz w:val="28"/>
          <w:szCs w:val="28"/>
        </w:rPr>
      </w:pPr>
      <w:r w:rsidRPr="21628FAE">
        <w:rPr>
          <w:rFonts w:eastAsiaTheme="minorEastAsia"/>
          <w:sz w:val="28"/>
          <w:szCs w:val="28"/>
        </w:rPr>
        <w:t>Lay individuals, sometimes called the jury, play a vital role in the operational dynamics of the crown court. The inclusion of diverse individuals in the court guarantees that the outcomes rendered align with the broader societal ideals and perspectives, so enhancing the fairness and democratic nature of the justice system. Furthermore, individuals without specialised legal training contribute a wide range of perspectives and life experiences to the judicial setting, offering vital insights during the debate process (Harris,2016).</w:t>
      </w:r>
    </w:p>
    <w:p w:rsidR="323195E0" w:rsidP="21628FAE" w:rsidRDefault="323195E0" w14:paraId="028DEE2D" w14:textId="3425A967">
      <w:pPr>
        <w:rPr>
          <w:rFonts w:eastAsiaTheme="minorEastAsia"/>
          <w:sz w:val="28"/>
          <w:szCs w:val="28"/>
        </w:rPr>
      </w:pPr>
      <w:r w:rsidRPr="21628FAE">
        <w:rPr>
          <w:rFonts w:eastAsiaTheme="minorEastAsia"/>
          <w:sz w:val="28"/>
          <w:szCs w:val="28"/>
        </w:rPr>
        <w:t xml:space="preserve">The Jury Act of 1974 is a legislative measure that establishes the framework for choosing jurors and duties within the district of the UK. This document delineates the requirements that determine an individual's qualification for membership in a jury, the procedures involved in the selection of judges, and the obligations and duties that juries are expected to fulfil. The legislation defines the prerequisites for attaining eligibility for jury duty, including age 18 or above, possessing British citizenship, and being duly registered as a voter. Additionally, it outlines the protocol for the arbitrary selection procedure utilised in calling individuals to serve as jurors while offering criteria for exemptions, exclusion, and excuses from the duty of jury service (Juries Act,1974).   </w:t>
      </w:r>
    </w:p>
    <w:p w:rsidR="4B5C0A31" w:rsidP="21628FAE" w:rsidRDefault="4B5C0A31" w14:paraId="03CE90EF" w14:textId="13075095">
      <w:pPr>
        <w:rPr>
          <w:rFonts w:eastAsiaTheme="minorEastAsia"/>
          <w:sz w:val="28"/>
          <w:szCs w:val="28"/>
        </w:rPr>
      </w:pPr>
      <w:r w:rsidRPr="21628FAE">
        <w:rPr>
          <w:rFonts w:eastAsiaTheme="minorEastAsia"/>
          <w:sz w:val="28"/>
          <w:szCs w:val="28"/>
        </w:rPr>
        <w:t>The Legal Affairs Committee has conducted an inquiry into potential legal reforms to improve the functioning of the judiciary. One potential reform is to promote the diversity of the judiciary. Providing eligible candidates with equal opportunities for judicial appointments is crucial. Failure to ensure diversity in selecting judges, regardless of origin, will exclude highly qualified people and prevent the best candidates from working. This will be achieved by increasing the number of highly qualified candidates from diverse backgrounds eligible for judicial appointments and supporting their inclusion, retention, and promotion in the judiciary. These efforts inform and improve judicial policies, processes, and practices. It also tries to increase personal and professional diversity in the court and create an inclusive atmosphere (Judicia</w:t>
      </w:r>
      <w:r w:rsidRPr="21628FAE" w:rsidR="21C6D536">
        <w:rPr>
          <w:rFonts w:eastAsiaTheme="minorEastAsia"/>
          <w:sz w:val="28"/>
          <w:szCs w:val="28"/>
        </w:rPr>
        <w:t>ry</w:t>
      </w:r>
      <w:r w:rsidRPr="21628FAE">
        <w:rPr>
          <w:rFonts w:eastAsiaTheme="minorEastAsia"/>
          <w:sz w:val="28"/>
          <w:szCs w:val="28"/>
        </w:rPr>
        <w:t>, 2020).</w:t>
      </w:r>
    </w:p>
    <w:p w:rsidR="4B5C0A31" w:rsidP="21628FAE" w:rsidRDefault="4B5C0A31" w14:paraId="32FB7617" w14:textId="4800DB7C">
      <w:pPr>
        <w:rPr>
          <w:rFonts w:eastAsiaTheme="minorEastAsia"/>
          <w:sz w:val="28"/>
          <w:szCs w:val="28"/>
        </w:rPr>
      </w:pPr>
      <w:r w:rsidRPr="21628FAE">
        <w:rPr>
          <w:rFonts w:eastAsiaTheme="minorEastAsia"/>
          <w:sz w:val="28"/>
          <w:szCs w:val="28"/>
        </w:rPr>
        <w:t>The implementation of technology in judicial systems is an additional avenue for reform. The efficiency of electronic filing, case management systems and online hearings can potentially increase the efficiency and effectiveness of litigation. Technology has the potential to alleviate delays, streamline administrative tasks and facilitate remote communication, resulting in significant time and cost savings (</w:t>
      </w:r>
      <w:proofErr w:type="spellStart"/>
      <w:r w:rsidRPr="21628FAE" w:rsidR="724998C0">
        <w:rPr>
          <w:rFonts w:eastAsiaTheme="minorEastAsia"/>
          <w:sz w:val="28"/>
          <w:szCs w:val="28"/>
        </w:rPr>
        <w:t>Gov</w:t>
      </w:r>
      <w:r w:rsidR="00906C16">
        <w:rPr>
          <w:rFonts w:eastAsiaTheme="minorEastAsia"/>
          <w:sz w:val="28"/>
          <w:szCs w:val="28"/>
        </w:rPr>
        <w:t>Uk</w:t>
      </w:r>
      <w:r w:rsidRPr="21628FAE" w:rsidR="724998C0">
        <w:rPr>
          <w:rFonts w:eastAsiaTheme="minorEastAsia"/>
          <w:sz w:val="28"/>
          <w:szCs w:val="28"/>
        </w:rPr>
        <w:t>,no</w:t>
      </w:r>
      <w:proofErr w:type="spellEnd"/>
      <w:r w:rsidRPr="21628FAE" w:rsidR="724998C0">
        <w:rPr>
          <w:rFonts w:eastAsiaTheme="minorEastAsia"/>
          <w:sz w:val="28"/>
          <w:szCs w:val="28"/>
        </w:rPr>
        <w:t xml:space="preserve"> date</w:t>
      </w:r>
      <w:r w:rsidRPr="21628FAE">
        <w:rPr>
          <w:rFonts w:eastAsiaTheme="minorEastAsia"/>
          <w:sz w:val="28"/>
          <w:szCs w:val="28"/>
        </w:rPr>
        <w:t>).</w:t>
      </w:r>
    </w:p>
    <w:p w:rsidR="76D6C722" w:rsidP="21628FAE" w:rsidRDefault="76D6C722" w14:paraId="22A1FA73" w14:textId="7BFE8DC9">
      <w:pPr>
        <w:rPr>
          <w:rFonts w:eastAsiaTheme="minorEastAsia"/>
          <w:sz w:val="28"/>
          <w:szCs w:val="28"/>
        </w:rPr>
      </w:pPr>
    </w:p>
    <w:p w:rsidR="76D6C722" w:rsidP="21628FAE" w:rsidRDefault="76D6C722" w14:paraId="55A8C2CF" w14:textId="764E25D9">
      <w:pPr>
        <w:rPr>
          <w:rFonts w:eastAsiaTheme="minorEastAsia"/>
          <w:sz w:val="28"/>
          <w:szCs w:val="28"/>
        </w:rPr>
      </w:pPr>
    </w:p>
    <w:p w:rsidR="76D6C722" w:rsidP="21628FAE" w:rsidRDefault="76D6C722" w14:paraId="3D456769" w14:textId="468C39AB">
      <w:pPr>
        <w:rPr>
          <w:rFonts w:eastAsiaTheme="minorEastAsia"/>
          <w:sz w:val="28"/>
          <w:szCs w:val="28"/>
        </w:rPr>
      </w:pPr>
    </w:p>
    <w:p w:rsidR="76D6C722" w:rsidP="21628FAE" w:rsidRDefault="76D6C722" w14:paraId="6D56C837" w14:textId="6A3F5A55">
      <w:pPr>
        <w:rPr>
          <w:rFonts w:eastAsiaTheme="minorEastAsia"/>
          <w:sz w:val="28"/>
          <w:szCs w:val="28"/>
        </w:rPr>
      </w:pPr>
    </w:p>
    <w:p w:rsidR="76D6C722" w:rsidP="21628FAE" w:rsidRDefault="76D6C722" w14:paraId="0031A127" w14:textId="09D8800B">
      <w:pPr>
        <w:rPr>
          <w:rFonts w:eastAsiaTheme="minorEastAsia"/>
          <w:sz w:val="28"/>
          <w:szCs w:val="28"/>
        </w:rPr>
      </w:pPr>
    </w:p>
    <w:p w:rsidR="69888668" w:rsidP="21628FAE" w:rsidRDefault="69888668" w14:paraId="4100EB30" w14:textId="77FFDEDE">
      <w:pPr>
        <w:rPr>
          <w:rFonts w:eastAsiaTheme="minorEastAsia"/>
          <w:color w:val="000000" w:themeColor="text1"/>
          <w:sz w:val="28"/>
          <w:szCs w:val="28"/>
        </w:rPr>
      </w:pPr>
      <w:r w:rsidRPr="21628FAE">
        <w:rPr>
          <w:rFonts w:eastAsiaTheme="minorEastAsia"/>
          <w:color w:val="000000" w:themeColor="text1"/>
          <w:sz w:val="28"/>
          <w:szCs w:val="28"/>
        </w:rPr>
        <w:t xml:space="preserve">Conclusion </w:t>
      </w:r>
    </w:p>
    <w:p w:rsidR="69888668" w:rsidP="21628FAE" w:rsidRDefault="69888668" w14:paraId="05911C40" w14:textId="39B8BA85">
      <w:pPr>
        <w:rPr>
          <w:rFonts w:eastAsiaTheme="minorEastAsia"/>
          <w:color w:val="000000" w:themeColor="text1"/>
          <w:sz w:val="28"/>
          <w:szCs w:val="28"/>
        </w:rPr>
      </w:pPr>
      <w:r w:rsidRPr="21628FAE">
        <w:rPr>
          <w:rFonts w:eastAsiaTheme="minorEastAsia"/>
          <w:color w:val="000000" w:themeColor="text1"/>
          <w:sz w:val="28"/>
          <w:szCs w:val="28"/>
        </w:rPr>
        <w:t xml:space="preserve">In conclusion, the justice system in England and Wales is comprehensive, guaranteeing a level playing field for all parties involved. Its framework, principles, and institutions are designed to safeguard citizens' rights, keep the peace, and give victims of wrongdoing access to justice. While there is no such thing as a perfect system, the justice systems in England and Wales do their best to uphold the law and guarantee that justice is done. </w:t>
      </w:r>
    </w:p>
    <w:p w:rsidR="69888668" w:rsidP="21628FAE" w:rsidRDefault="69888668" w14:paraId="23CD0968" w14:textId="332B5024">
      <w:pPr>
        <w:rPr>
          <w:rFonts w:eastAsiaTheme="minorEastAsia"/>
          <w:color w:val="000000" w:themeColor="text1"/>
          <w:sz w:val="28"/>
          <w:szCs w:val="28"/>
        </w:rPr>
      </w:pPr>
      <w:r w:rsidRPr="21628FAE">
        <w:rPr>
          <w:rFonts w:eastAsiaTheme="minorEastAsia"/>
          <w:color w:val="000000" w:themeColor="text1"/>
          <w:sz w:val="28"/>
          <w:szCs w:val="28"/>
        </w:rPr>
        <w:t>As a result, there is a pressing need to reform the criminal courts in England and Wales, especially the magistrates and crown court levels, to deal with a wide range of problems. Problems in the justice system include a need for more diversity, an ageing infrastructure, and many cases. The criminal courts can be made more effective, fair, and accessible by reforms such as raising resources, fostering diversity, and embracing technology. The government must prioritise these changes if the justice system is to maintain its current efficiency level. Because of their work, the public believes criminal justice will be administered fairly and with integrity.</w:t>
      </w:r>
    </w:p>
    <w:p w:rsidR="76D6C722" w:rsidP="21628FAE" w:rsidRDefault="76D6C722" w14:paraId="04FC1DB6" w14:textId="24B2460F">
      <w:pPr>
        <w:rPr>
          <w:rFonts w:eastAsiaTheme="minorEastAsia"/>
          <w:sz w:val="28"/>
          <w:szCs w:val="28"/>
        </w:rPr>
      </w:pPr>
    </w:p>
    <w:p w:rsidR="21628FAE" w:rsidP="21628FAE" w:rsidRDefault="21628FAE" w14:paraId="2D395056" w14:textId="50D15A5F">
      <w:pPr>
        <w:rPr>
          <w:rFonts w:eastAsiaTheme="minorEastAsia"/>
          <w:sz w:val="28"/>
          <w:szCs w:val="28"/>
        </w:rPr>
      </w:pPr>
    </w:p>
    <w:p w:rsidR="21628FAE" w:rsidP="21628FAE" w:rsidRDefault="21628FAE" w14:paraId="03857DF9" w14:textId="13246B98">
      <w:pPr>
        <w:rPr>
          <w:rFonts w:eastAsiaTheme="minorEastAsia"/>
          <w:sz w:val="28"/>
          <w:szCs w:val="28"/>
        </w:rPr>
      </w:pPr>
    </w:p>
    <w:p w:rsidR="21628FAE" w:rsidP="21628FAE" w:rsidRDefault="21628FAE" w14:paraId="252C328D" w14:textId="33B795F7">
      <w:pPr>
        <w:rPr>
          <w:rFonts w:eastAsiaTheme="minorEastAsia"/>
          <w:sz w:val="28"/>
          <w:szCs w:val="28"/>
        </w:rPr>
      </w:pPr>
    </w:p>
    <w:p w:rsidR="21628FAE" w:rsidP="21628FAE" w:rsidRDefault="21628FAE" w14:paraId="32757FAE" w14:textId="1DFA4B2B">
      <w:pPr>
        <w:rPr>
          <w:rFonts w:eastAsiaTheme="minorEastAsia"/>
          <w:sz w:val="28"/>
          <w:szCs w:val="28"/>
        </w:rPr>
      </w:pPr>
    </w:p>
    <w:p w:rsidR="391CAF2A" w:rsidP="21628FAE" w:rsidRDefault="391CAF2A" w14:paraId="1EAEDF6C" w14:textId="17FDB074">
      <w:pPr>
        <w:rPr>
          <w:rFonts w:eastAsiaTheme="minorEastAsia"/>
          <w:sz w:val="24"/>
          <w:szCs w:val="24"/>
        </w:rPr>
      </w:pPr>
      <w:r w:rsidRPr="21628FAE">
        <w:rPr>
          <w:rFonts w:eastAsiaTheme="minorEastAsia"/>
          <w:sz w:val="24"/>
          <w:szCs w:val="24"/>
        </w:rPr>
        <w:t>Reference List</w:t>
      </w:r>
    </w:p>
    <w:p w:rsidR="6B27F134" w:rsidP="21628FAE" w:rsidRDefault="6B27F134" w14:paraId="6021657A" w14:textId="01C4145F">
      <w:pPr>
        <w:rPr>
          <w:rFonts w:eastAsiaTheme="minorEastAsia"/>
          <w:color w:val="1E1E1E"/>
          <w:sz w:val="24"/>
          <w:szCs w:val="24"/>
        </w:rPr>
      </w:pPr>
      <w:proofErr w:type="spellStart"/>
      <w:r w:rsidRPr="21628FAE">
        <w:rPr>
          <w:rFonts w:eastAsiaTheme="minorEastAsia"/>
          <w:color w:val="1E1E1E"/>
          <w:sz w:val="24"/>
          <w:szCs w:val="24"/>
        </w:rPr>
        <w:t>Allbon</w:t>
      </w:r>
      <w:proofErr w:type="spellEnd"/>
      <w:r w:rsidRPr="21628FAE">
        <w:rPr>
          <w:rFonts w:eastAsiaTheme="minorEastAsia"/>
          <w:color w:val="1E1E1E"/>
          <w:sz w:val="24"/>
          <w:szCs w:val="24"/>
        </w:rPr>
        <w:t xml:space="preserve">, E. and Kaur </w:t>
      </w:r>
      <w:proofErr w:type="spellStart"/>
      <w:r w:rsidRPr="21628FAE">
        <w:rPr>
          <w:rFonts w:eastAsiaTheme="minorEastAsia"/>
          <w:color w:val="1E1E1E"/>
          <w:sz w:val="24"/>
          <w:szCs w:val="24"/>
        </w:rPr>
        <w:t>Dua</w:t>
      </w:r>
      <w:proofErr w:type="spellEnd"/>
      <w:r w:rsidRPr="21628FAE">
        <w:rPr>
          <w:rFonts w:eastAsiaTheme="minorEastAsia"/>
          <w:color w:val="1E1E1E"/>
          <w:sz w:val="24"/>
          <w:szCs w:val="24"/>
        </w:rPr>
        <w:t>, S. (2020</w:t>
      </w:r>
      <w:r w:rsidRPr="21628FAE" w:rsidR="1F728EDC">
        <w:rPr>
          <w:rFonts w:eastAsiaTheme="minorEastAsia"/>
          <w:color w:val="1E1E1E"/>
          <w:sz w:val="24"/>
          <w:szCs w:val="24"/>
        </w:rPr>
        <w:t>).</w:t>
      </w:r>
      <w:r w:rsidRPr="21628FAE" w:rsidR="798BCA42">
        <w:rPr>
          <w:rFonts w:eastAsiaTheme="minorEastAsia"/>
          <w:color w:val="1E1E1E"/>
          <w:sz w:val="24"/>
          <w:szCs w:val="24"/>
        </w:rPr>
        <w:t>"Magistrates"</w:t>
      </w:r>
      <w:r w:rsidRPr="21628FAE" w:rsidR="4C6916E9">
        <w:rPr>
          <w:rFonts w:eastAsiaTheme="minorEastAsia"/>
          <w:color w:val="1E1E1E"/>
          <w:sz w:val="24"/>
          <w:szCs w:val="24"/>
        </w:rPr>
        <w:t>(page 347)</w:t>
      </w:r>
      <w:r w:rsidRPr="21628FAE" w:rsidR="39C9247D">
        <w:rPr>
          <w:rFonts w:eastAsiaTheme="minorEastAsia"/>
          <w:color w:val="1E1E1E"/>
          <w:sz w:val="24"/>
          <w:szCs w:val="24"/>
        </w:rPr>
        <w:t>,</w:t>
      </w:r>
      <w:r w:rsidRPr="21628FAE" w:rsidR="798BCA42">
        <w:rPr>
          <w:rFonts w:eastAsiaTheme="minorEastAsia"/>
          <w:color w:val="1E1E1E"/>
          <w:sz w:val="24"/>
          <w:szCs w:val="24"/>
        </w:rPr>
        <w:t xml:space="preserve"> in E</w:t>
      </w:r>
      <w:r w:rsidRPr="21628FAE">
        <w:rPr>
          <w:rFonts w:eastAsiaTheme="minorEastAsia"/>
          <w:color w:val="1E1E1E"/>
          <w:sz w:val="24"/>
          <w:szCs w:val="24"/>
        </w:rPr>
        <w:t xml:space="preserve">lliott and Quinnʹs English legal system. Twenty-first edition. Harlow, England: Pearson, c.   </w:t>
      </w:r>
    </w:p>
    <w:p w:rsidR="1B02D2D3" w:rsidP="21628FAE" w:rsidRDefault="1B02D2D3" w14:paraId="47DAAAF7" w14:textId="05503898">
      <w:pPr>
        <w:rPr>
          <w:rFonts w:eastAsiaTheme="minorEastAsia"/>
          <w:color w:val="000000" w:themeColor="text1"/>
          <w:sz w:val="24"/>
          <w:szCs w:val="24"/>
        </w:rPr>
      </w:pPr>
      <w:r w:rsidRPr="21628FAE">
        <w:rPr>
          <w:rFonts w:eastAsiaTheme="minorEastAsia"/>
          <w:color w:val="000000" w:themeColor="text1"/>
          <w:sz w:val="24"/>
          <w:szCs w:val="24"/>
        </w:rPr>
        <w:t>Britannica (</w:t>
      </w:r>
      <w:r w:rsidRPr="21628FAE" w:rsidR="03CAB7DB">
        <w:rPr>
          <w:rFonts w:eastAsiaTheme="minorEastAsia"/>
          <w:color w:val="000000" w:themeColor="text1"/>
          <w:sz w:val="24"/>
          <w:szCs w:val="24"/>
        </w:rPr>
        <w:t>2023</w:t>
      </w:r>
      <w:r w:rsidRPr="21628FAE">
        <w:rPr>
          <w:rFonts w:eastAsiaTheme="minorEastAsia"/>
          <w:color w:val="000000" w:themeColor="text1"/>
          <w:sz w:val="24"/>
          <w:szCs w:val="24"/>
        </w:rPr>
        <w:t xml:space="preserve">) </w:t>
      </w:r>
      <w:r w:rsidRPr="21628FAE" w:rsidR="60CDA9AA">
        <w:rPr>
          <w:rFonts w:eastAsiaTheme="minorEastAsia"/>
          <w:color w:val="000000" w:themeColor="text1"/>
          <w:sz w:val="24"/>
          <w:szCs w:val="24"/>
        </w:rPr>
        <w:t xml:space="preserve">Court - Jurisdiction, Procedure, Judiciaries. Available at: </w:t>
      </w:r>
      <w:hyperlink r:id="rId5">
        <w:r w:rsidRPr="21628FAE" w:rsidR="60CDA9AA">
          <w:rPr>
            <w:rStyle w:val="Hipercze"/>
            <w:rFonts w:eastAsiaTheme="minorEastAsia"/>
            <w:sz w:val="24"/>
            <w:szCs w:val="24"/>
            <w:u w:val="none"/>
          </w:rPr>
          <w:t>https://www.britannica.com/topic/court-law</w:t>
        </w:r>
      </w:hyperlink>
      <w:r w:rsidRPr="21628FAE" w:rsidR="60CDA9AA">
        <w:rPr>
          <w:rFonts w:eastAsiaTheme="minorEastAsia"/>
          <w:color w:val="000000" w:themeColor="text1"/>
          <w:sz w:val="24"/>
          <w:szCs w:val="24"/>
        </w:rPr>
        <w:t>.</w:t>
      </w:r>
      <w:r w:rsidRPr="21628FAE" w:rsidR="5E17740D">
        <w:rPr>
          <w:rFonts w:eastAsiaTheme="minorEastAsia"/>
          <w:color w:val="000000" w:themeColor="text1"/>
          <w:sz w:val="24"/>
          <w:szCs w:val="24"/>
        </w:rPr>
        <w:t xml:space="preserve"> (Accessed August 07,2023).</w:t>
      </w:r>
    </w:p>
    <w:p w:rsidR="673467B0" w:rsidP="21628FAE" w:rsidRDefault="673467B0" w14:paraId="2E7A270B" w14:textId="795F427E">
      <w:pPr>
        <w:rPr>
          <w:rFonts w:eastAsiaTheme="minorEastAsia"/>
          <w:sz w:val="24"/>
          <w:szCs w:val="24"/>
        </w:rPr>
      </w:pPr>
      <w:r w:rsidRPr="21628FAE">
        <w:rPr>
          <w:rFonts w:eastAsiaTheme="minorEastAsia"/>
          <w:color w:val="000000" w:themeColor="text1"/>
          <w:sz w:val="24"/>
          <w:szCs w:val="24"/>
        </w:rPr>
        <w:t>Gov</w:t>
      </w:r>
      <w:r w:rsidRPr="21628FAE" w:rsidR="6D6A31C0">
        <w:rPr>
          <w:rFonts w:eastAsiaTheme="minorEastAsia"/>
          <w:color w:val="000000" w:themeColor="text1"/>
          <w:sz w:val="24"/>
          <w:szCs w:val="24"/>
        </w:rPr>
        <w:t>UK</w:t>
      </w:r>
      <w:r w:rsidRPr="21628FAE" w:rsidR="165DD431">
        <w:rPr>
          <w:rFonts w:eastAsiaTheme="minorEastAsia"/>
          <w:color w:val="000000" w:themeColor="text1"/>
          <w:sz w:val="24"/>
          <w:szCs w:val="24"/>
        </w:rPr>
        <w:t xml:space="preserve"> </w:t>
      </w:r>
      <w:r w:rsidRPr="21628FAE" w:rsidR="6D6A31C0">
        <w:rPr>
          <w:rFonts w:eastAsiaTheme="minorEastAsia"/>
          <w:color w:val="000000" w:themeColor="text1"/>
          <w:sz w:val="24"/>
          <w:szCs w:val="24"/>
        </w:rPr>
        <w:t>(2020</w:t>
      </w:r>
      <w:r w:rsidRPr="21628FAE" w:rsidR="7B327192">
        <w:rPr>
          <w:rFonts w:eastAsiaTheme="minorEastAsia"/>
          <w:color w:val="000000" w:themeColor="text1"/>
          <w:sz w:val="24"/>
          <w:szCs w:val="24"/>
        </w:rPr>
        <w:t xml:space="preserve">). Ministry of </w:t>
      </w:r>
      <w:r w:rsidRPr="21628FAE" w:rsidR="4215FFBD">
        <w:rPr>
          <w:rFonts w:eastAsiaTheme="minorEastAsia"/>
          <w:color w:val="000000" w:themeColor="text1"/>
          <w:sz w:val="24"/>
          <w:szCs w:val="24"/>
        </w:rPr>
        <w:t>justice, A</w:t>
      </w:r>
      <w:r w:rsidRPr="21628FAE" w:rsidR="0FBA1532">
        <w:rPr>
          <w:rFonts w:eastAsiaTheme="minorEastAsia"/>
          <w:color w:val="000000" w:themeColor="text1"/>
          <w:sz w:val="24"/>
          <w:szCs w:val="24"/>
        </w:rPr>
        <w:t xml:space="preserve"> Guide to Criminal Court </w:t>
      </w:r>
      <w:r w:rsidRPr="21628FAE" w:rsidR="52653455">
        <w:rPr>
          <w:rFonts w:eastAsiaTheme="minorEastAsia"/>
          <w:color w:val="000000" w:themeColor="text1"/>
          <w:sz w:val="24"/>
          <w:szCs w:val="24"/>
        </w:rPr>
        <w:t>Statistics. Available</w:t>
      </w:r>
      <w:r w:rsidRPr="21628FAE" w:rsidR="0FBA1532">
        <w:rPr>
          <w:rFonts w:eastAsiaTheme="minorEastAsia"/>
          <w:color w:val="000000" w:themeColor="text1"/>
          <w:sz w:val="24"/>
          <w:szCs w:val="24"/>
        </w:rPr>
        <w:t xml:space="preserve"> at:</w:t>
      </w:r>
      <w:r w:rsidRPr="21628FAE" w:rsidR="3BAF6959">
        <w:rPr>
          <w:rFonts w:eastAsiaTheme="minorEastAsia"/>
          <w:sz w:val="24"/>
          <w:szCs w:val="24"/>
        </w:rPr>
        <w:t>A Guide to Criminal Court Statistics (publishing.service.gov.uk)</w:t>
      </w:r>
      <w:r w:rsidRPr="21628FAE" w:rsidR="4E7FA080">
        <w:rPr>
          <w:rFonts w:eastAsiaTheme="minorEastAsia"/>
          <w:sz w:val="24"/>
          <w:szCs w:val="24"/>
        </w:rPr>
        <w:t>. (Accessed August 07,2023).</w:t>
      </w:r>
    </w:p>
    <w:p w:rsidR="044E27B2" w:rsidP="21628FAE" w:rsidRDefault="044E27B2" w14:paraId="3F69C3CE" w14:textId="667E101C">
      <w:pPr>
        <w:pStyle w:val="Nagwek3"/>
        <w:rPr>
          <w:rFonts w:asciiTheme="minorHAnsi" w:hAnsiTheme="minorHAnsi" w:eastAsiaTheme="minorEastAsia" w:cstheme="minorBidi"/>
          <w:color w:val="1F3763"/>
        </w:rPr>
      </w:pPr>
      <w:r w:rsidRPr="21628FAE">
        <w:rPr>
          <w:rFonts w:asciiTheme="minorHAnsi" w:hAnsiTheme="minorHAnsi" w:eastAsiaTheme="minorEastAsia" w:cstheme="minorBidi"/>
          <w:color w:val="1F3763"/>
        </w:rPr>
        <w:t>GovUK</w:t>
      </w:r>
      <w:r w:rsidRPr="21628FAE" w:rsidR="03386633">
        <w:rPr>
          <w:rFonts w:asciiTheme="minorHAnsi" w:hAnsiTheme="minorHAnsi" w:eastAsiaTheme="minorEastAsia" w:cstheme="minorBidi"/>
          <w:color w:val="1F3763"/>
        </w:rPr>
        <w:t>(No date</w:t>
      </w:r>
      <w:r w:rsidRPr="21628FAE" w:rsidR="3ABBC25F">
        <w:rPr>
          <w:rFonts w:asciiTheme="minorHAnsi" w:hAnsiTheme="minorHAnsi" w:eastAsiaTheme="minorEastAsia" w:cstheme="minorBidi"/>
          <w:color w:val="1F3763"/>
        </w:rPr>
        <w:t>). Ideas</w:t>
      </w:r>
      <w:r w:rsidRPr="21628FAE">
        <w:rPr>
          <w:rFonts w:asciiTheme="minorHAnsi" w:hAnsiTheme="minorHAnsi" w:eastAsiaTheme="minorEastAsia" w:cstheme="minorBidi"/>
          <w:color w:val="1F3763"/>
        </w:rPr>
        <w:t xml:space="preserve"> for law reform - Law Commission.</w:t>
      </w:r>
      <w:r w:rsidRPr="21628FAE" w:rsidR="7C16DD2D">
        <w:rPr>
          <w:rFonts w:asciiTheme="minorHAnsi" w:hAnsiTheme="minorHAnsi" w:eastAsiaTheme="minorEastAsia" w:cstheme="minorBidi"/>
          <w:color w:val="333333"/>
        </w:rPr>
        <w:t xml:space="preserve"> Technological Advances and Procedural Efficiency in the Criminal Courts.</w:t>
      </w:r>
      <w:r w:rsidRPr="21628FAE">
        <w:rPr>
          <w:rFonts w:asciiTheme="minorHAnsi" w:hAnsiTheme="minorHAnsi" w:eastAsiaTheme="minorEastAsia" w:cstheme="minorBidi"/>
          <w:color w:val="1F3763"/>
        </w:rPr>
        <w:t xml:space="preserve"> Available at: </w:t>
      </w:r>
      <w:hyperlink r:id="rId6">
        <w:r w:rsidRPr="21628FAE">
          <w:rPr>
            <w:rStyle w:val="Hipercze"/>
            <w:rFonts w:asciiTheme="minorHAnsi" w:hAnsiTheme="minorHAnsi" w:eastAsiaTheme="minorEastAsia" w:cstheme="minorBidi"/>
            <w:u w:val="none"/>
          </w:rPr>
          <w:t>https://www.lawcom.gov.uk/14th-programme-kite-flying-document/.</w:t>
        </w:r>
        <w:r w:rsidRPr="21628FAE" w:rsidR="71CCE59F">
          <w:rPr>
            <w:rStyle w:val="Hipercze"/>
            <w:rFonts w:asciiTheme="minorHAnsi" w:hAnsiTheme="minorHAnsi" w:eastAsiaTheme="minorEastAsia" w:cstheme="minorBidi"/>
            <w:u w:val="none"/>
          </w:rPr>
          <w:t>(Accessed</w:t>
        </w:r>
      </w:hyperlink>
      <w:r w:rsidRPr="21628FAE" w:rsidR="71CCE59F">
        <w:rPr>
          <w:rFonts w:asciiTheme="minorHAnsi" w:hAnsiTheme="minorHAnsi" w:eastAsiaTheme="minorEastAsia" w:cstheme="minorBidi"/>
          <w:color w:val="1F3763"/>
        </w:rPr>
        <w:t xml:space="preserve"> August 07,2023).</w:t>
      </w:r>
    </w:p>
    <w:p w:rsidR="19D50E74" w:rsidP="21628FAE" w:rsidRDefault="19D50E74" w14:paraId="4D9FECC4" w14:textId="54FDE57B">
      <w:pPr>
        <w:pStyle w:val="Nagwek3"/>
        <w:rPr>
          <w:rFonts w:asciiTheme="minorHAnsi" w:hAnsiTheme="minorHAnsi" w:eastAsiaTheme="minorEastAsia" w:cstheme="minorBidi"/>
          <w:color w:val="000000" w:themeColor="text1"/>
        </w:rPr>
      </w:pPr>
      <w:r w:rsidRPr="21628FAE">
        <w:rPr>
          <w:rFonts w:asciiTheme="minorHAnsi" w:hAnsiTheme="minorHAnsi" w:eastAsiaTheme="minorEastAsia" w:cstheme="minorBidi"/>
          <w:color w:val="000000" w:themeColor="text1"/>
        </w:rPr>
        <w:t>Harris,L (2016</w:t>
      </w:r>
      <w:r w:rsidRPr="21628FAE" w:rsidR="5879F3A5">
        <w:rPr>
          <w:rFonts w:asciiTheme="minorHAnsi" w:hAnsiTheme="minorHAnsi" w:eastAsiaTheme="minorEastAsia" w:cstheme="minorBidi"/>
          <w:color w:val="000000" w:themeColor="text1"/>
        </w:rPr>
        <w:t>). The</w:t>
      </w:r>
      <w:r w:rsidRPr="21628FAE">
        <w:rPr>
          <w:rFonts w:asciiTheme="minorHAnsi" w:hAnsiTheme="minorHAnsi" w:eastAsiaTheme="minorEastAsia" w:cstheme="minorBidi"/>
          <w:color w:val="000000" w:themeColor="text1"/>
        </w:rPr>
        <w:t xml:space="preserve"> criminal courts - Full </w:t>
      </w:r>
      <w:r w:rsidRPr="21628FAE" w:rsidR="0432F588">
        <w:rPr>
          <w:rFonts w:asciiTheme="minorHAnsi" w:hAnsiTheme="minorHAnsi" w:eastAsiaTheme="minorEastAsia" w:cstheme="minorBidi"/>
          <w:color w:val="000000" w:themeColor="text1"/>
        </w:rPr>
        <w:t>Fact. Available</w:t>
      </w:r>
      <w:r w:rsidRPr="21628FAE">
        <w:rPr>
          <w:rFonts w:asciiTheme="minorHAnsi" w:hAnsiTheme="minorHAnsi" w:eastAsiaTheme="minorEastAsia" w:cstheme="minorBidi"/>
          <w:color w:val="000000" w:themeColor="text1"/>
        </w:rPr>
        <w:t xml:space="preserve"> at: </w:t>
      </w:r>
      <w:hyperlink r:id="rId7">
        <w:r w:rsidRPr="21628FAE">
          <w:rPr>
            <w:rStyle w:val="Hipercze"/>
            <w:rFonts w:asciiTheme="minorHAnsi" w:hAnsiTheme="minorHAnsi" w:eastAsiaTheme="minorEastAsia" w:cstheme="minorBidi"/>
          </w:rPr>
          <w:t>https://fullfact.org/law/criminal-courts-explained/</w:t>
        </w:r>
      </w:hyperlink>
      <w:r w:rsidRPr="21628FAE">
        <w:rPr>
          <w:rFonts w:asciiTheme="minorHAnsi" w:hAnsiTheme="minorHAnsi" w:eastAsiaTheme="minorEastAsia" w:cstheme="minorBidi"/>
          <w:color w:val="000000" w:themeColor="text1"/>
        </w:rPr>
        <w:t>. (Accessed August 07,2023</w:t>
      </w:r>
      <w:r w:rsidRPr="21628FAE" w:rsidR="7927810C">
        <w:rPr>
          <w:rFonts w:asciiTheme="minorHAnsi" w:hAnsiTheme="minorHAnsi" w:eastAsiaTheme="minorEastAsia" w:cstheme="minorBidi"/>
          <w:color w:val="000000" w:themeColor="text1"/>
        </w:rPr>
        <w:t>).</w:t>
      </w:r>
    </w:p>
    <w:p w:rsidR="21628FAE" w:rsidP="21628FAE" w:rsidRDefault="21628FAE" w14:paraId="0D1DE775" w14:textId="043C0F6E">
      <w:pPr>
        <w:keepNext/>
        <w:keepLines/>
        <w:rPr>
          <w:rFonts w:eastAsiaTheme="minorEastAsia"/>
          <w:color w:val="222222"/>
          <w:sz w:val="24"/>
          <w:szCs w:val="24"/>
        </w:rPr>
      </w:pPr>
    </w:p>
    <w:p w:rsidR="55C3BE08" w:rsidP="0D0D1A97" w:rsidRDefault="55C3BE08" w14:paraId="46CE7869" w14:textId="2E9BB94C">
      <w:pPr>
        <w:keepNext w:val="1"/>
        <w:keepLines w:val="1"/>
        <w:rPr>
          <w:rFonts w:eastAsia="" w:eastAsiaTheme="minorEastAsia"/>
          <w:color w:val="222222"/>
          <w:sz w:val="24"/>
          <w:szCs w:val="24"/>
        </w:rPr>
      </w:pPr>
      <w:r w:rsidRPr="0D0D1A97" w:rsidR="55C3BE08">
        <w:rPr>
          <w:rFonts w:eastAsia="" w:eastAsiaTheme="minorEastAsia"/>
          <w:color w:val="222222"/>
          <w:sz w:val="24"/>
          <w:szCs w:val="24"/>
        </w:rPr>
        <w:t>Ivković</w:t>
      </w:r>
      <w:r w:rsidRPr="0D0D1A97" w:rsidR="55C3BE08">
        <w:rPr>
          <w:rFonts w:eastAsia="" w:eastAsiaTheme="minorEastAsia"/>
          <w:color w:val="222222"/>
          <w:sz w:val="24"/>
          <w:szCs w:val="24"/>
        </w:rPr>
        <w:t xml:space="preserve">, S.K., Diamond, S.S., Hans. (2021). V.P. and </w:t>
      </w:r>
      <w:r w:rsidRPr="0D0D1A97" w:rsidR="55C3BE08">
        <w:rPr>
          <w:rFonts w:eastAsia="" w:eastAsiaTheme="minorEastAsia"/>
          <w:color w:val="222222"/>
          <w:sz w:val="24"/>
          <w:szCs w:val="24"/>
        </w:rPr>
        <w:t>Marder</w:t>
      </w:r>
      <w:r w:rsidRPr="0D0D1A97" w:rsidR="55C3BE08">
        <w:rPr>
          <w:rFonts w:eastAsia="" w:eastAsiaTheme="minorEastAsia"/>
          <w:color w:val="222222"/>
          <w:sz w:val="24"/>
          <w:szCs w:val="24"/>
        </w:rPr>
        <w:t xml:space="preserve">, N.S. eds. </w:t>
      </w:r>
      <w:r w:rsidRPr="0D0D1A97" w:rsidR="55C3BE08">
        <w:rPr>
          <w:rFonts w:eastAsia="" w:eastAsiaTheme="minorEastAsia"/>
          <w:i w:val="1"/>
          <w:iCs w:val="1"/>
          <w:color w:val="222222"/>
          <w:sz w:val="24"/>
          <w:szCs w:val="24"/>
        </w:rPr>
        <w:t>Juries, lay judges, and mixed courts: A global perspective</w:t>
      </w:r>
      <w:r w:rsidRPr="0D0D1A97" w:rsidR="55C3BE08">
        <w:rPr>
          <w:rFonts w:eastAsia="" w:eastAsiaTheme="minorEastAsia"/>
          <w:color w:val="222222"/>
          <w:sz w:val="24"/>
          <w:szCs w:val="24"/>
        </w:rPr>
        <w:t>. Cambridge University Press. page 131-139</w:t>
      </w:r>
    </w:p>
    <w:p w:rsidR="73BB15D2" w:rsidP="21628FAE" w:rsidRDefault="73BB15D2" w14:paraId="63107D3C" w14:textId="668A1A6C">
      <w:pPr>
        <w:rPr>
          <w:rFonts w:eastAsiaTheme="minorEastAsia"/>
          <w:color w:val="000000" w:themeColor="text1"/>
          <w:sz w:val="24"/>
          <w:szCs w:val="24"/>
        </w:rPr>
      </w:pPr>
      <w:r w:rsidRPr="21628FAE">
        <w:rPr>
          <w:rFonts w:eastAsiaTheme="minorEastAsia"/>
          <w:color w:val="000000" w:themeColor="text1"/>
          <w:sz w:val="24"/>
          <w:szCs w:val="24"/>
        </w:rPr>
        <w:t xml:space="preserve"> Jacobson, J., Hunter, G. and Kirby, A. (2015). Inside crown </w:t>
      </w:r>
      <w:r w:rsidRPr="21628FAE" w:rsidR="5400AAD9">
        <w:rPr>
          <w:rFonts w:eastAsiaTheme="minorEastAsia"/>
          <w:color w:val="000000" w:themeColor="text1"/>
          <w:sz w:val="24"/>
          <w:szCs w:val="24"/>
        </w:rPr>
        <w:t>court:</w:t>
      </w:r>
      <w:r w:rsidRPr="21628FAE">
        <w:rPr>
          <w:rFonts w:eastAsiaTheme="minorEastAsia"/>
          <w:color w:val="000000" w:themeColor="text1"/>
          <w:sz w:val="24"/>
          <w:szCs w:val="24"/>
        </w:rPr>
        <w:t xml:space="preserve"> personal experiences and questions of legitimacy (page 25). First edition. Bristol, </w:t>
      </w:r>
      <w:r w:rsidRPr="21628FAE" w:rsidR="07D15D32">
        <w:rPr>
          <w:rFonts w:eastAsiaTheme="minorEastAsia"/>
          <w:color w:val="000000" w:themeColor="text1"/>
          <w:sz w:val="24"/>
          <w:szCs w:val="24"/>
        </w:rPr>
        <w:t>UK;</w:t>
      </w:r>
      <w:r w:rsidRPr="21628FAE">
        <w:rPr>
          <w:rFonts w:eastAsiaTheme="minorEastAsia"/>
          <w:color w:val="000000" w:themeColor="text1"/>
          <w:sz w:val="24"/>
          <w:szCs w:val="24"/>
        </w:rPr>
        <w:t xml:space="preserve"> Chicago, IL: Policy Press. Available at: </w:t>
      </w:r>
      <w:hyperlink r:id="rId8">
        <w:r w:rsidRPr="21628FAE">
          <w:rPr>
            <w:rStyle w:val="Hipercze"/>
            <w:rFonts w:eastAsiaTheme="minorEastAsia"/>
            <w:sz w:val="24"/>
            <w:szCs w:val="24"/>
          </w:rPr>
          <w:t>https://doi.org/10.51952/9781447313724</w:t>
        </w:r>
      </w:hyperlink>
      <w:r w:rsidRPr="21628FAE">
        <w:rPr>
          <w:rFonts w:eastAsiaTheme="minorEastAsia"/>
          <w:color w:val="000000" w:themeColor="text1"/>
          <w:sz w:val="24"/>
          <w:szCs w:val="24"/>
        </w:rPr>
        <w:t>. (A</w:t>
      </w:r>
      <w:r w:rsidRPr="21628FAE" w:rsidR="2BF964A0">
        <w:rPr>
          <w:rFonts w:eastAsiaTheme="minorEastAsia"/>
          <w:color w:val="000000" w:themeColor="text1"/>
          <w:sz w:val="24"/>
          <w:szCs w:val="24"/>
        </w:rPr>
        <w:t>ccessed August 07,2023).</w:t>
      </w:r>
    </w:p>
    <w:p w:rsidR="7E109B1C" w:rsidP="21628FAE" w:rsidRDefault="7E109B1C" w14:paraId="59AFAB76" w14:textId="197244E3">
      <w:pPr>
        <w:rPr>
          <w:rFonts w:eastAsiaTheme="minorEastAsia"/>
          <w:color w:val="000000" w:themeColor="text1"/>
          <w:sz w:val="24"/>
          <w:szCs w:val="24"/>
        </w:rPr>
      </w:pPr>
      <w:r w:rsidRPr="21628FAE">
        <w:rPr>
          <w:rFonts w:eastAsiaTheme="minorEastAsia"/>
          <w:color w:val="000000" w:themeColor="text1"/>
          <w:sz w:val="24"/>
          <w:szCs w:val="24"/>
        </w:rPr>
        <w:t>Judiciary (2020</w:t>
      </w:r>
      <w:r w:rsidRPr="21628FAE" w:rsidR="1FB59701">
        <w:rPr>
          <w:rFonts w:eastAsiaTheme="minorEastAsia"/>
          <w:color w:val="000000" w:themeColor="text1"/>
          <w:sz w:val="24"/>
          <w:szCs w:val="24"/>
        </w:rPr>
        <w:t>). Judicial</w:t>
      </w:r>
      <w:r w:rsidRPr="21628FAE">
        <w:rPr>
          <w:rFonts w:eastAsiaTheme="minorEastAsia"/>
          <w:color w:val="000000" w:themeColor="text1"/>
          <w:sz w:val="24"/>
          <w:szCs w:val="24"/>
        </w:rPr>
        <w:t xml:space="preserve"> Diversity and Inclusion Strategy 2020 – 2025 launched - Courts and Tribunals Judiciary. Available at: </w:t>
      </w:r>
      <w:hyperlink r:id="rId9">
        <w:r w:rsidRPr="21628FAE">
          <w:rPr>
            <w:rStyle w:val="Hipercze"/>
            <w:rFonts w:eastAsiaTheme="minorEastAsia"/>
            <w:sz w:val="24"/>
            <w:szCs w:val="24"/>
          </w:rPr>
          <w:t>https://www.judiciary.uk/guidance-and-resources/judicial-diversity-and-inclusion-strategy-2020-2025-launched/</w:t>
        </w:r>
      </w:hyperlink>
      <w:r w:rsidRPr="21628FAE">
        <w:rPr>
          <w:rFonts w:eastAsiaTheme="minorEastAsia"/>
          <w:color w:val="000000" w:themeColor="text1"/>
          <w:sz w:val="24"/>
          <w:szCs w:val="24"/>
        </w:rPr>
        <w:t xml:space="preserve">. (Accessed </w:t>
      </w:r>
      <w:r w:rsidRPr="21628FAE" w:rsidR="2A05EF44">
        <w:rPr>
          <w:rFonts w:eastAsiaTheme="minorEastAsia"/>
          <w:color w:val="000000" w:themeColor="text1"/>
          <w:sz w:val="24"/>
          <w:szCs w:val="24"/>
        </w:rPr>
        <w:t>August 07,2023).</w:t>
      </w:r>
    </w:p>
    <w:p w:rsidR="1C07F2E7" w:rsidP="21628FAE" w:rsidRDefault="1C07F2E7" w14:paraId="5047D3B1" w14:textId="1297FD39">
      <w:pPr>
        <w:rPr>
          <w:rFonts w:eastAsiaTheme="minorEastAsia"/>
          <w:sz w:val="24"/>
          <w:szCs w:val="24"/>
        </w:rPr>
      </w:pPr>
      <w:r w:rsidRPr="21628FAE">
        <w:rPr>
          <w:rFonts w:eastAsiaTheme="minorEastAsia"/>
          <w:color w:val="000000" w:themeColor="text1"/>
          <w:sz w:val="24"/>
          <w:szCs w:val="24"/>
        </w:rPr>
        <w:t>Juries Act (1974</w:t>
      </w:r>
      <w:r w:rsidRPr="21628FAE" w:rsidR="28A7D7CE">
        <w:rPr>
          <w:rFonts w:eastAsiaTheme="minorEastAsia"/>
          <w:color w:val="000000" w:themeColor="text1"/>
          <w:sz w:val="24"/>
          <w:szCs w:val="24"/>
        </w:rPr>
        <w:t>). Legislation Gov UK. Available</w:t>
      </w:r>
      <w:r w:rsidRPr="21628FAE">
        <w:rPr>
          <w:rFonts w:eastAsiaTheme="minorEastAsia"/>
          <w:color w:val="000000" w:themeColor="text1"/>
          <w:sz w:val="24"/>
          <w:szCs w:val="24"/>
        </w:rPr>
        <w:t xml:space="preserve"> at: </w:t>
      </w:r>
      <w:hyperlink r:id="rId10">
        <w:r w:rsidRPr="21628FAE">
          <w:rPr>
            <w:rStyle w:val="Hipercze"/>
            <w:rFonts w:eastAsiaTheme="minorEastAsia"/>
            <w:sz w:val="24"/>
            <w:szCs w:val="24"/>
          </w:rPr>
          <w:t>https://www.legislation.gov.uk/ukpga/1974/23</w:t>
        </w:r>
        <w:r w:rsidRPr="21628FAE" w:rsidR="1AA9DB71">
          <w:rPr>
            <w:rStyle w:val="Hipercze"/>
            <w:rFonts w:eastAsiaTheme="minorEastAsia"/>
            <w:sz w:val="24"/>
            <w:szCs w:val="24"/>
          </w:rPr>
          <w:t>.</w:t>
        </w:r>
      </w:hyperlink>
      <w:r w:rsidRPr="21628FAE" w:rsidR="1AA9DB71">
        <w:rPr>
          <w:rFonts w:eastAsiaTheme="minorEastAsia"/>
          <w:sz w:val="24"/>
          <w:szCs w:val="24"/>
        </w:rPr>
        <w:t>(Accessed August 07,2023).</w:t>
      </w:r>
    </w:p>
    <w:p w:rsidR="75B74389" w:rsidP="21628FAE" w:rsidRDefault="75B74389" w14:paraId="3E1BFFE7" w14:textId="5F07A730">
      <w:pPr>
        <w:rPr>
          <w:rFonts w:eastAsiaTheme="minorEastAsia"/>
          <w:sz w:val="24"/>
          <w:szCs w:val="24"/>
        </w:rPr>
      </w:pPr>
      <w:proofErr w:type="spellStart"/>
      <w:r w:rsidRPr="21628FAE">
        <w:rPr>
          <w:rFonts w:eastAsiaTheme="minorEastAsia"/>
          <w:color w:val="000000" w:themeColor="text1"/>
          <w:sz w:val="24"/>
          <w:szCs w:val="24"/>
        </w:rPr>
        <w:t>Rab</w:t>
      </w:r>
      <w:proofErr w:type="spellEnd"/>
      <w:r w:rsidRPr="21628FAE">
        <w:rPr>
          <w:rFonts w:eastAsiaTheme="minorEastAsia"/>
          <w:color w:val="000000" w:themeColor="text1"/>
          <w:sz w:val="24"/>
          <w:szCs w:val="24"/>
        </w:rPr>
        <w:t xml:space="preserve"> (</w:t>
      </w:r>
      <w:r w:rsidRPr="21628FAE" w:rsidR="594EC0A2">
        <w:rPr>
          <w:rFonts w:eastAsiaTheme="minorEastAsia"/>
          <w:color w:val="000000" w:themeColor="text1"/>
          <w:sz w:val="24"/>
          <w:szCs w:val="24"/>
        </w:rPr>
        <w:t>2023</w:t>
      </w:r>
      <w:r w:rsidRPr="21628FAE" w:rsidR="4D202369">
        <w:rPr>
          <w:rFonts w:eastAsiaTheme="minorEastAsia"/>
          <w:color w:val="000000" w:themeColor="text1"/>
          <w:sz w:val="24"/>
          <w:szCs w:val="24"/>
        </w:rPr>
        <w:t>). Legal</w:t>
      </w:r>
      <w:r w:rsidRPr="21628FAE" w:rsidR="74AE3840">
        <w:rPr>
          <w:rFonts w:eastAsiaTheme="minorEastAsia"/>
          <w:color w:val="000000" w:themeColor="text1"/>
          <w:sz w:val="24"/>
          <w:szCs w:val="24"/>
        </w:rPr>
        <w:t xml:space="preserve"> Systems in the UK. Available at:</w:t>
      </w:r>
      <w:r w:rsidRPr="21628FAE" w:rsidR="594EC0A2">
        <w:rPr>
          <w:rFonts w:eastAsiaTheme="minorEastAsia"/>
          <w:color w:val="000000" w:themeColor="text1"/>
          <w:sz w:val="24"/>
          <w:szCs w:val="24"/>
        </w:rPr>
        <w:t xml:space="preserve"> </w:t>
      </w:r>
      <w:hyperlink w:anchor="co_anchor_a229984" r:id="rId11">
        <w:r w:rsidRPr="21628FAE" w:rsidR="594EC0A2">
          <w:rPr>
            <w:rStyle w:val="Hipercze"/>
            <w:rFonts w:eastAsiaTheme="minorEastAsia"/>
            <w:sz w:val="24"/>
            <w:szCs w:val="24"/>
          </w:rPr>
          <w:t>Legal Systems in the UK (England and Wales): Overview | Practical Law (thomsonreuters.com)</w:t>
        </w:r>
        <w:r w:rsidRPr="21628FAE" w:rsidR="3C43702B">
          <w:rPr>
            <w:rStyle w:val="Hipercze"/>
            <w:rFonts w:eastAsiaTheme="minorEastAsia"/>
            <w:sz w:val="24"/>
            <w:szCs w:val="24"/>
          </w:rPr>
          <w:t>.</w:t>
        </w:r>
      </w:hyperlink>
      <w:r w:rsidRPr="21628FAE" w:rsidR="3C43702B">
        <w:rPr>
          <w:rFonts w:eastAsiaTheme="minorEastAsia"/>
          <w:sz w:val="24"/>
          <w:szCs w:val="24"/>
        </w:rPr>
        <w:t xml:space="preserve"> (Accessed August 07,2023).</w:t>
      </w:r>
    </w:p>
    <w:p w:rsidR="7FF5FF00" w:rsidP="21628FAE" w:rsidRDefault="7FF5FF00" w14:paraId="16D2717F" w14:textId="23A9B710">
      <w:pPr>
        <w:rPr>
          <w:rFonts w:eastAsiaTheme="minorEastAsia"/>
          <w:color w:val="000000" w:themeColor="text1"/>
          <w:sz w:val="24"/>
          <w:szCs w:val="24"/>
        </w:rPr>
      </w:pPr>
      <w:r w:rsidRPr="21628FAE">
        <w:rPr>
          <w:rFonts w:eastAsiaTheme="minorEastAsia"/>
          <w:color w:val="222222"/>
          <w:sz w:val="24"/>
          <w:szCs w:val="24"/>
        </w:rPr>
        <w:t xml:space="preserve">Soubise, L., </w:t>
      </w:r>
      <w:r w:rsidRPr="21628FAE" w:rsidR="3DCAFA44">
        <w:rPr>
          <w:rFonts w:eastAsiaTheme="minorEastAsia"/>
          <w:color w:val="222222"/>
          <w:sz w:val="24"/>
          <w:szCs w:val="24"/>
        </w:rPr>
        <w:t>(2017</w:t>
      </w:r>
      <w:r w:rsidRPr="21628FAE">
        <w:rPr>
          <w:rFonts w:eastAsiaTheme="minorEastAsia"/>
          <w:color w:val="222222"/>
          <w:sz w:val="24"/>
          <w:szCs w:val="24"/>
        </w:rPr>
        <w:t xml:space="preserve">). Prosecuting in the magistrates' courts in a time of austerity. </w:t>
      </w:r>
      <w:r w:rsidRPr="21628FAE">
        <w:rPr>
          <w:rFonts w:eastAsiaTheme="minorEastAsia"/>
          <w:i/>
          <w:iCs/>
          <w:color w:val="222222"/>
          <w:sz w:val="24"/>
          <w:szCs w:val="24"/>
        </w:rPr>
        <w:t>Criminal Law Review</w:t>
      </w:r>
      <w:r w:rsidRPr="21628FAE">
        <w:rPr>
          <w:rFonts w:eastAsiaTheme="minorEastAsia"/>
          <w:color w:val="222222"/>
          <w:sz w:val="24"/>
          <w:szCs w:val="24"/>
        </w:rPr>
        <w:t xml:space="preserve">, </w:t>
      </w:r>
      <w:r w:rsidRPr="21628FAE">
        <w:rPr>
          <w:rFonts w:eastAsiaTheme="minorEastAsia"/>
          <w:i/>
          <w:iCs/>
          <w:color w:val="222222"/>
          <w:sz w:val="24"/>
          <w:szCs w:val="24"/>
        </w:rPr>
        <w:t>11</w:t>
      </w:r>
      <w:r w:rsidRPr="21628FAE">
        <w:rPr>
          <w:rFonts w:eastAsiaTheme="minorEastAsia"/>
          <w:color w:val="222222"/>
          <w:sz w:val="24"/>
          <w:szCs w:val="24"/>
        </w:rPr>
        <w:t xml:space="preserve">, </w:t>
      </w:r>
      <w:r w:rsidRPr="21628FAE" w:rsidR="6705D6B3">
        <w:rPr>
          <w:rFonts w:eastAsiaTheme="minorEastAsia"/>
          <w:color w:val="222222"/>
          <w:sz w:val="24"/>
          <w:szCs w:val="24"/>
        </w:rPr>
        <w:t>(</w:t>
      </w:r>
      <w:r w:rsidRPr="21628FAE">
        <w:rPr>
          <w:rFonts w:eastAsiaTheme="minorEastAsia"/>
          <w:color w:val="222222"/>
          <w:sz w:val="24"/>
          <w:szCs w:val="24"/>
        </w:rPr>
        <w:t>pp.847-859</w:t>
      </w:r>
      <w:r w:rsidRPr="21628FAE" w:rsidR="53F403B2">
        <w:rPr>
          <w:rFonts w:eastAsiaTheme="minorEastAsia"/>
          <w:color w:val="222222"/>
          <w:sz w:val="24"/>
          <w:szCs w:val="24"/>
        </w:rPr>
        <w:t>). Available</w:t>
      </w:r>
      <w:r w:rsidRPr="21628FAE" w:rsidR="058CAB77">
        <w:rPr>
          <w:rFonts w:eastAsiaTheme="minorEastAsia"/>
          <w:color w:val="222222"/>
          <w:sz w:val="24"/>
          <w:szCs w:val="24"/>
        </w:rPr>
        <w:t xml:space="preserve"> at:</w:t>
      </w:r>
      <w:r w:rsidRPr="21628FAE">
        <w:rPr>
          <w:rFonts w:eastAsiaTheme="minorEastAsia"/>
          <w:color w:val="222222"/>
          <w:sz w:val="24"/>
          <w:szCs w:val="24"/>
        </w:rPr>
        <w:t xml:space="preserve"> </w:t>
      </w:r>
      <w:r w:rsidRPr="21628FAE">
        <w:rPr>
          <w:rFonts w:eastAsiaTheme="minorEastAsia"/>
          <w:color w:val="000000" w:themeColor="text1"/>
          <w:sz w:val="24"/>
          <w:szCs w:val="24"/>
        </w:rPr>
        <w:t>WRAP-Prosecuting-magistrates-austerity-Soubise-2017.pdf (warwick.ac.uk)</w:t>
      </w:r>
      <w:r w:rsidRPr="21628FAE" w:rsidR="0CFBF1C1">
        <w:rPr>
          <w:rFonts w:eastAsiaTheme="minorEastAsia"/>
          <w:color w:val="000000" w:themeColor="text1"/>
          <w:sz w:val="24"/>
          <w:szCs w:val="24"/>
        </w:rPr>
        <w:t>. (Accessed August 07,2023).</w:t>
      </w:r>
    </w:p>
    <w:p w:rsidR="7C6FDF75" w:rsidP="21628FAE" w:rsidRDefault="7C6FDF75" w14:paraId="29FB2943" w14:textId="120B557E">
      <w:pPr>
        <w:rPr>
          <w:rFonts w:eastAsiaTheme="minorEastAsia"/>
          <w:sz w:val="24"/>
          <w:szCs w:val="24"/>
        </w:rPr>
      </w:pPr>
      <w:r w:rsidRPr="21628FAE">
        <w:rPr>
          <w:rFonts w:eastAsiaTheme="minorEastAsia"/>
          <w:color w:val="000000" w:themeColor="text1"/>
          <w:sz w:val="24"/>
          <w:szCs w:val="24"/>
        </w:rPr>
        <w:t xml:space="preserve">Smith, P. (2022). The English and Welsh Legal System | Historic Cornwall. Available at: </w:t>
      </w:r>
      <w:hyperlink r:id="rId12">
        <w:r w:rsidRPr="21628FAE">
          <w:rPr>
            <w:rStyle w:val="Hipercze"/>
            <w:rFonts w:eastAsiaTheme="minorEastAsia"/>
            <w:sz w:val="24"/>
            <w:szCs w:val="24"/>
          </w:rPr>
          <w:t>https://www.historic-cornwall.org.uk/the-english-and-welsh-legal-system/</w:t>
        </w:r>
      </w:hyperlink>
      <w:r w:rsidRPr="21628FAE">
        <w:rPr>
          <w:rFonts w:eastAsiaTheme="minorEastAsia"/>
          <w:color w:val="000000" w:themeColor="text1"/>
          <w:sz w:val="24"/>
          <w:szCs w:val="24"/>
        </w:rPr>
        <w:t>. (Accessed August 07,2023).</w:t>
      </w:r>
    </w:p>
    <w:p w:rsidR="21628FAE" w:rsidP="21628FAE" w:rsidRDefault="21628FAE" w14:paraId="7F499B1B" w14:textId="04766BFC">
      <w:pPr>
        <w:rPr>
          <w:rFonts w:eastAsiaTheme="minorEastAsia"/>
          <w:color w:val="000000" w:themeColor="text1"/>
          <w:sz w:val="24"/>
          <w:szCs w:val="24"/>
        </w:rPr>
      </w:pPr>
    </w:p>
    <w:p w:rsidR="21628FAE" w:rsidP="21628FAE" w:rsidRDefault="21628FAE" w14:paraId="644075D6" w14:textId="4A15FFC0">
      <w:pPr>
        <w:rPr>
          <w:rFonts w:ascii="Calibri" w:hAnsi="Calibri" w:eastAsia="Calibri" w:cs="Calibri"/>
        </w:rPr>
      </w:pPr>
    </w:p>
    <w:p w:rsidR="21628FAE" w:rsidP="21628FAE" w:rsidRDefault="21628FAE" w14:paraId="17BC7D45" w14:textId="52FE153E">
      <w:pPr>
        <w:rPr>
          <w:rFonts w:ascii="Calibri" w:hAnsi="Calibri" w:eastAsia="Calibri" w:cs="Calibri"/>
        </w:rPr>
      </w:pPr>
    </w:p>
    <w:p w:rsidR="21628FAE" w:rsidP="21628FAE" w:rsidRDefault="21628FAE" w14:paraId="64AE87B6" w14:textId="57DC62FD">
      <w:pPr>
        <w:rPr>
          <w:rFonts w:ascii="Calibri" w:hAnsi="Calibri" w:eastAsia="Calibri" w:cs="Calibri"/>
        </w:rPr>
      </w:pPr>
    </w:p>
    <w:p w:rsidR="21628FAE" w:rsidP="21628FAE" w:rsidRDefault="21628FAE" w14:paraId="05CBC56E" w14:textId="074BC829">
      <w:pPr>
        <w:rPr>
          <w:rFonts w:ascii="Calibri" w:hAnsi="Calibri" w:eastAsia="Calibri" w:cs="Calibri"/>
        </w:rPr>
      </w:pPr>
    </w:p>
    <w:p w:rsidR="21628FAE" w:rsidP="21628FAE" w:rsidRDefault="21628FAE" w14:paraId="21C5E6BF" w14:textId="2B8685C8">
      <w:pPr>
        <w:rPr>
          <w:rFonts w:ascii="Calibri" w:hAnsi="Calibri" w:eastAsia="Calibri" w:cs="Calibri"/>
        </w:rPr>
      </w:pPr>
    </w:p>
    <w:p w:rsidR="21628FAE" w:rsidP="21628FAE" w:rsidRDefault="21628FAE" w14:paraId="4D1DA515" w14:textId="45E04F3B">
      <w:pPr>
        <w:rPr>
          <w:rFonts w:ascii="Calibri" w:hAnsi="Calibri" w:eastAsia="Calibri" w:cs="Calibri"/>
          <w:color w:val="000000" w:themeColor="text1"/>
        </w:rPr>
      </w:pPr>
    </w:p>
    <w:p w:rsidR="21628FAE" w:rsidP="21628FAE" w:rsidRDefault="21628FAE" w14:paraId="4FDF805D" w14:textId="429D44B4">
      <w:pPr>
        <w:rPr>
          <w:rFonts w:ascii="Calibri" w:hAnsi="Calibri" w:eastAsia="Calibri" w:cs="Calibri"/>
          <w:color w:val="000000" w:themeColor="text1"/>
        </w:rPr>
      </w:pPr>
    </w:p>
    <w:p w:rsidR="21628FAE" w:rsidP="21628FAE" w:rsidRDefault="21628FAE" w14:paraId="3545BBE9" w14:textId="7224B333">
      <w:pPr>
        <w:rPr>
          <w:rFonts w:ascii="Calibri" w:hAnsi="Calibri" w:eastAsia="Calibri" w:cs="Calibri"/>
          <w:color w:val="000000" w:themeColor="text1"/>
        </w:rPr>
      </w:pPr>
    </w:p>
    <w:p w:rsidR="21628FAE" w:rsidP="21628FAE" w:rsidRDefault="21628FAE" w14:paraId="04D8DAB8" w14:textId="6F4AADE6">
      <w:pPr>
        <w:rPr>
          <w:rFonts w:ascii="Arial" w:hAnsi="Arial" w:eastAsia="Arial" w:cs="Arial"/>
          <w:color w:val="222222"/>
          <w:sz w:val="19"/>
          <w:szCs w:val="19"/>
        </w:rPr>
      </w:pPr>
    </w:p>
    <w:p w:rsidR="21628FAE" w:rsidP="21628FAE" w:rsidRDefault="21628FAE" w14:paraId="4F17C1FC" w14:textId="1C28D9BE">
      <w:pPr>
        <w:keepNext/>
        <w:keepLines/>
        <w:rPr>
          <w:rFonts w:eastAsiaTheme="minorEastAsia"/>
          <w:b/>
          <w:bCs/>
          <w:color w:val="000000" w:themeColor="text1"/>
          <w:sz w:val="24"/>
          <w:szCs w:val="24"/>
        </w:rPr>
      </w:pPr>
    </w:p>
    <w:p w:rsidR="21628FAE" w:rsidP="21628FAE" w:rsidRDefault="21628FAE" w14:paraId="13FE4FBB" w14:textId="385B1B14">
      <w:pPr>
        <w:keepNext/>
        <w:keepLines/>
        <w:rPr>
          <w:rFonts w:eastAsiaTheme="minorEastAsia"/>
          <w:b/>
          <w:bCs/>
          <w:color w:val="000000" w:themeColor="text1"/>
          <w:sz w:val="24"/>
          <w:szCs w:val="24"/>
        </w:rPr>
      </w:pPr>
    </w:p>
    <w:p w:rsidR="21628FAE" w:rsidP="21628FAE" w:rsidRDefault="21628FAE" w14:paraId="73589CDD" w14:textId="21FE182F">
      <w:pPr>
        <w:keepNext/>
        <w:keepLines/>
      </w:pPr>
    </w:p>
    <w:p w:rsidR="21628FAE" w:rsidP="21628FAE" w:rsidRDefault="21628FAE" w14:paraId="47AEC133" w14:textId="780D76C8">
      <w:pPr>
        <w:rPr>
          <w:rFonts w:eastAsiaTheme="minorEastAsia"/>
          <w:color w:val="000000" w:themeColor="text1"/>
          <w:sz w:val="24"/>
          <w:szCs w:val="24"/>
        </w:rPr>
      </w:pPr>
    </w:p>
    <w:p w:rsidR="21628FAE" w:rsidP="21628FAE" w:rsidRDefault="21628FAE" w14:paraId="253E9C41" w14:textId="604F366C">
      <w:pPr>
        <w:rPr>
          <w:rFonts w:eastAsiaTheme="minorEastAsia"/>
          <w:b/>
          <w:bCs/>
          <w:i/>
          <w:iCs/>
          <w:color w:val="1E1E1E"/>
          <w:sz w:val="24"/>
          <w:szCs w:val="24"/>
        </w:rPr>
      </w:pPr>
    </w:p>
    <w:sectPr w:rsidR="21628FAE">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Grandview Display">
    <w:panose1 w:val="020B0502040204020203"/>
    <w:charset w:val="00"/>
    <w:family w:val="swiss"/>
    <w:pitch w:val="variable"/>
    <w:sig w:usb0="A00002C7" w:usb1="00000002" w:usb2="00000000" w:usb3="00000000" w:csb0="0000019F" w:csb1="00000000"/>
  </w:font>
  <w:font w:name="Bahnschrift">
    <w:panose1 w:val="020B0502040204020203"/>
    <w:charset w:val="00"/>
    <w:family w:val="swiss"/>
    <w:pitch w:val="variable"/>
    <w:sig w:usb0="A00002C7" w:usb1="00000002"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YemLXUi4B0mBl" int2:id="TNoWGyX1">
      <int2:state int2:value="Rejected" int2:type="AugLoop_Text_Critique"/>
    </int2:textHash>
    <int2:bookmark int2:bookmarkName="_Int_i8Hzzjum" int2:invalidationBookmarkName="" int2:hashCode="FiNCzSReCiV7Qq" int2:id="60h9kcFb">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trackRevisions w:val="false"/>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18DCC1A"/>
    <w:rsid w:val="001780DE"/>
    <w:rsid w:val="0040482D"/>
    <w:rsid w:val="00581494"/>
    <w:rsid w:val="00906C16"/>
    <w:rsid w:val="009C42DD"/>
    <w:rsid w:val="00B32E56"/>
    <w:rsid w:val="00C52E12"/>
    <w:rsid w:val="00DD6FD0"/>
    <w:rsid w:val="00E57B48"/>
    <w:rsid w:val="010C17B7"/>
    <w:rsid w:val="0184C026"/>
    <w:rsid w:val="03386633"/>
    <w:rsid w:val="03CAB7DB"/>
    <w:rsid w:val="0432F588"/>
    <w:rsid w:val="044E27B2"/>
    <w:rsid w:val="04BC60E8"/>
    <w:rsid w:val="04F322D6"/>
    <w:rsid w:val="052F1EA7"/>
    <w:rsid w:val="058CAB77"/>
    <w:rsid w:val="07D15D32"/>
    <w:rsid w:val="09DBE17C"/>
    <w:rsid w:val="0AE85B6E"/>
    <w:rsid w:val="0CFBF1C1"/>
    <w:rsid w:val="0D0D1A97"/>
    <w:rsid w:val="0E42060D"/>
    <w:rsid w:val="0FBA1532"/>
    <w:rsid w:val="0FF8353F"/>
    <w:rsid w:val="12CFE9C4"/>
    <w:rsid w:val="138F6FFF"/>
    <w:rsid w:val="15ECF5D0"/>
    <w:rsid w:val="165DD431"/>
    <w:rsid w:val="170AC1E8"/>
    <w:rsid w:val="1790E58D"/>
    <w:rsid w:val="17996A8B"/>
    <w:rsid w:val="18684E5D"/>
    <w:rsid w:val="189195B8"/>
    <w:rsid w:val="19249692"/>
    <w:rsid w:val="192CB5EE"/>
    <w:rsid w:val="19D50E74"/>
    <w:rsid w:val="1AA9DB71"/>
    <w:rsid w:val="1AB61B10"/>
    <w:rsid w:val="1AC8864F"/>
    <w:rsid w:val="1B02D2D3"/>
    <w:rsid w:val="1B52EEFF"/>
    <w:rsid w:val="1B9FEF1F"/>
    <w:rsid w:val="1C07F2E7"/>
    <w:rsid w:val="1C6456B0"/>
    <w:rsid w:val="1CBD8FEA"/>
    <w:rsid w:val="1CEEBF60"/>
    <w:rsid w:val="1D28C6C0"/>
    <w:rsid w:val="1D3BBF80"/>
    <w:rsid w:val="1E002711"/>
    <w:rsid w:val="1ED78FE1"/>
    <w:rsid w:val="1F192EA8"/>
    <w:rsid w:val="1F728EDC"/>
    <w:rsid w:val="1FB59701"/>
    <w:rsid w:val="1FC6BF4D"/>
    <w:rsid w:val="20EFD1EF"/>
    <w:rsid w:val="2137C7D3"/>
    <w:rsid w:val="21628FAE"/>
    <w:rsid w:val="21C6D536"/>
    <w:rsid w:val="21FC37E3"/>
    <w:rsid w:val="223B905C"/>
    <w:rsid w:val="22D39834"/>
    <w:rsid w:val="2397CDEF"/>
    <w:rsid w:val="246F6895"/>
    <w:rsid w:val="260B38F6"/>
    <w:rsid w:val="262C0CE4"/>
    <w:rsid w:val="27FBBA9D"/>
    <w:rsid w:val="28A7D7CE"/>
    <w:rsid w:val="2A05EF44"/>
    <w:rsid w:val="2A2FE9A8"/>
    <w:rsid w:val="2A70B1B7"/>
    <w:rsid w:val="2BF964A0"/>
    <w:rsid w:val="2E49003C"/>
    <w:rsid w:val="2EF5A131"/>
    <w:rsid w:val="3180A0FE"/>
    <w:rsid w:val="31E9AAE3"/>
    <w:rsid w:val="323195E0"/>
    <w:rsid w:val="348D79E5"/>
    <w:rsid w:val="350480CF"/>
    <w:rsid w:val="391CAF2A"/>
    <w:rsid w:val="395C37C7"/>
    <w:rsid w:val="39C9247D"/>
    <w:rsid w:val="3A25B5D5"/>
    <w:rsid w:val="3AAEF59C"/>
    <w:rsid w:val="3ABBC25F"/>
    <w:rsid w:val="3BAF6959"/>
    <w:rsid w:val="3C43702B"/>
    <w:rsid w:val="3D267476"/>
    <w:rsid w:val="3DCAFA44"/>
    <w:rsid w:val="3FAB88BF"/>
    <w:rsid w:val="4032E826"/>
    <w:rsid w:val="40A2A7C6"/>
    <w:rsid w:val="4215FFBD"/>
    <w:rsid w:val="42B8F91A"/>
    <w:rsid w:val="457618E9"/>
    <w:rsid w:val="45B9179A"/>
    <w:rsid w:val="4688F059"/>
    <w:rsid w:val="48E0A0E2"/>
    <w:rsid w:val="4B5C0A31"/>
    <w:rsid w:val="4C6916E9"/>
    <w:rsid w:val="4D202369"/>
    <w:rsid w:val="4E7FA080"/>
    <w:rsid w:val="518BE5C6"/>
    <w:rsid w:val="52653455"/>
    <w:rsid w:val="53F403B2"/>
    <w:rsid w:val="5400AAD9"/>
    <w:rsid w:val="543F539D"/>
    <w:rsid w:val="55945C0F"/>
    <w:rsid w:val="55C3BE08"/>
    <w:rsid w:val="56C2340E"/>
    <w:rsid w:val="5776F45F"/>
    <w:rsid w:val="5879F3A5"/>
    <w:rsid w:val="5912C4C0"/>
    <w:rsid w:val="592835FB"/>
    <w:rsid w:val="594EC0A2"/>
    <w:rsid w:val="59F9D4D0"/>
    <w:rsid w:val="5AAE9521"/>
    <w:rsid w:val="5B2FCC2B"/>
    <w:rsid w:val="5C581484"/>
    <w:rsid w:val="5D6AC150"/>
    <w:rsid w:val="5DE635E3"/>
    <w:rsid w:val="5E17740D"/>
    <w:rsid w:val="5E38790A"/>
    <w:rsid w:val="60CDA9AA"/>
    <w:rsid w:val="60E3FC42"/>
    <w:rsid w:val="61614181"/>
    <w:rsid w:val="618DCC1A"/>
    <w:rsid w:val="61AAF649"/>
    <w:rsid w:val="61E5D4AC"/>
    <w:rsid w:val="62988F0A"/>
    <w:rsid w:val="6304FE6D"/>
    <w:rsid w:val="64A333F5"/>
    <w:rsid w:val="66528D47"/>
    <w:rsid w:val="66F3CAB9"/>
    <w:rsid w:val="6705D6B3"/>
    <w:rsid w:val="673467B0"/>
    <w:rsid w:val="67BF7E13"/>
    <w:rsid w:val="67EE5DA8"/>
    <w:rsid w:val="695B9CF0"/>
    <w:rsid w:val="69888668"/>
    <w:rsid w:val="69E5066D"/>
    <w:rsid w:val="6B27F134"/>
    <w:rsid w:val="6B47E833"/>
    <w:rsid w:val="6C8BE074"/>
    <w:rsid w:val="6D297033"/>
    <w:rsid w:val="6D6A31C0"/>
    <w:rsid w:val="6E2F0E13"/>
    <w:rsid w:val="6ED6F443"/>
    <w:rsid w:val="6FFB7F7D"/>
    <w:rsid w:val="702BCADF"/>
    <w:rsid w:val="7166AED5"/>
    <w:rsid w:val="71CCE59F"/>
    <w:rsid w:val="724998C0"/>
    <w:rsid w:val="73BB15D2"/>
    <w:rsid w:val="73BE08B5"/>
    <w:rsid w:val="74AE3840"/>
    <w:rsid w:val="74CBDB2E"/>
    <w:rsid w:val="75B20937"/>
    <w:rsid w:val="75B74389"/>
    <w:rsid w:val="75C80135"/>
    <w:rsid w:val="76D6C722"/>
    <w:rsid w:val="78729783"/>
    <w:rsid w:val="7927810C"/>
    <w:rsid w:val="798BCA42"/>
    <w:rsid w:val="7A3405BB"/>
    <w:rsid w:val="7A9A794D"/>
    <w:rsid w:val="7A9FC338"/>
    <w:rsid w:val="7B327192"/>
    <w:rsid w:val="7C16DD2D"/>
    <w:rsid w:val="7C6FDF75"/>
    <w:rsid w:val="7D6BA67D"/>
    <w:rsid w:val="7E109B1C"/>
    <w:rsid w:val="7E7BB07C"/>
    <w:rsid w:val="7EBFDD22"/>
    <w:rsid w:val="7F704755"/>
    <w:rsid w:val="7FE8EFC4"/>
    <w:rsid w:val="7FF5FF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DCC1A"/>
  <w15:chartTrackingRefBased/>
  <w15:docId w15:val="{057184A0-8671-4C6E-A3A0-FD6B82B61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ny" w:default="1">
    <w:name w:val="Normal"/>
    <w:qFormat/>
  </w:style>
  <w:style w:type="paragraph" w:styleId="Nagwek3">
    <w:name w:val="heading 3"/>
    <w:basedOn w:val="Normalny"/>
    <w:next w:val="Normalny"/>
    <w:link w:val="Nagwek3Znak"/>
    <w:uiPriority w:val="9"/>
    <w:unhideWhenUsed/>
    <w:qFormat/>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omylnaczcionkaakapitu" w:default="1">
    <w:name w:val="Default Paragraph Font"/>
    <w:uiPriority w:val="1"/>
    <w:semiHidden/>
    <w:unhideWhenUsed/>
  </w:style>
  <w:style w:type="table" w:styleId="Standardowy" w:default="1">
    <w:name w:val="Normal Table"/>
    <w:uiPriority w:val="99"/>
    <w:semiHidden/>
    <w:unhideWhenUsed/>
    <w:tblPr>
      <w:tblInd w:w="0" w:type="dxa"/>
      <w:tblCellMar>
        <w:top w:w="0" w:type="dxa"/>
        <w:left w:w="108" w:type="dxa"/>
        <w:bottom w:w="0" w:type="dxa"/>
        <w:right w:w="108" w:type="dxa"/>
      </w:tblCellMar>
    </w:tblPr>
  </w:style>
  <w:style w:type="numbering" w:styleId="Bezlisty" w:default="1">
    <w:name w:val="No List"/>
    <w:uiPriority w:val="99"/>
    <w:semiHidden/>
    <w:unhideWhenUsed/>
  </w:style>
  <w:style w:type="character" w:styleId="Hipercze">
    <w:name w:val="Hyperlink"/>
    <w:basedOn w:val="Domylnaczcionkaakapitu"/>
    <w:uiPriority w:val="99"/>
    <w:unhideWhenUsed/>
    <w:rPr>
      <w:color w:val="0563C1" w:themeColor="hyperlink"/>
      <w:u w:val="single"/>
    </w:rPr>
  </w:style>
  <w:style w:type="character" w:styleId="Nagwek3Znak" w:customStyle="1">
    <w:name w:val="Nagłówek 3 Znak"/>
    <w:basedOn w:val="Domylnaczcionkaakapitu"/>
    <w:link w:val="Nagwek3"/>
    <w:uiPriority w:val="9"/>
    <w:rPr>
      <w:rFonts w:asciiTheme="majorHAnsi" w:hAnsiTheme="majorHAnsi" w:eastAsiaTheme="majorEastAsia"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doi.org/10.51952/9781447313724" TargetMode="External" Id="rId8" /><Relationship Type="http://schemas.openxmlformats.org/officeDocument/2006/relationships/fontTable" Target="fontTable.xml" Id="rId13" /><Relationship Type="http://schemas.openxmlformats.org/officeDocument/2006/relationships/webSettings" Target="webSettings.xml" Id="rId3" /><Relationship Type="http://schemas.openxmlformats.org/officeDocument/2006/relationships/hyperlink" Target="https://fullfact.org/law/criminal-courts-explained/" TargetMode="External" Id="rId7" /><Relationship Type="http://schemas.openxmlformats.org/officeDocument/2006/relationships/hyperlink" Target="https://www.historic-cornwall.org.uk/the-english-and-welsh-legal-system/" TargetMode="External" Id="rId12"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yperlink" Target="https://www.lawcom.gov.uk/14th-programme-kite-flying-document/.(Accessed" TargetMode="External" Id="rId6" /><Relationship Type="http://schemas.openxmlformats.org/officeDocument/2006/relationships/hyperlink" Target="https://uk.practicallaw.thomsonreuters.com/5-636-2498?contextData=(sc.Default)&amp;transitionType=Default&amp;firstPage=true" TargetMode="External" Id="rId11" /><Relationship Type="http://schemas.openxmlformats.org/officeDocument/2006/relationships/hyperlink" Target="https://www.britannica.com/topic/court-law" TargetMode="External" Id="rId5" /><Relationship Type="http://schemas.microsoft.com/office/2020/10/relationships/intelligence" Target="intelligence2.xml" Id="rId15" /><Relationship Type="http://schemas.openxmlformats.org/officeDocument/2006/relationships/hyperlink" Target="https://www.legislation.gov.uk/ukpga/1974/23." TargetMode="External" Id="rId10" /><Relationship Type="http://schemas.openxmlformats.org/officeDocument/2006/relationships/image" Target="media/image1.png" Id="rId4" /><Relationship Type="http://schemas.openxmlformats.org/officeDocument/2006/relationships/hyperlink" Target="https://www.judiciary.uk/guidance-and-resources/judicial-diversity-and-inclusion-strategy-2020-2025-launched/" TargetMode="Externa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Natalia Maria Konciak (2238990)</dc:creator>
  <keywords/>
  <dc:description/>
  <lastModifiedBy>Natalia Maria Konciak (2238990)</lastModifiedBy>
  <revision>12</revision>
  <dcterms:created xsi:type="dcterms:W3CDTF">2023-08-07T14:40:00.0000000Z</dcterms:created>
  <dcterms:modified xsi:type="dcterms:W3CDTF">2023-08-08T15:40:58.3940236Z</dcterms:modified>
</coreProperties>
</file>