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BMSW4003: Digital Skills and Research Methods</w:t>
      </w:r>
    </w:p>
    <w:p>
      <w:pPr>
        <w:spacing w:before="0" w:after="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The Impact of Virtual Learning Environment (VLE) on Students</w:t>
      </w:r>
      <w:r>
        <w:rPr>
          <w:rFonts w:ascii="Times New Roman" w:hAnsi="Times New Roman" w:cs="Times New Roman" w:eastAsia="Times New Roman"/>
          <w:b/>
          <w:color w:val="auto"/>
          <w:spacing w:val="0"/>
          <w:position w:val="0"/>
          <w:sz w:val="32"/>
          <w:shd w:fill="auto" w:val="clear"/>
        </w:rPr>
        <w:t xml:space="preserve"> </w:t>
      </w:r>
      <w:r>
        <w:rPr>
          <w:rFonts w:ascii="Times New Roman" w:hAnsi="Times New Roman" w:cs="Times New Roman" w:eastAsia="Times New Roman"/>
          <w:b/>
          <w:color w:val="auto"/>
          <w:spacing w:val="0"/>
          <w:position w:val="0"/>
          <w:sz w:val="32"/>
          <w:shd w:fill="auto" w:val="clear"/>
        </w:rPr>
        <w:t xml:space="preserve">Learning Experience</w:t>
      </w:r>
    </w:p>
    <w:p>
      <w:pPr>
        <w:spacing w:before="0" w:after="0" w:line="360"/>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Lecturer</w:t>
      </w:r>
      <w:r>
        <w:rPr>
          <w:rFonts w:ascii="Times New Roman" w:hAnsi="Times New Roman" w:cs="Times New Roman" w:eastAsia="Times New Roman"/>
          <w:b/>
          <w:color w:val="auto"/>
          <w:spacing w:val="0"/>
          <w:position w:val="0"/>
          <w:sz w:val="32"/>
          <w:shd w:fill="auto" w:val="clear"/>
        </w:rPr>
        <w:t xml:space="preserve">: Saqib Shamim</w:t>
      </w:r>
    </w:p>
    <w:p>
      <w:pPr>
        <w:spacing w:before="0" w:after="0" w:line="360"/>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Student: Gabriel Munteanu (1919362)</w:t>
      </w:r>
    </w:p>
    <w:p>
      <w:pPr>
        <w:spacing w:before="0" w:after="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0" w:line="360"/>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0" w:line="276"/>
        <w:ind w:right="0" w:left="0" w:firstLine="0"/>
        <w:jc w:val="left"/>
        <w:rPr>
          <w:rFonts w:ascii="Times New Roman" w:hAnsi="Times New Roman" w:cs="Times New Roman" w:eastAsia="Times New Roman"/>
          <w:b/>
          <w:color w:val="auto"/>
          <w:spacing w:val="0"/>
          <w:position w:val="0"/>
          <w:sz w:val="28"/>
          <w:shd w:fill="auto" w:val="clear"/>
        </w:rPr>
      </w:pP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Introduction</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the post covid situation, virtual learning has become an essential part of life as it is allowing the students to maintain social distance. In this paper, a study will be conducted on the Wales Trinity Saint David London Campus to understand the learning experience of the students in the virtual environment.</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research will aim to understand the benefits as well as disadvantages of virtual learning through the experiences of the students of Wales Trinity Saint David London Campus. In the present times, many institutes around the world have been using the online learning method due to the occurrence of the pandemic. Through the research, the effectiveness of a virtual learning environment can be understood.</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objectives of the research are:</w:t>
      </w:r>
    </w:p>
    <w:p>
      <w:pPr>
        <w:numPr>
          <w:ilvl w:val="0"/>
          <w:numId w:val="6"/>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understand the experience of students in a virtual learning environment</w:t>
      </w:r>
    </w:p>
    <w:p>
      <w:pPr>
        <w:numPr>
          <w:ilvl w:val="0"/>
          <w:numId w:val="6"/>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understand the benefits of the virtual learning environment</w:t>
      </w:r>
    </w:p>
    <w:p>
      <w:pPr>
        <w:numPr>
          <w:ilvl w:val="0"/>
          <w:numId w:val="6"/>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understand the challenges in the virtual learning environment</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Literature review</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reference to the article presented by Abdeldayem </w:t>
      </w:r>
      <w:r>
        <w:rPr>
          <w:rFonts w:ascii="Times New Roman" w:hAnsi="Times New Roman" w:cs="Times New Roman" w:eastAsia="Times New Roman"/>
          <w:i/>
          <w:color w:val="auto"/>
          <w:spacing w:val="0"/>
          <w:position w:val="0"/>
          <w:sz w:val="24"/>
          <w:shd w:fill="auto" w:val="clear"/>
        </w:rPr>
        <w:t xml:space="preserve">et al </w:t>
      </w:r>
      <w:r>
        <w:rPr>
          <w:rFonts w:ascii="Times New Roman" w:hAnsi="Times New Roman" w:cs="Times New Roman" w:eastAsia="Times New Roman"/>
          <w:color w:val="auto"/>
          <w:spacing w:val="0"/>
          <w:position w:val="0"/>
          <w:sz w:val="24"/>
          <w:shd w:fill="auto" w:val="clear"/>
        </w:rPr>
        <w:t xml:space="preserve">(2020), the sudden closure of colleges and other educational institutions across the globe due to the spread of the Covid-19 virus has made it necessary for the virtual conveyance of the study courses for students. It has been stated that with the help of a virtual learning environment, the teachers, students, and the management of the institutions are able to communicate with each other through various digital sources such as the internet, intranet, and even interactive TV. The implementation of technologies such as virtual reality in teaching practices can complement the environment rather than replacing it (Allcoat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2021).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On a similar note, Dung (2020) has stated that virtual education and VLE helps the institution to expand their reach to the students who are willing to learn. Moreover, on the side of the students, the wide range of flexibility, cost-effectiveness, and convenience are some of the major benefits.  According to National Centre for Education Statistics, the growing requirements for e-learning practices have emerged due to the large-scale acceptance by students across the globe (Khan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2021). The research made has also helped in highlighting the various disadvantages of VLE such as screen time, lack of physical activity, lack of interaction, and problems in acquiring the contents of the course.</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 stated by Govindarajan, and Srivastava (2020), the tectonic shift in human society due to the unexpected outburst of the pandemic in the year 2019 has brought in new scope for experimentation and innovation. It has also been added that with the help of e-learning practices and the creation of VLE, colleges and educational institutions would be able to free their resources from various courses required to commoditize or need the students to decide at the campuses. This in turn would enable the possibility of using the available resources for enhanced research-based teaching, individual problem solving, as well as personalized mentoring for the students.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8"/>
          <w:shd w:fill="FFFF00" w:val="clear"/>
        </w:rPr>
      </w:pPr>
      <w:r>
        <w:rPr>
          <w:rFonts w:ascii="Times New Roman" w:hAnsi="Times New Roman" w:cs="Times New Roman" w:eastAsia="Times New Roman"/>
          <w:b/>
          <w:color w:val="auto"/>
          <w:spacing w:val="0"/>
          <w:position w:val="0"/>
          <w:sz w:val="28"/>
          <w:shd w:fill="auto" w:val="clear"/>
        </w:rPr>
        <w:t xml:space="preserve">Methodology</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order to research a particular issue efficiently, it is important to make sure that an appropriate research methodology has been used (</w:t>
      </w:r>
      <w:r>
        <w:rPr>
          <w:rFonts w:ascii="Times New Roman" w:hAnsi="Times New Roman" w:cs="Times New Roman" w:eastAsia="Times New Roman"/>
          <w:color w:val="222222"/>
          <w:spacing w:val="0"/>
          <w:position w:val="0"/>
          <w:sz w:val="24"/>
          <w:shd w:fill="FFFFFF" w:val="clear"/>
        </w:rPr>
        <w:t xml:space="preserve">Nayak and Singh, 2021</w:t>
      </w:r>
      <w:r>
        <w:rPr>
          <w:rFonts w:ascii="Times New Roman" w:hAnsi="Times New Roman" w:cs="Times New Roman" w:eastAsia="Times New Roman"/>
          <w:color w:val="auto"/>
          <w:spacing w:val="0"/>
          <w:position w:val="0"/>
          <w:sz w:val="24"/>
          <w:shd w:fill="auto" w:val="clear"/>
        </w:rPr>
        <w:t xml:space="preserve">). In the given research, both primary, as well as secondary data collection processes, have been used. In the case of the data analysis, quantitative data analysis of the survey is going to be done whereas qualitative thematic analysis of the secondary data is also going to be done in research to get the outcome of the research. Positivism research philosophy, descriptive research design and deductive research approach will be used for the research purpose. The sample size of the survey is 70 students of Wales Trinity Saint David London Campus.</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4"/>
          <w:shd w:fill="FFFF00" w:val="clear"/>
        </w:rPr>
      </w:pPr>
      <w:r>
        <w:rPr>
          <w:rFonts w:ascii="Times New Roman" w:hAnsi="Times New Roman" w:cs="Times New Roman" w:eastAsia="Times New Roman"/>
          <w:b/>
          <w:color w:val="auto"/>
          <w:spacing w:val="0"/>
          <w:position w:val="0"/>
          <w:sz w:val="28"/>
          <w:shd w:fill="auto" w:val="clear"/>
        </w:rPr>
        <w:t xml:space="preserve">Data findings and analysis</w:t>
      </w:r>
      <w:r>
        <w:rPr>
          <w:rFonts w:ascii="Times New Roman" w:hAnsi="Times New Roman" w:cs="Times New Roman" w:eastAsia="Times New Roman"/>
          <w:b/>
          <w:color w:val="auto"/>
          <w:spacing w:val="0"/>
          <w:position w:val="0"/>
          <w:sz w:val="24"/>
          <w:shd w:fill="FFFF00" w:val="clear"/>
        </w:rPr>
        <w:t xml:space="preserv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basic details of the students were collected before the survey. The survey questions were kept close-ended and directed towards the objectives of the research. The students from different age groups and of different gender were included in the research to ensure the inclusion of varied perspectives.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p>
    <w:tbl>
      <w:tblPr>
        <w:tblInd w:w="100" w:type="dxa"/>
      </w:tblPr>
      <w:tblGrid>
        <w:gridCol w:w="2340"/>
        <w:gridCol w:w="2340"/>
        <w:gridCol w:w="2340"/>
        <w:gridCol w:w="2340"/>
      </w:tblGrid>
      <w:tr>
        <w:trPr>
          <w:trHeight w:val="671" w:hRule="auto"/>
          <w:jc w:val="left"/>
        </w:trPr>
        <w:tc>
          <w:tcPr>
            <w:tcW w:w="4680" w:type="dxa"/>
            <w:gridSpan w:val="2"/>
            <w:tcBorders>
              <w:top w:val="single" w:color="000000" w:sz="8"/>
              <w:left w:val="single" w:color="000000" w:sz="8"/>
              <w:bottom w:val="single" w:color="000000" w:sz="8"/>
              <w:right w:val="single" w:color="000000" w:sz="8"/>
            </w:tcBorders>
            <w:shd w:color="auto" w:fill="cccccc" w:val="clear"/>
            <w:tcMar>
              <w:left w:w="100" w:type="dxa"/>
              <w:right w:w="100" w:type="dxa"/>
            </w:tcMar>
            <w:vAlign w:val="top"/>
          </w:tcPr>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Age-group</w:t>
            </w:r>
          </w:p>
        </w:tc>
        <w:tc>
          <w:tcPr>
            <w:tcW w:w="4680" w:type="dxa"/>
            <w:gridSpan w:val="2"/>
            <w:tcBorders>
              <w:top w:val="single" w:color="000000" w:sz="8"/>
              <w:left w:val="single" w:color="000000" w:sz="8"/>
              <w:bottom w:val="single" w:color="000000" w:sz="8"/>
              <w:right w:val="single" w:color="000000" w:sz="8"/>
            </w:tcBorders>
            <w:shd w:color="auto" w:fill="cccccc" w:val="clear"/>
            <w:tcMar>
              <w:left w:w="100" w:type="dxa"/>
              <w:right w:w="100" w:type="dxa"/>
            </w:tcMar>
            <w:vAlign w:val="top"/>
          </w:tcPr>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Gender</w:t>
            </w:r>
          </w:p>
        </w:tc>
      </w:tr>
      <w:tr>
        <w:trPr>
          <w:trHeight w:val="1" w:hRule="atLeast"/>
          <w:jc w:val="left"/>
        </w:trPr>
        <w:tc>
          <w:tcPr>
            <w:tcW w:w="2340" w:type="dxa"/>
            <w:tcBorders>
              <w:top w:val="single" w:color="000000" w:sz="8"/>
              <w:left w:val="single" w:color="000000" w:sz="8"/>
              <w:bottom w:val="single" w:color="000000" w:sz="8"/>
              <w:right w:val="single" w:color="000000" w:sz="8"/>
            </w:tcBorders>
            <w:shd w:color="auto" w:fill="cfe2f3" w:val="clear"/>
            <w:tcMar>
              <w:left w:w="100" w:type="dxa"/>
              <w:right w:w="100"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18-21years</w:t>
            </w:r>
          </w:p>
        </w:tc>
        <w:tc>
          <w:tcPr>
            <w:tcW w:w="2340" w:type="dxa"/>
            <w:tcBorders>
              <w:top w:val="single" w:color="000000" w:sz="8"/>
              <w:left w:val="single" w:color="000000" w:sz="8"/>
              <w:bottom w:val="single" w:color="000000" w:sz="8"/>
              <w:right w:val="single" w:color="000000" w:sz="8"/>
            </w:tcBorders>
            <w:shd w:color="auto" w:fill="cfe2f3" w:val="clear"/>
            <w:tcMar>
              <w:left w:w="100" w:type="dxa"/>
              <w:right w:w="100"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22-25years </w:t>
            </w:r>
          </w:p>
        </w:tc>
        <w:tc>
          <w:tcPr>
            <w:tcW w:w="2340" w:type="dxa"/>
            <w:tcBorders>
              <w:top w:val="single" w:color="000000" w:sz="8"/>
              <w:left w:val="single" w:color="000000" w:sz="8"/>
              <w:bottom w:val="single" w:color="000000" w:sz="8"/>
              <w:right w:val="single" w:color="000000" w:sz="8"/>
            </w:tcBorders>
            <w:shd w:color="auto" w:fill="cfe2f3" w:val="clear"/>
            <w:tcMar>
              <w:left w:w="100" w:type="dxa"/>
              <w:right w:w="100"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Male</w:t>
            </w:r>
          </w:p>
        </w:tc>
        <w:tc>
          <w:tcPr>
            <w:tcW w:w="2340" w:type="dxa"/>
            <w:tcBorders>
              <w:top w:val="single" w:color="000000" w:sz="8"/>
              <w:left w:val="single" w:color="000000" w:sz="8"/>
              <w:bottom w:val="single" w:color="000000" w:sz="8"/>
              <w:right w:val="single" w:color="000000" w:sz="8"/>
            </w:tcBorders>
            <w:shd w:color="auto" w:fill="cfe2f3" w:val="clear"/>
            <w:tcMar>
              <w:left w:w="100" w:type="dxa"/>
              <w:right w:w="100"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Female</w:t>
            </w:r>
          </w:p>
        </w:tc>
      </w:tr>
      <w:tr>
        <w:trPr>
          <w:trHeight w:val="1" w:hRule="atLeast"/>
          <w:jc w:val="left"/>
        </w:trPr>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38</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32</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35</w:t>
            </w:r>
          </w:p>
        </w:tc>
        <w:tc>
          <w:tcPr>
            <w:tcW w:w="2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35</w:t>
            </w:r>
          </w:p>
        </w:tc>
      </w:tr>
    </w:tbl>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Table 1: Basic details of the participants</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 self-created)</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Primary data collection</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Q1.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tbl>
      <w:tblPr/>
      <w:tblGrid>
        <w:gridCol w:w="2040"/>
        <w:gridCol w:w="1500"/>
        <w:gridCol w:w="1830"/>
        <w:gridCol w:w="1500"/>
      </w:tblGrid>
      <w:tr>
        <w:trPr>
          <w:trHeight w:val="630" w:hRule="auto"/>
          <w:jc w:val="center"/>
        </w:trPr>
        <w:tc>
          <w:tcPr>
            <w:tcW w:w="6870" w:type="dxa"/>
            <w:gridSpan w:val="4"/>
            <w:tcBorders>
              <w:top w:val="single" w:color="000000" w:sz="6"/>
              <w:left w:val="single" w:color="000000" w:sz="6"/>
              <w:bottom w:val="single" w:color="000000" w:sz="6"/>
              <w:right w:val="single" w:color="000000" w:sz="6"/>
            </w:tcBorders>
            <w:shd w:color="000000" w:fill="ffffff" w:val="clear"/>
            <w:tcMar>
              <w:left w:w="40" w:type="dxa"/>
              <w:right w:w="40" w:type="dxa"/>
            </w:tcMar>
            <w:vAlign w:val="bottom"/>
          </w:tcPr>
          <w:p>
            <w:pPr>
              <w:spacing w:before="0" w:after="0" w:line="36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Q1. How far do you think VLE has enhanced the learning procedures through e-learning?</w:t>
            </w:r>
          </w:p>
        </w:tc>
      </w:tr>
      <w:tr>
        <w:trPr>
          <w:trHeight w:val="555" w:hRule="auto"/>
          <w:jc w:val="center"/>
        </w:trPr>
        <w:tc>
          <w:tcPr>
            <w:tcW w:w="2040" w:type="dxa"/>
            <w:tcBorders>
              <w:top w:val="single" w:color="cccccc" w:sz="6"/>
              <w:left w:val="single" w:color="000000"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left"/>
              <w:rPr>
                <w:color w:val="auto"/>
                <w:spacing w:val="0"/>
                <w:position w:val="0"/>
                <w:shd w:fill="auto" w:val="clear"/>
              </w:rPr>
            </w:pPr>
            <w:r>
              <w:rPr>
                <w:rFonts w:ascii="Arial" w:hAnsi="Arial" w:cs="Arial" w:eastAsia="Arial"/>
                <w:b/>
                <w:color w:val="auto"/>
                <w:spacing w:val="0"/>
                <w:position w:val="0"/>
                <w:sz w:val="20"/>
                <w:shd w:fill="auto" w:val="clear"/>
              </w:rPr>
              <w:t xml:space="preserve">Component</w:t>
            </w:r>
          </w:p>
        </w:tc>
        <w:tc>
          <w:tcPr>
            <w:tcW w:w="1500" w:type="dxa"/>
            <w:tcBorders>
              <w:top w:val="single" w:color="cccccc" w:sz="6"/>
              <w:left w:val="single" w:color="cccccc"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left"/>
              <w:rPr>
                <w:color w:val="auto"/>
                <w:spacing w:val="0"/>
                <w:position w:val="0"/>
                <w:shd w:fill="auto" w:val="clear"/>
              </w:rPr>
            </w:pPr>
            <w:r>
              <w:rPr>
                <w:rFonts w:ascii="Arial" w:hAnsi="Arial" w:cs="Arial" w:eastAsia="Arial"/>
                <w:b/>
                <w:color w:val="auto"/>
                <w:spacing w:val="0"/>
                <w:position w:val="0"/>
                <w:sz w:val="20"/>
                <w:shd w:fill="auto" w:val="clear"/>
              </w:rPr>
              <w:t xml:space="preserve">Responses</w:t>
            </w:r>
          </w:p>
        </w:tc>
        <w:tc>
          <w:tcPr>
            <w:tcW w:w="1830" w:type="dxa"/>
            <w:tcBorders>
              <w:top w:val="single" w:color="cccccc" w:sz="6"/>
              <w:left w:val="single" w:color="cccccc"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left"/>
              <w:rPr>
                <w:color w:val="auto"/>
                <w:spacing w:val="0"/>
                <w:position w:val="0"/>
                <w:shd w:fill="auto" w:val="clear"/>
              </w:rPr>
            </w:pPr>
            <w:r>
              <w:rPr>
                <w:rFonts w:ascii="Arial" w:hAnsi="Arial" w:cs="Arial" w:eastAsia="Arial"/>
                <w:b/>
                <w:color w:val="auto"/>
                <w:spacing w:val="0"/>
                <w:position w:val="0"/>
                <w:sz w:val="20"/>
                <w:shd w:fill="auto" w:val="clear"/>
              </w:rPr>
              <w:t xml:space="preserve">Total respondents</w:t>
            </w:r>
          </w:p>
        </w:tc>
        <w:tc>
          <w:tcPr>
            <w:tcW w:w="1500" w:type="dxa"/>
            <w:tcBorders>
              <w:top w:val="single" w:color="cccccc" w:sz="6"/>
              <w:left w:val="single" w:color="cccccc"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left"/>
              <w:rPr>
                <w:color w:val="auto"/>
                <w:spacing w:val="0"/>
                <w:position w:val="0"/>
                <w:shd w:fill="auto" w:val="clear"/>
              </w:rPr>
            </w:pPr>
            <w:r>
              <w:rPr>
                <w:rFonts w:ascii="Arial" w:hAnsi="Arial" w:cs="Arial" w:eastAsia="Arial"/>
                <w:b/>
                <w:color w:val="auto"/>
                <w:spacing w:val="0"/>
                <w:position w:val="0"/>
                <w:sz w:val="20"/>
                <w:shd w:fill="auto" w:val="clear"/>
              </w:rPr>
              <w:t xml:space="preserve">Percentage</w:t>
            </w:r>
          </w:p>
        </w:tc>
      </w:tr>
      <w:tr>
        <w:trPr>
          <w:trHeight w:val="315" w:hRule="auto"/>
          <w:jc w:val="center"/>
        </w:trPr>
        <w:tc>
          <w:tcPr>
            <w:tcW w:w="2040" w:type="dxa"/>
            <w:tcBorders>
              <w:top w:val="single" w:color="cccccc" w:sz="6"/>
              <w:left w:val="single" w:color="000000"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left"/>
              <w:rPr>
                <w:color w:val="auto"/>
                <w:spacing w:val="0"/>
                <w:position w:val="0"/>
                <w:shd w:fill="auto" w:val="clear"/>
              </w:rPr>
            </w:pPr>
            <w:r>
              <w:rPr>
                <w:rFonts w:ascii="Arial" w:hAnsi="Arial" w:cs="Arial" w:eastAsia="Arial"/>
                <w:color w:val="auto"/>
                <w:spacing w:val="0"/>
                <w:position w:val="0"/>
                <w:sz w:val="20"/>
                <w:shd w:fill="auto" w:val="clear"/>
              </w:rPr>
              <w:t xml:space="preserve">Agree</w:t>
            </w:r>
          </w:p>
        </w:tc>
        <w:tc>
          <w:tcPr>
            <w:tcW w:w="1500" w:type="dxa"/>
            <w:tcBorders>
              <w:top w:val="single" w:color="cccccc" w:sz="6"/>
              <w:left w:val="single" w:color="cccccc"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0"/>
                <w:shd w:fill="auto" w:val="clear"/>
              </w:rPr>
              <w:t xml:space="preserve">48</w:t>
            </w:r>
          </w:p>
        </w:tc>
        <w:tc>
          <w:tcPr>
            <w:tcW w:w="1830" w:type="dxa"/>
            <w:tcBorders>
              <w:top w:val="single" w:color="cccccc" w:sz="6"/>
              <w:left w:val="single" w:color="cccccc"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0"/>
                <w:shd w:fill="auto" w:val="clear"/>
              </w:rPr>
              <w:t xml:space="preserve">70</w:t>
            </w:r>
          </w:p>
        </w:tc>
        <w:tc>
          <w:tcPr>
            <w:tcW w:w="1500" w:type="dxa"/>
            <w:tcBorders>
              <w:top w:val="single" w:color="cccccc" w:sz="6"/>
              <w:left w:val="single" w:color="cccccc"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0"/>
                <w:shd w:fill="auto" w:val="clear"/>
              </w:rPr>
              <w:t xml:space="preserve">69</w:t>
            </w:r>
          </w:p>
        </w:tc>
      </w:tr>
      <w:tr>
        <w:trPr>
          <w:trHeight w:val="315" w:hRule="auto"/>
          <w:jc w:val="center"/>
        </w:trPr>
        <w:tc>
          <w:tcPr>
            <w:tcW w:w="2040" w:type="dxa"/>
            <w:tcBorders>
              <w:top w:val="single" w:color="cccccc" w:sz="6"/>
              <w:left w:val="single" w:color="000000"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left"/>
              <w:rPr>
                <w:color w:val="auto"/>
                <w:spacing w:val="0"/>
                <w:position w:val="0"/>
                <w:shd w:fill="auto" w:val="clear"/>
              </w:rPr>
            </w:pPr>
            <w:r>
              <w:rPr>
                <w:rFonts w:ascii="Arial" w:hAnsi="Arial" w:cs="Arial" w:eastAsia="Arial"/>
                <w:color w:val="auto"/>
                <w:spacing w:val="0"/>
                <w:position w:val="0"/>
                <w:sz w:val="20"/>
                <w:shd w:fill="auto" w:val="clear"/>
              </w:rPr>
              <w:t xml:space="preserve">Neutral</w:t>
            </w:r>
          </w:p>
        </w:tc>
        <w:tc>
          <w:tcPr>
            <w:tcW w:w="1500" w:type="dxa"/>
            <w:tcBorders>
              <w:top w:val="single" w:color="cccccc" w:sz="6"/>
              <w:left w:val="single" w:color="cccccc"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0"/>
                <w:shd w:fill="auto" w:val="clear"/>
              </w:rPr>
              <w:t xml:space="preserve">13</w:t>
            </w:r>
          </w:p>
        </w:tc>
        <w:tc>
          <w:tcPr>
            <w:tcW w:w="1830" w:type="dxa"/>
            <w:tcBorders>
              <w:top w:val="single" w:color="cccccc" w:sz="6"/>
              <w:left w:val="single" w:color="cccccc"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0"/>
                <w:shd w:fill="auto" w:val="clear"/>
              </w:rPr>
              <w:t xml:space="preserve">70</w:t>
            </w:r>
          </w:p>
        </w:tc>
        <w:tc>
          <w:tcPr>
            <w:tcW w:w="1500" w:type="dxa"/>
            <w:tcBorders>
              <w:top w:val="single" w:color="cccccc" w:sz="6"/>
              <w:left w:val="single" w:color="cccccc"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0"/>
                <w:shd w:fill="auto" w:val="clear"/>
              </w:rPr>
              <w:t xml:space="preserve">19</w:t>
            </w:r>
          </w:p>
        </w:tc>
      </w:tr>
      <w:tr>
        <w:trPr>
          <w:trHeight w:val="315" w:hRule="auto"/>
          <w:jc w:val="center"/>
        </w:trPr>
        <w:tc>
          <w:tcPr>
            <w:tcW w:w="2040" w:type="dxa"/>
            <w:tcBorders>
              <w:top w:val="single" w:color="cccccc" w:sz="6"/>
              <w:left w:val="single" w:color="000000"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left"/>
              <w:rPr>
                <w:color w:val="auto"/>
                <w:spacing w:val="0"/>
                <w:position w:val="0"/>
                <w:shd w:fill="auto" w:val="clear"/>
              </w:rPr>
            </w:pPr>
            <w:r>
              <w:rPr>
                <w:rFonts w:ascii="Arial" w:hAnsi="Arial" w:cs="Arial" w:eastAsia="Arial"/>
                <w:color w:val="auto"/>
                <w:spacing w:val="0"/>
                <w:position w:val="0"/>
                <w:sz w:val="20"/>
                <w:shd w:fill="auto" w:val="clear"/>
              </w:rPr>
              <w:t xml:space="preserve">Disagree</w:t>
            </w:r>
          </w:p>
        </w:tc>
        <w:tc>
          <w:tcPr>
            <w:tcW w:w="1500" w:type="dxa"/>
            <w:tcBorders>
              <w:top w:val="single" w:color="cccccc" w:sz="6"/>
              <w:left w:val="single" w:color="cccccc"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0"/>
                <w:shd w:fill="auto" w:val="clear"/>
              </w:rPr>
              <w:t xml:space="preserve">9</w:t>
            </w:r>
          </w:p>
        </w:tc>
        <w:tc>
          <w:tcPr>
            <w:tcW w:w="1830" w:type="dxa"/>
            <w:tcBorders>
              <w:top w:val="single" w:color="cccccc" w:sz="6"/>
              <w:left w:val="single" w:color="cccccc"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0"/>
                <w:shd w:fill="auto" w:val="clear"/>
              </w:rPr>
              <w:t xml:space="preserve">70</w:t>
            </w:r>
          </w:p>
        </w:tc>
        <w:tc>
          <w:tcPr>
            <w:tcW w:w="1500" w:type="dxa"/>
            <w:tcBorders>
              <w:top w:val="single" w:color="cccccc" w:sz="6"/>
              <w:left w:val="single" w:color="cccccc"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0"/>
                <w:shd w:fill="auto" w:val="clear"/>
              </w:rPr>
              <w:t xml:space="preserve">13</w:t>
            </w:r>
          </w:p>
        </w:tc>
      </w:tr>
    </w:tbl>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Table 2: VLE and enhanced learning procedures</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 Self-Created)</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reference to the responses received it is evident that the majority of the students have agreed that VLE enhances the learning process. While 69% of the respondents have agreed with the stated question, almost 19% of them have been neutral and 13% of them have disagreed.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object w:dxaOrig="7682" w:dyaOrig="4740">
          <v:rect xmlns:o="urn:schemas-microsoft-com:office:office" xmlns:v="urn:schemas-microsoft-com:vml" id="rectole0000000000" style="width:384.100000pt;height:237.0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Graph 2: VLE and enhanced learning procedures</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 Self-Created)</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Analysis: From the derived responses it can be analysed that the students have found the e-learning methods and VLE to be effective in enhancing the learning process. It can be said that the efforts of the institution to create and an effective VLE for the students has been positively perceived by the students due to enhance convenience and accessibility.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Q2.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tbl>
      <w:tblPr/>
      <w:tblGrid>
        <w:gridCol w:w="2565"/>
        <w:gridCol w:w="1500"/>
        <w:gridCol w:w="1830"/>
        <w:gridCol w:w="1500"/>
      </w:tblGrid>
      <w:tr>
        <w:trPr>
          <w:trHeight w:val="630" w:hRule="auto"/>
          <w:jc w:val="center"/>
        </w:trPr>
        <w:tc>
          <w:tcPr>
            <w:tcW w:w="7395" w:type="dxa"/>
            <w:gridSpan w:val="4"/>
            <w:tcBorders>
              <w:top w:val="single" w:color="000000" w:sz="6"/>
              <w:left w:val="single" w:color="000000" w:sz="6"/>
              <w:bottom w:val="single" w:color="000000" w:sz="6"/>
              <w:right w:val="single" w:color="000000" w:sz="6"/>
            </w:tcBorders>
            <w:shd w:color="000000" w:fill="ffffff" w:val="clear"/>
            <w:tcMar>
              <w:left w:w="40" w:type="dxa"/>
              <w:right w:w="40" w:type="dxa"/>
            </w:tcMar>
            <w:vAlign w:val="bottom"/>
          </w:tcPr>
          <w:p>
            <w:pPr>
              <w:spacing w:before="0" w:after="0" w:line="36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Q2. Which of the following benefits has been mostly experienced with VLE?</w:t>
            </w:r>
          </w:p>
        </w:tc>
      </w:tr>
      <w:tr>
        <w:trPr>
          <w:trHeight w:val="459" w:hRule="auto"/>
          <w:jc w:val="center"/>
        </w:trPr>
        <w:tc>
          <w:tcPr>
            <w:tcW w:w="2565" w:type="dxa"/>
            <w:tcBorders>
              <w:top w:val="single" w:color="cccccc" w:sz="6"/>
              <w:left w:val="single" w:color="000000"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left"/>
              <w:rPr>
                <w:color w:val="auto"/>
                <w:spacing w:val="0"/>
                <w:position w:val="0"/>
                <w:shd w:fill="auto" w:val="clear"/>
              </w:rPr>
            </w:pPr>
            <w:r>
              <w:rPr>
                <w:rFonts w:ascii="Arial" w:hAnsi="Arial" w:cs="Arial" w:eastAsia="Arial"/>
                <w:b/>
                <w:color w:val="auto"/>
                <w:spacing w:val="0"/>
                <w:position w:val="0"/>
                <w:sz w:val="20"/>
                <w:shd w:fill="auto" w:val="clear"/>
              </w:rPr>
              <w:t xml:space="preserve">Component</w:t>
            </w:r>
          </w:p>
        </w:tc>
        <w:tc>
          <w:tcPr>
            <w:tcW w:w="1500" w:type="dxa"/>
            <w:tcBorders>
              <w:top w:val="single" w:color="cccccc" w:sz="6"/>
              <w:left w:val="single" w:color="cccccc"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left"/>
              <w:rPr>
                <w:color w:val="auto"/>
                <w:spacing w:val="0"/>
                <w:position w:val="0"/>
                <w:shd w:fill="auto" w:val="clear"/>
              </w:rPr>
            </w:pPr>
            <w:r>
              <w:rPr>
                <w:rFonts w:ascii="Arial" w:hAnsi="Arial" w:cs="Arial" w:eastAsia="Arial"/>
                <w:b/>
                <w:color w:val="auto"/>
                <w:spacing w:val="0"/>
                <w:position w:val="0"/>
                <w:sz w:val="20"/>
                <w:shd w:fill="auto" w:val="clear"/>
              </w:rPr>
              <w:t xml:space="preserve">Responses</w:t>
            </w:r>
          </w:p>
        </w:tc>
        <w:tc>
          <w:tcPr>
            <w:tcW w:w="1830" w:type="dxa"/>
            <w:tcBorders>
              <w:top w:val="single" w:color="cccccc" w:sz="6"/>
              <w:left w:val="single" w:color="cccccc"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left"/>
              <w:rPr>
                <w:color w:val="auto"/>
                <w:spacing w:val="0"/>
                <w:position w:val="0"/>
                <w:shd w:fill="auto" w:val="clear"/>
              </w:rPr>
            </w:pPr>
            <w:r>
              <w:rPr>
                <w:rFonts w:ascii="Arial" w:hAnsi="Arial" w:cs="Arial" w:eastAsia="Arial"/>
                <w:b/>
                <w:color w:val="auto"/>
                <w:spacing w:val="0"/>
                <w:position w:val="0"/>
                <w:sz w:val="20"/>
                <w:shd w:fill="auto" w:val="clear"/>
              </w:rPr>
              <w:t xml:space="preserve">Total respondents</w:t>
            </w:r>
          </w:p>
        </w:tc>
        <w:tc>
          <w:tcPr>
            <w:tcW w:w="1500" w:type="dxa"/>
            <w:tcBorders>
              <w:top w:val="single" w:color="cccccc" w:sz="6"/>
              <w:left w:val="single" w:color="cccccc"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left"/>
              <w:rPr>
                <w:color w:val="auto"/>
                <w:spacing w:val="0"/>
                <w:position w:val="0"/>
                <w:shd w:fill="auto" w:val="clear"/>
              </w:rPr>
            </w:pPr>
            <w:r>
              <w:rPr>
                <w:rFonts w:ascii="Arial" w:hAnsi="Arial" w:cs="Arial" w:eastAsia="Arial"/>
                <w:b/>
                <w:color w:val="auto"/>
                <w:spacing w:val="0"/>
                <w:position w:val="0"/>
                <w:sz w:val="20"/>
                <w:shd w:fill="auto" w:val="clear"/>
              </w:rPr>
              <w:t xml:space="preserve">Percentage</w:t>
            </w:r>
          </w:p>
        </w:tc>
      </w:tr>
      <w:tr>
        <w:trPr>
          <w:trHeight w:val="555" w:hRule="auto"/>
          <w:jc w:val="center"/>
        </w:trPr>
        <w:tc>
          <w:tcPr>
            <w:tcW w:w="2565" w:type="dxa"/>
            <w:tcBorders>
              <w:top w:val="single" w:color="cccccc" w:sz="6"/>
              <w:left w:val="single" w:color="000000"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left"/>
              <w:rPr>
                <w:color w:val="auto"/>
                <w:spacing w:val="0"/>
                <w:position w:val="0"/>
                <w:shd w:fill="auto" w:val="clear"/>
              </w:rPr>
            </w:pPr>
            <w:r>
              <w:rPr>
                <w:rFonts w:ascii="Arial" w:hAnsi="Arial" w:cs="Arial" w:eastAsia="Arial"/>
                <w:color w:val="auto"/>
                <w:spacing w:val="0"/>
                <w:position w:val="0"/>
                <w:sz w:val="20"/>
                <w:shd w:fill="auto" w:val="clear"/>
              </w:rPr>
              <w:t xml:space="preserve">Accessibility to study material</w:t>
            </w:r>
          </w:p>
        </w:tc>
        <w:tc>
          <w:tcPr>
            <w:tcW w:w="1500" w:type="dxa"/>
            <w:tcBorders>
              <w:top w:val="single" w:color="cccccc" w:sz="6"/>
              <w:left w:val="single" w:color="cccccc"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0"/>
                <w:shd w:fill="auto" w:val="clear"/>
              </w:rPr>
              <w:t xml:space="preserve">28</w:t>
            </w:r>
          </w:p>
        </w:tc>
        <w:tc>
          <w:tcPr>
            <w:tcW w:w="1830" w:type="dxa"/>
            <w:tcBorders>
              <w:top w:val="single" w:color="cccccc" w:sz="6"/>
              <w:left w:val="single" w:color="cccccc"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0"/>
                <w:shd w:fill="auto" w:val="clear"/>
              </w:rPr>
              <w:t xml:space="preserve">70</w:t>
            </w:r>
          </w:p>
        </w:tc>
        <w:tc>
          <w:tcPr>
            <w:tcW w:w="1500" w:type="dxa"/>
            <w:tcBorders>
              <w:top w:val="single" w:color="cccccc" w:sz="6"/>
              <w:left w:val="single" w:color="cccccc"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0"/>
                <w:shd w:fill="auto" w:val="clear"/>
              </w:rPr>
              <w:t xml:space="preserve">40</w:t>
            </w:r>
          </w:p>
        </w:tc>
      </w:tr>
      <w:tr>
        <w:trPr>
          <w:trHeight w:val="555" w:hRule="auto"/>
          <w:jc w:val="center"/>
        </w:trPr>
        <w:tc>
          <w:tcPr>
            <w:tcW w:w="2565" w:type="dxa"/>
            <w:tcBorders>
              <w:top w:val="single" w:color="cccccc" w:sz="6"/>
              <w:left w:val="single" w:color="000000"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left"/>
              <w:rPr>
                <w:color w:val="auto"/>
                <w:spacing w:val="0"/>
                <w:position w:val="0"/>
                <w:shd w:fill="auto" w:val="clear"/>
              </w:rPr>
            </w:pPr>
            <w:r>
              <w:rPr>
                <w:rFonts w:ascii="Arial" w:hAnsi="Arial" w:cs="Arial" w:eastAsia="Arial"/>
                <w:color w:val="auto"/>
                <w:spacing w:val="0"/>
                <w:position w:val="0"/>
                <w:sz w:val="20"/>
                <w:shd w:fill="auto" w:val="clear"/>
              </w:rPr>
              <w:t xml:space="preserve">Flexible time and space</w:t>
            </w:r>
          </w:p>
        </w:tc>
        <w:tc>
          <w:tcPr>
            <w:tcW w:w="1500" w:type="dxa"/>
            <w:tcBorders>
              <w:top w:val="single" w:color="cccccc" w:sz="6"/>
              <w:left w:val="single" w:color="cccccc"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0"/>
                <w:shd w:fill="auto" w:val="clear"/>
              </w:rPr>
              <w:t xml:space="preserve">20</w:t>
            </w:r>
          </w:p>
        </w:tc>
        <w:tc>
          <w:tcPr>
            <w:tcW w:w="1830" w:type="dxa"/>
            <w:tcBorders>
              <w:top w:val="single" w:color="cccccc" w:sz="6"/>
              <w:left w:val="single" w:color="cccccc"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0"/>
                <w:shd w:fill="auto" w:val="clear"/>
              </w:rPr>
              <w:t xml:space="preserve">70</w:t>
            </w:r>
          </w:p>
        </w:tc>
        <w:tc>
          <w:tcPr>
            <w:tcW w:w="1500" w:type="dxa"/>
            <w:tcBorders>
              <w:top w:val="single" w:color="cccccc" w:sz="6"/>
              <w:left w:val="single" w:color="cccccc"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0"/>
                <w:shd w:fill="auto" w:val="clear"/>
              </w:rPr>
              <w:t xml:space="preserve">29</w:t>
            </w:r>
          </w:p>
        </w:tc>
      </w:tr>
      <w:tr>
        <w:trPr>
          <w:trHeight w:val="795" w:hRule="auto"/>
          <w:jc w:val="center"/>
        </w:trPr>
        <w:tc>
          <w:tcPr>
            <w:tcW w:w="2565" w:type="dxa"/>
            <w:tcBorders>
              <w:top w:val="single" w:color="cccccc" w:sz="6"/>
              <w:left w:val="single" w:color="000000"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left"/>
              <w:rPr>
                <w:color w:val="auto"/>
                <w:spacing w:val="0"/>
                <w:position w:val="0"/>
                <w:shd w:fill="auto" w:val="clear"/>
              </w:rPr>
            </w:pPr>
            <w:r>
              <w:rPr>
                <w:rFonts w:ascii="Arial" w:hAnsi="Arial" w:cs="Arial" w:eastAsia="Arial"/>
                <w:color w:val="auto"/>
                <w:spacing w:val="0"/>
                <w:position w:val="0"/>
                <w:sz w:val="20"/>
                <w:shd w:fill="auto" w:val="clear"/>
              </w:rPr>
              <w:t xml:space="preserve">Accommodation of different learning styles</w:t>
            </w:r>
          </w:p>
        </w:tc>
        <w:tc>
          <w:tcPr>
            <w:tcW w:w="1500" w:type="dxa"/>
            <w:tcBorders>
              <w:top w:val="single" w:color="cccccc" w:sz="6"/>
              <w:left w:val="single" w:color="cccccc"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0"/>
                <w:shd w:fill="auto" w:val="clear"/>
              </w:rPr>
              <w:t xml:space="preserve">22</w:t>
            </w:r>
          </w:p>
        </w:tc>
        <w:tc>
          <w:tcPr>
            <w:tcW w:w="1830" w:type="dxa"/>
            <w:tcBorders>
              <w:top w:val="single" w:color="cccccc" w:sz="6"/>
              <w:left w:val="single" w:color="cccccc"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0"/>
                <w:shd w:fill="auto" w:val="clear"/>
              </w:rPr>
              <w:t xml:space="preserve">70</w:t>
            </w:r>
          </w:p>
        </w:tc>
        <w:tc>
          <w:tcPr>
            <w:tcW w:w="1500" w:type="dxa"/>
            <w:tcBorders>
              <w:top w:val="single" w:color="cccccc" w:sz="6"/>
              <w:left w:val="single" w:color="cccccc"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0"/>
                <w:shd w:fill="auto" w:val="clear"/>
              </w:rPr>
              <w:t xml:space="preserve">31</w:t>
            </w:r>
          </w:p>
        </w:tc>
      </w:tr>
    </w:tbl>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Table 3: Benefits of VLE experienced by students</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 Self-Created)</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responses received from the participants clearly highlights that almost 40% of the participants that accessibility to the study material is one of the major benefits of VLE. While 31% of the respondents have favoured accommodation of different learning styles, almost 29% of the participants have responded for flexible time and space.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object w:dxaOrig="7682" w:dyaOrig="4740">
          <v:rect xmlns:o="urn:schemas-microsoft-com:office:office" xmlns:v="urn:schemas-microsoft-com:vml" id="rectole0000000001" style="width:384.100000pt;height:237.0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r>
        <w:rPr>
          <w:rFonts w:ascii="Times New Roman" w:hAnsi="Times New Roman" w:cs="Times New Roman" w:eastAsia="Times New Roman"/>
          <w:color w:val="auto"/>
          <w:spacing w:val="0"/>
          <w:position w:val="0"/>
          <w:sz w:val="24"/>
          <w:shd w:fill="auto" w:val="clear"/>
        </w:rPr>
        <w:br/>
      </w:r>
      <w:r>
        <w:rPr>
          <w:rFonts w:ascii="Times New Roman" w:hAnsi="Times New Roman" w:cs="Times New Roman" w:eastAsia="Times New Roman"/>
          <w:b/>
          <w:color w:val="auto"/>
          <w:spacing w:val="0"/>
          <w:position w:val="0"/>
          <w:sz w:val="24"/>
          <w:shd w:fill="auto" w:val="clear"/>
        </w:rPr>
        <w:t xml:space="preserve">Graph 3: Benefits of VLE experienced by students</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 Self-Created)</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Analysis: With the help of the derived responses, it has been analysed that there have been various experiences gained by the students of the institution with respect to VLE. In addition to this, positive responses also reflect that the student has been experiencing positive results with the implementation of VLE. The possibility of integrating Technology with education has enabled the benefits of easy accessibility to various types of study materials. In the given scenario of the pandemic, the possibility of flexible time in space with VLE has been one of the major benefits as well.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Q3.</w:t>
      </w:r>
      <w:r>
        <w:rPr>
          <w:rFonts w:ascii="Times New Roman" w:hAnsi="Times New Roman" w:cs="Times New Roman" w:eastAsia="Times New Roman"/>
          <w:color w:val="auto"/>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tbl>
      <w:tblPr/>
      <w:tblGrid>
        <w:gridCol w:w="2460"/>
        <w:gridCol w:w="1500"/>
        <w:gridCol w:w="1830"/>
        <w:gridCol w:w="1500"/>
      </w:tblGrid>
      <w:tr>
        <w:trPr>
          <w:trHeight w:val="630" w:hRule="auto"/>
          <w:jc w:val="center"/>
        </w:trPr>
        <w:tc>
          <w:tcPr>
            <w:tcW w:w="7290" w:type="dxa"/>
            <w:gridSpan w:val="4"/>
            <w:tcBorders>
              <w:top w:val="single" w:color="000000" w:sz="6"/>
              <w:left w:val="single" w:color="000000" w:sz="6"/>
              <w:bottom w:val="single" w:color="000000" w:sz="6"/>
              <w:right w:val="single" w:color="000000" w:sz="6"/>
            </w:tcBorders>
            <w:shd w:color="000000" w:fill="ffffff" w:val="clear"/>
            <w:tcMar>
              <w:left w:w="40" w:type="dxa"/>
              <w:right w:w="40" w:type="dxa"/>
            </w:tcMar>
            <w:vAlign w:val="bottom"/>
          </w:tcPr>
          <w:p>
            <w:pPr>
              <w:spacing w:before="0" w:after="0" w:line="36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Q3. Which of the following challenges have been the most common ones with VLE?</w:t>
            </w:r>
          </w:p>
        </w:tc>
      </w:tr>
      <w:tr>
        <w:trPr>
          <w:trHeight w:val="459" w:hRule="auto"/>
          <w:jc w:val="center"/>
        </w:trPr>
        <w:tc>
          <w:tcPr>
            <w:tcW w:w="2460" w:type="dxa"/>
            <w:tcBorders>
              <w:top w:val="single" w:color="cccccc" w:sz="6"/>
              <w:left w:val="single" w:color="000000"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left"/>
              <w:rPr>
                <w:color w:val="auto"/>
                <w:spacing w:val="0"/>
                <w:position w:val="0"/>
                <w:shd w:fill="auto" w:val="clear"/>
              </w:rPr>
            </w:pPr>
            <w:r>
              <w:rPr>
                <w:rFonts w:ascii="Arial" w:hAnsi="Arial" w:cs="Arial" w:eastAsia="Arial"/>
                <w:b/>
                <w:color w:val="auto"/>
                <w:spacing w:val="0"/>
                <w:position w:val="0"/>
                <w:sz w:val="20"/>
                <w:shd w:fill="auto" w:val="clear"/>
              </w:rPr>
              <w:t xml:space="preserve">Component</w:t>
            </w:r>
          </w:p>
        </w:tc>
        <w:tc>
          <w:tcPr>
            <w:tcW w:w="1500" w:type="dxa"/>
            <w:tcBorders>
              <w:top w:val="single" w:color="cccccc" w:sz="6"/>
              <w:left w:val="single" w:color="cccccc"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left"/>
              <w:rPr>
                <w:color w:val="auto"/>
                <w:spacing w:val="0"/>
                <w:position w:val="0"/>
                <w:shd w:fill="auto" w:val="clear"/>
              </w:rPr>
            </w:pPr>
            <w:r>
              <w:rPr>
                <w:rFonts w:ascii="Arial" w:hAnsi="Arial" w:cs="Arial" w:eastAsia="Arial"/>
                <w:b/>
                <w:color w:val="auto"/>
                <w:spacing w:val="0"/>
                <w:position w:val="0"/>
                <w:sz w:val="20"/>
                <w:shd w:fill="auto" w:val="clear"/>
              </w:rPr>
              <w:t xml:space="preserve">Responses</w:t>
            </w:r>
          </w:p>
        </w:tc>
        <w:tc>
          <w:tcPr>
            <w:tcW w:w="1830" w:type="dxa"/>
            <w:tcBorders>
              <w:top w:val="single" w:color="cccccc" w:sz="6"/>
              <w:left w:val="single" w:color="cccccc"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left"/>
              <w:rPr>
                <w:color w:val="auto"/>
                <w:spacing w:val="0"/>
                <w:position w:val="0"/>
                <w:shd w:fill="auto" w:val="clear"/>
              </w:rPr>
            </w:pPr>
            <w:r>
              <w:rPr>
                <w:rFonts w:ascii="Arial" w:hAnsi="Arial" w:cs="Arial" w:eastAsia="Arial"/>
                <w:b/>
                <w:color w:val="auto"/>
                <w:spacing w:val="0"/>
                <w:position w:val="0"/>
                <w:sz w:val="20"/>
                <w:shd w:fill="auto" w:val="clear"/>
              </w:rPr>
              <w:t xml:space="preserve">Total respondents</w:t>
            </w:r>
          </w:p>
        </w:tc>
        <w:tc>
          <w:tcPr>
            <w:tcW w:w="1500" w:type="dxa"/>
            <w:tcBorders>
              <w:top w:val="single" w:color="cccccc" w:sz="6"/>
              <w:left w:val="single" w:color="cccccc"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left"/>
              <w:rPr>
                <w:color w:val="auto"/>
                <w:spacing w:val="0"/>
                <w:position w:val="0"/>
                <w:shd w:fill="auto" w:val="clear"/>
              </w:rPr>
            </w:pPr>
            <w:r>
              <w:rPr>
                <w:rFonts w:ascii="Arial" w:hAnsi="Arial" w:cs="Arial" w:eastAsia="Arial"/>
                <w:b/>
                <w:color w:val="auto"/>
                <w:spacing w:val="0"/>
                <w:position w:val="0"/>
                <w:sz w:val="20"/>
                <w:shd w:fill="auto" w:val="clear"/>
              </w:rPr>
              <w:t xml:space="preserve">Percentage</w:t>
            </w:r>
          </w:p>
        </w:tc>
      </w:tr>
      <w:tr>
        <w:trPr>
          <w:trHeight w:val="795" w:hRule="auto"/>
          <w:jc w:val="center"/>
        </w:trPr>
        <w:tc>
          <w:tcPr>
            <w:tcW w:w="2460" w:type="dxa"/>
            <w:tcBorders>
              <w:top w:val="single" w:color="cccccc" w:sz="6"/>
              <w:left w:val="single" w:color="000000"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left"/>
              <w:rPr>
                <w:color w:val="auto"/>
                <w:spacing w:val="0"/>
                <w:position w:val="0"/>
                <w:shd w:fill="auto" w:val="clear"/>
              </w:rPr>
            </w:pPr>
            <w:r>
              <w:rPr>
                <w:rFonts w:ascii="Arial" w:hAnsi="Arial" w:cs="Arial" w:eastAsia="Arial"/>
                <w:color w:val="auto"/>
                <w:spacing w:val="0"/>
                <w:position w:val="0"/>
                <w:sz w:val="20"/>
                <w:shd w:fill="auto" w:val="clear"/>
              </w:rPr>
              <w:t xml:space="preserve">Poor interaction and collaboration</w:t>
            </w:r>
          </w:p>
        </w:tc>
        <w:tc>
          <w:tcPr>
            <w:tcW w:w="1500" w:type="dxa"/>
            <w:tcBorders>
              <w:top w:val="single" w:color="cccccc" w:sz="6"/>
              <w:left w:val="single" w:color="cccccc"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0"/>
                <w:shd w:fill="auto" w:val="clear"/>
              </w:rPr>
              <w:t xml:space="preserve">38</w:t>
            </w:r>
          </w:p>
        </w:tc>
        <w:tc>
          <w:tcPr>
            <w:tcW w:w="1830" w:type="dxa"/>
            <w:tcBorders>
              <w:top w:val="single" w:color="cccccc" w:sz="6"/>
              <w:left w:val="single" w:color="cccccc"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0"/>
                <w:shd w:fill="auto" w:val="clear"/>
              </w:rPr>
              <w:t xml:space="preserve">70</w:t>
            </w:r>
          </w:p>
        </w:tc>
        <w:tc>
          <w:tcPr>
            <w:tcW w:w="1500" w:type="dxa"/>
            <w:tcBorders>
              <w:top w:val="single" w:color="cccccc" w:sz="6"/>
              <w:left w:val="single" w:color="cccccc"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0"/>
                <w:shd w:fill="auto" w:val="clear"/>
              </w:rPr>
              <w:t xml:space="preserve">54</w:t>
            </w:r>
          </w:p>
        </w:tc>
      </w:tr>
      <w:tr>
        <w:trPr>
          <w:trHeight w:val="795" w:hRule="auto"/>
          <w:jc w:val="center"/>
        </w:trPr>
        <w:tc>
          <w:tcPr>
            <w:tcW w:w="2460" w:type="dxa"/>
            <w:tcBorders>
              <w:top w:val="single" w:color="cccccc" w:sz="6"/>
              <w:left w:val="single" w:color="000000"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left"/>
              <w:rPr>
                <w:color w:val="auto"/>
                <w:spacing w:val="0"/>
                <w:position w:val="0"/>
                <w:shd w:fill="auto" w:val="clear"/>
              </w:rPr>
            </w:pPr>
            <w:r>
              <w:rPr>
                <w:rFonts w:ascii="Arial" w:hAnsi="Arial" w:cs="Arial" w:eastAsia="Arial"/>
                <w:color w:val="auto"/>
                <w:spacing w:val="0"/>
                <w:position w:val="0"/>
                <w:sz w:val="20"/>
                <w:shd w:fill="auto" w:val="clear"/>
              </w:rPr>
              <w:t xml:space="preserve">Reduced and untimely feedback</w:t>
            </w:r>
          </w:p>
        </w:tc>
        <w:tc>
          <w:tcPr>
            <w:tcW w:w="1500" w:type="dxa"/>
            <w:tcBorders>
              <w:top w:val="single" w:color="cccccc" w:sz="6"/>
              <w:left w:val="single" w:color="cccccc"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0"/>
                <w:shd w:fill="auto" w:val="clear"/>
              </w:rPr>
              <w:t xml:space="preserve">21</w:t>
            </w:r>
          </w:p>
        </w:tc>
        <w:tc>
          <w:tcPr>
            <w:tcW w:w="1830" w:type="dxa"/>
            <w:tcBorders>
              <w:top w:val="single" w:color="cccccc" w:sz="6"/>
              <w:left w:val="single" w:color="cccccc"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0"/>
                <w:shd w:fill="auto" w:val="clear"/>
              </w:rPr>
              <w:t xml:space="preserve">70</w:t>
            </w:r>
          </w:p>
        </w:tc>
        <w:tc>
          <w:tcPr>
            <w:tcW w:w="1500" w:type="dxa"/>
            <w:tcBorders>
              <w:top w:val="single" w:color="cccccc" w:sz="6"/>
              <w:left w:val="single" w:color="cccccc"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0"/>
                <w:shd w:fill="auto" w:val="clear"/>
              </w:rPr>
              <w:t xml:space="preserve">30</w:t>
            </w:r>
          </w:p>
        </w:tc>
      </w:tr>
      <w:tr>
        <w:trPr>
          <w:trHeight w:val="795" w:hRule="auto"/>
          <w:jc w:val="center"/>
        </w:trPr>
        <w:tc>
          <w:tcPr>
            <w:tcW w:w="2460" w:type="dxa"/>
            <w:tcBorders>
              <w:top w:val="single" w:color="cccccc" w:sz="6"/>
              <w:left w:val="single" w:color="000000"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left"/>
              <w:rPr>
                <w:color w:val="auto"/>
                <w:spacing w:val="0"/>
                <w:position w:val="0"/>
                <w:shd w:fill="auto" w:val="clear"/>
              </w:rPr>
            </w:pPr>
            <w:r>
              <w:rPr>
                <w:rFonts w:ascii="Arial" w:hAnsi="Arial" w:cs="Arial" w:eastAsia="Arial"/>
                <w:color w:val="auto"/>
                <w:spacing w:val="0"/>
                <w:position w:val="0"/>
                <w:sz w:val="20"/>
                <w:shd w:fill="auto" w:val="clear"/>
              </w:rPr>
              <w:t xml:space="preserve">Restricted scope of learning</w:t>
            </w:r>
          </w:p>
        </w:tc>
        <w:tc>
          <w:tcPr>
            <w:tcW w:w="1500" w:type="dxa"/>
            <w:tcBorders>
              <w:top w:val="single" w:color="cccccc" w:sz="6"/>
              <w:left w:val="single" w:color="cccccc"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0"/>
                <w:shd w:fill="auto" w:val="clear"/>
              </w:rPr>
              <w:t xml:space="preserve">11</w:t>
            </w:r>
          </w:p>
        </w:tc>
        <w:tc>
          <w:tcPr>
            <w:tcW w:w="1830" w:type="dxa"/>
            <w:tcBorders>
              <w:top w:val="single" w:color="cccccc" w:sz="6"/>
              <w:left w:val="single" w:color="cccccc"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0"/>
                <w:shd w:fill="auto" w:val="clear"/>
              </w:rPr>
              <w:t xml:space="preserve">70</w:t>
            </w:r>
          </w:p>
        </w:tc>
        <w:tc>
          <w:tcPr>
            <w:tcW w:w="1500" w:type="dxa"/>
            <w:tcBorders>
              <w:top w:val="single" w:color="cccccc" w:sz="6"/>
              <w:left w:val="single" w:color="cccccc"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0"/>
                <w:shd w:fill="auto" w:val="clear"/>
              </w:rPr>
              <w:t xml:space="preserve">16</w:t>
            </w:r>
          </w:p>
        </w:tc>
      </w:tr>
    </w:tbl>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Table 4: Challenges experienced by students with VLE</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 Self-created)</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consideration of the responses received from the respondents of the survey is evident that the majority of the students have been facing problems in terms of interaction and collaboration in the context of VLE. While 54% of the participants have stated who are interaction as the major challenge, almost 30% have responded for reduced and untimely feedback and almost 16% have responded for a restricted scope of learning for the same.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object w:dxaOrig="7668" w:dyaOrig="4731">
          <v:rect xmlns:o="urn:schemas-microsoft-com:office:office" xmlns:v="urn:schemas-microsoft-com:vml" id="rectole0000000002" style="width:383.400000pt;height:236.55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Graph 4: Challenges experienced by students with VLE</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 Self-Created)</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Analysis: In reference to the responses received, it has been analysed that there has been various communication and learning challenges for the students when it comes to the VLE. Since social interaction and communication is a vital part of students learning process, the limitations of collaboration through VLE have been leading to the restricted scope of learning. Moreover, the possibility of learning has further been restricted due to untimely or regular feedback from teachers.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Q4.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tbl>
      <w:tblPr/>
      <w:tblGrid>
        <w:gridCol w:w="2670"/>
        <w:gridCol w:w="1500"/>
        <w:gridCol w:w="1830"/>
        <w:gridCol w:w="1500"/>
      </w:tblGrid>
      <w:tr>
        <w:trPr>
          <w:trHeight w:val="630" w:hRule="auto"/>
          <w:jc w:val="center"/>
        </w:trPr>
        <w:tc>
          <w:tcPr>
            <w:tcW w:w="7500" w:type="dxa"/>
            <w:gridSpan w:val="4"/>
            <w:tcBorders>
              <w:top w:val="single" w:color="000000" w:sz="6"/>
              <w:left w:val="single" w:color="000000" w:sz="6"/>
              <w:bottom w:val="single" w:color="000000" w:sz="6"/>
              <w:right w:val="single" w:color="000000" w:sz="6"/>
            </w:tcBorders>
            <w:shd w:color="000000" w:fill="ffffff" w:val="clear"/>
            <w:tcMar>
              <w:left w:w="40" w:type="dxa"/>
              <w:right w:w="40" w:type="dxa"/>
            </w:tcMar>
            <w:vAlign w:val="bottom"/>
          </w:tcPr>
          <w:p>
            <w:pPr>
              <w:spacing w:before="0" w:after="0" w:line="3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Q4. How far do you agree that VLE is unsuitable for the growth and development of students?</w:t>
            </w:r>
          </w:p>
        </w:tc>
      </w:tr>
      <w:tr>
        <w:trPr>
          <w:trHeight w:val="444" w:hRule="auto"/>
          <w:jc w:val="center"/>
        </w:trPr>
        <w:tc>
          <w:tcPr>
            <w:tcW w:w="2670" w:type="dxa"/>
            <w:tcBorders>
              <w:top w:val="single" w:color="cccccc" w:sz="6"/>
              <w:left w:val="single" w:color="000000"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left"/>
              <w:rPr>
                <w:color w:val="auto"/>
                <w:spacing w:val="0"/>
                <w:position w:val="0"/>
                <w:shd w:fill="auto" w:val="clear"/>
              </w:rPr>
            </w:pPr>
            <w:r>
              <w:rPr>
                <w:rFonts w:ascii="Arial" w:hAnsi="Arial" w:cs="Arial" w:eastAsia="Arial"/>
                <w:b/>
                <w:color w:val="auto"/>
                <w:spacing w:val="0"/>
                <w:position w:val="0"/>
                <w:sz w:val="20"/>
                <w:shd w:fill="auto" w:val="clear"/>
              </w:rPr>
              <w:t xml:space="preserve">Component</w:t>
            </w:r>
          </w:p>
        </w:tc>
        <w:tc>
          <w:tcPr>
            <w:tcW w:w="1500" w:type="dxa"/>
            <w:tcBorders>
              <w:top w:val="single" w:color="cccccc" w:sz="6"/>
              <w:left w:val="single" w:color="cccccc"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left"/>
              <w:rPr>
                <w:color w:val="auto"/>
                <w:spacing w:val="0"/>
                <w:position w:val="0"/>
                <w:shd w:fill="auto" w:val="clear"/>
              </w:rPr>
            </w:pPr>
            <w:r>
              <w:rPr>
                <w:rFonts w:ascii="Arial" w:hAnsi="Arial" w:cs="Arial" w:eastAsia="Arial"/>
                <w:b/>
                <w:color w:val="auto"/>
                <w:spacing w:val="0"/>
                <w:position w:val="0"/>
                <w:sz w:val="20"/>
                <w:shd w:fill="auto" w:val="clear"/>
              </w:rPr>
              <w:t xml:space="preserve">Responses</w:t>
            </w:r>
          </w:p>
        </w:tc>
        <w:tc>
          <w:tcPr>
            <w:tcW w:w="1830" w:type="dxa"/>
            <w:tcBorders>
              <w:top w:val="single" w:color="cccccc" w:sz="6"/>
              <w:left w:val="single" w:color="cccccc"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left"/>
              <w:rPr>
                <w:color w:val="auto"/>
                <w:spacing w:val="0"/>
                <w:position w:val="0"/>
                <w:shd w:fill="auto" w:val="clear"/>
              </w:rPr>
            </w:pPr>
            <w:r>
              <w:rPr>
                <w:rFonts w:ascii="Arial" w:hAnsi="Arial" w:cs="Arial" w:eastAsia="Arial"/>
                <w:b/>
                <w:color w:val="auto"/>
                <w:spacing w:val="0"/>
                <w:position w:val="0"/>
                <w:sz w:val="20"/>
                <w:shd w:fill="auto" w:val="clear"/>
              </w:rPr>
              <w:t xml:space="preserve">Total respondents</w:t>
            </w:r>
          </w:p>
        </w:tc>
        <w:tc>
          <w:tcPr>
            <w:tcW w:w="1500" w:type="dxa"/>
            <w:tcBorders>
              <w:top w:val="single" w:color="cccccc" w:sz="6"/>
              <w:left w:val="single" w:color="cccccc"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left"/>
              <w:rPr>
                <w:color w:val="auto"/>
                <w:spacing w:val="0"/>
                <w:position w:val="0"/>
                <w:shd w:fill="auto" w:val="clear"/>
              </w:rPr>
            </w:pPr>
            <w:r>
              <w:rPr>
                <w:rFonts w:ascii="Arial" w:hAnsi="Arial" w:cs="Arial" w:eastAsia="Arial"/>
                <w:b/>
                <w:color w:val="auto"/>
                <w:spacing w:val="0"/>
                <w:position w:val="0"/>
                <w:sz w:val="20"/>
                <w:shd w:fill="auto" w:val="clear"/>
              </w:rPr>
              <w:t xml:space="preserve">Percentage</w:t>
            </w:r>
          </w:p>
        </w:tc>
      </w:tr>
      <w:tr>
        <w:trPr>
          <w:trHeight w:val="315" w:hRule="auto"/>
          <w:jc w:val="center"/>
        </w:trPr>
        <w:tc>
          <w:tcPr>
            <w:tcW w:w="2670" w:type="dxa"/>
            <w:tcBorders>
              <w:top w:val="single" w:color="cccccc" w:sz="6"/>
              <w:left w:val="single" w:color="000000"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left"/>
              <w:rPr>
                <w:color w:val="auto"/>
                <w:spacing w:val="0"/>
                <w:position w:val="0"/>
                <w:shd w:fill="auto" w:val="clear"/>
              </w:rPr>
            </w:pPr>
            <w:r>
              <w:rPr>
                <w:rFonts w:ascii="Arial" w:hAnsi="Arial" w:cs="Arial" w:eastAsia="Arial"/>
                <w:color w:val="auto"/>
                <w:spacing w:val="0"/>
                <w:position w:val="0"/>
                <w:sz w:val="20"/>
                <w:shd w:fill="auto" w:val="clear"/>
              </w:rPr>
              <w:t xml:space="preserve">Agree</w:t>
            </w:r>
          </w:p>
        </w:tc>
        <w:tc>
          <w:tcPr>
            <w:tcW w:w="1500" w:type="dxa"/>
            <w:tcBorders>
              <w:top w:val="single" w:color="cccccc" w:sz="6"/>
              <w:left w:val="single" w:color="cccccc"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0"/>
                <w:shd w:fill="auto" w:val="clear"/>
              </w:rPr>
              <w:t xml:space="preserve">10</w:t>
            </w:r>
          </w:p>
        </w:tc>
        <w:tc>
          <w:tcPr>
            <w:tcW w:w="1830" w:type="dxa"/>
            <w:tcBorders>
              <w:top w:val="single" w:color="cccccc" w:sz="6"/>
              <w:left w:val="single" w:color="cccccc"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0"/>
                <w:shd w:fill="auto" w:val="clear"/>
              </w:rPr>
              <w:t xml:space="preserve">70</w:t>
            </w:r>
          </w:p>
        </w:tc>
        <w:tc>
          <w:tcPr>
            <w:tcW w:w="1500" w:type="dxa"/>
            <w:tcBorders>
              <w:top w:val="single" w:color="cccccc" w:sz="6"/>
              <w:left w:val="single" w:color="cccccc"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0"/>
                <w:shd w:fill="auto" w:val="clear"/>
              </w:rPr>
              <w:t xml:space="preserve">14</w:t>
            </w:r>
          </w:p>
        </w:tc>
      </w:tr>
      <w:tr>
        <w:trPr>
          <w:trHeight w:val="315" w:hRule="auto"/>
          <w:jc w:val="center"/>
        </w:trPr>
        <w:tc>
          <w:tcPr>
            <w:tcW w:w="2670" w:type="dxa"/>
            <w:tcBorders>
              <w:top w:val="single" w:color="cccccc" w:sz="6"/>
              <w:left w:val="single" w:color="000000"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left"/>
              <w:rPr>
                <w:color w:val="auto"/>
                <w:spacing w:val="0"/>
                <w:position w:val="0"/>
                <w:shd w:fill="auto" w:val="clear"/>
              </w:rPr>
            </w:pPr>
            <w:r>
              <w:rPr>
                <w:rFonts w:ascii="Arial" w:hAnsi="Arial" w:cs="Arial" w:eastAsia="Arial"/>
                <w:color w:val="auto"/>
                <w:spacing w:val="0"/>
                <w:position w:val="0"/>
                <w:sz w:val="20"/>
                <w:shd w:fill="auto" w:val="clear"/>
              </w:rPr>
              <w:t xml:space="preserve">Neutral</w:t>
            </w:r>
          </w:p>
        </w:tc>
        <w:tc>
          <w:tcPr>
            <w:tcW w:w="1500" w:type="dxa"/>
            <w:tcBorders>
              <w:top w:val="single" w:color="cccccc" w:sz="6"/>
              <w:left w:val="single" w:color="cccccc"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0"/>
                <w:shd w:fill="auto" w:val="clear"/>
              </w:rPr>
              <w:t xml:space="preserve">18</w:t>
            </w:r>
          </w:p>
        </w:tc>
        <w:tc>
          <w:tcPr>
            <w:tcW w:w="1830" w:type="dxa"/>
            <w:tcBorders>
              <w:top w:val="single" w:color="cccccc" w:sz="6"/>
              <w:left w:val="single" w:color="cccccc"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0"/>
                <w:shd w:fill="auto" w:val="clear"/>
              </w:rPr>
              <w:t xml:space="preserve">70</w:t>
            </w:r>
          </w:p>
        </w:tc>
        <w:tc>
          <w:tcPr>
            <w:tcW w:w="1500" w:type="dxa"/>
            <w:tcBorders>
              <w:top w:val="single" w:color="cccccc" w:sz="6"/>
              <w:left w:val="single" w:color="cccccc"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0"/>
                <w:shd w:fill="auto" w:val="clear"/>
              </w:rPr>
              <w:t xml:space="preserve">26</w:t>
            </w:r>
          </w:p>
        </w:tc>
      </w:tr>
      <w:tr>
        <w:trPr>
          <w:trHeight w:val="315" w:hRule="auto"/>
          <w:jc w:val="center"/>
        </w:trPr>
        <w:tc>
          <w:tcPr>
            <w:tcW w:w="2670" w:type="dxa"/>
            <w:tcBorders>
              <w:top w:val="single" w:color="cccccc" w:sz="6"/>
              <w:left w:val="single" w:color="000000"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left"/>
              <w:rPr>
                <w:color w:val="auto"/>
                <w:spacing w:val="0"/>
                <w:position w:val="0"/>
                <w:shd w:fill="auto" w:val="clear"/>
              </w:rPr>
            </w:pPr>
            <w:r>
              <w:rPr>
                <w:rFonts w:ascii="Arial" w:hAnsi="Arial" w:cs="Arial" w:eastAsia="Arial"/>
                <w:color w:val="auto"/>
                <w:spacing w:val="0"/>
                <w:position w:val="0"/>
                <w:sz w:val="20"/>
                <w:shd w:fill="auto" w:val="clear"/>
              </w:rPr>
              <w:t xml:space="preserve">Disagree</w:t>
            </w:r>
          </w:p>
        </w:tc>
        <w:tc>
          <w:tcPr>
            <w:tcW w:w="1500" w:type="dxa"/>
            <w:tcBorders>
              <w:top w:val="single" w:color="cccccc" w:sz="6"/>
              <w:left w:val="single" w:color="cccccc"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0"/>
                <w:shd w:fill="auto" w:val="clear"/>
              </w:rPr>
              <w:t xml:space="preserve">42</w:t>
            </w:r>
          </w:p>
        </w:tc>
        <w:tc>
          <w:tcPr>
            <w:tcW w:w="1830" w:type="dxa"/>
            <w:tcBorders>
              <w:top w:val="single" w:color="cccccc" w:sz="6"/>
              <w:left w:val="single" w:color="cccccc"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0"/>
                <w:shd w:fill="auto" w:val="clear"/>
              </w:rPr>
              <w:t xml:space="preserve">70</w:t>
            </w:r>
          </w:p>
        </w:tc>
        <w:tc>
          <w:tcPr>
            <w:tcW w:w="1500" w:type="dxa"/>
            <w:tcBorders>
              <w:top w:val="single" w:color="cccccc" w:sz="6"/>
              <w:left w:val="single" w:color="cccccc"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0"/>
                <w:shd w:fill="auto" w:val="clear"/>
              </w:rPr>
              <w:t xml:space="preserve">60</w:t>
            </w:r>
          </w:p>
        </w:tc>
      </w:tr>
    </w:tbl>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Table 5: Responses for the unsuitability of VLE for growth of students</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 Self-created)</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responses received from the students of the institution clearly reflect and negative review in reference to the unsuitability of really for the growth and development of students. The majority of the respondents have disagreed with the question while only 14% have agreed.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object w:dxaOrig="7480" w:dyaOrig="4615">
          <v:rect xmlns:o="urn:schemas-microsoft-com:office:office" xmlns:v="urn:schemas-microsoft-com:vml" id="rectole0000000003" style="width:374.000000pt;height:230.75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Graph 5: Responses for the unsuitability of VLE for growth of students</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 Self-Created)</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Analysis: In consideration of the response is received It can be analysed that the students find VLE suitable for their learning and development. It can be understood that the efforts taken by the institution in the creation of VLE for the learners have been successful to a huge extent. Furthermore, the effectiveness and convenience align with flexibility in learning adds to the elements which make it suitable for the growth of the students.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Q5.</w:t>
      </w:r>
      <w:r>
        <w:rPr>
          <w:rFonts w:ascii="Times New Roman" w:hAnsi="Times New Roman" w:cs="Times New Roman" w:eastAsia="Times New Roman"/>
          <w:color w:val="auto"/>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tbl>
      <w:tblPr/>
      <w:tblGrid>
        <w:gridCol w:w="1950"/>
        <w:gridCol w:w="1500"/>
        <w:gridCol w:w="1830"/>
        <w:gridCol w:w="1500"/>
      </w:tblGrid>
      <w:tr>
        <w:trPr>
          <w:trHeight w:val="510" w:hRule="auto"/>
          <w:jc w:val="center"/>
        </w:trPr>
        <w:tc>
          <w:tcPr>
            <w:tcW w:w="6780" w:type="dxa"/>
            <w:gridSpan w:val="4"/>
            <w:tcBorders>
              <w:top w:val="single" w:color="000000" w:sz="6"/>
              <w:left w:val="single" w:color="000000" w:sz="6"/>
              <w:bottom w:val="single" w:color="000000" w:sz="6"/>
              <w:right w:val="single" w:color="000000" w:sz="6"/>
            </w:tcBorders>
            <w:shd w:color="000000" w:fill="ffffff" w:val="clear"/>
            <w:tcMar>
              <w:left w:w="40" w:type="dxa"/>
              <w:right w:w="40" w:type="dxa"/>
            </w:tcMar>
            <w:vAlign w:val="bottom"/>
          </w:tcPr>
          <w:p>
            <w:pPr>
              <w:spacing w:before="0" w:after="0" w:line="3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Q5. How far do you agree that VLE has been student-friendly?</w:t>
            </w:r>
          </w:p>
        </w:tc>
      </w:tr>
      <w:tr>
        <w:trPr>
          <w:trHeight w:val="315" w:hRule="auto"/>
          <w:jc w:val="center"/>
        </w:trPr>
        <w:tc>
          <w:tcPr>
            <w:tcW w:w="1950" w:type="dxa"/>
            <w:tcBorders>
              <w:top w:val="single" w:color="cccccc" w:sz="6"/>
              <w:left w:val="single" w:color="000000"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left"/>
              <w:rPr>
                <w:color w:val="auto"/>
                <w:spacing w:val="0"/>
                <w:position w:val="0"/>
                <w:shd w:fill="auto" w:val="clear"/>
              </w:rPr>
            </w:pPr>
            <w:r>
              <w:rPr>
                <w:rFonts w:ascii="Arial" w:hAnsi="Arial" w:cs="Arial" w:eastAsia="Arial"/>
                <w:b/>
                <w:color w:val="auto"/>
                <w:spacing w:val="0"/>
                <w:position w:val="0"/>
                <w:sz w:val="20"/>
                <w:shd w:fill="auto" w:val="clear"/>
              </w:rPr>
              <w:t xml:space="preserve">Component</w:t>
            </w:r>
          </w:p>
        </w:tc>
        <w:tc>
          <w:tcPr>
            <w:tcW w:w="1500" w:type="dxa"/>
            <w:tcBorders>
              <w:top w:val="single" w:color="cccccc" w:sz="6"/>
              <w:left w:val="single" w:color="cccccc"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left"/>
              <w:rPr>
                <w:color w:val="auto"/>
                <w:spacing w:val="0"/>
                <w:position w:val="0"/>
                <w:shd w:fill="auto" w:val="clear"/>
              </w:rPr>
            </w:pPr>
            <w:r>
              <w:rPr>
                <w:rFonts w:ascii="Arial" w:hAnsi="Arial" w:cs="Arial" w:eastAsia="Arial"/>
                <w:b/>
                <w:color w:val="auto"/>
                <w:spacing w:val="0"/>
                <w:position w:val="0"/>
                <w:sz w:val="20"/>
                <w:shd w:fill="auto" w:val="clear"/>
              </w:rPr>
              <w:t xml:space="preserve">Responses</w:t>
            </w:r>
          </w:p>
        </w:tc>
        <w:tc>
          <w:tcPr>
            <w:tcW w:w="1830" w:type="dxa"/>
            <w:tcBorders>
              <w:top w:val="single" w:color="cccccc" w:sz="6"/>
              <w:left w:val="single" w:color="cccccc"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left"/>
              <w:rPr>
                <w:color w:val="auto"/>
                <w:spacing w:val="0"/>
                <w:position w:val="0"/>
                <w:shd w:fill="auto" w:val="clear"/>
              </w:rPr>
            </w:pPr>
            <w:r>
              <w:rPr>
                <w:rFonts w:ascii="Arial" w:hAnsi="Arial" w:cs="Arial" w:eastAsia="Arial"/>
                <w:b/>
                <w:color w:val="auto"/>
                <w:spacing w:val="0"/>
                <w:position w:val="0"/>
                <w:sz w:val="20"/>
                <w:shd w:fill="auto" w:val="clear"/>
              </w:rPr>
              <w:t xml:space="preserve">Total respondents</w:t>
            </w:r>
          </w:p>
        </w:tc>
        <w:tc>
          <w:tcPr>
            <w:tcW w:w="1500" w:type="dxa"/>
            <w:tcBorders>
              <w:top w:val="single" w:color="cccccc" w:sz="6"/>
              <w:left w:val="single" w:color="cccccc"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left"/>
              <w:rPr>
                <w:color w:val="auto"/>
                <w:spacing w:val="0"/>
                <w:position w:val="0"/>
                <w:shd w:fill="auto" w:val="clear"/>
              </w:rPr>
            </w:pPr>
            <w:r>
              <w:rPr>
                <w:rFonts w:ascii="Arial" w:hAnsi="Arial" w:cs="Arial" w:eastAsia="Arial"/>
                <w:b/>
                <w:color w:val="auto"/>
                <w:spacing w:val="0"/>
                <w:position w:val="0"/>
                <w:sz w:val="20"/>
                <w:shd w:fill="auto" w:val="clear"/>
              </w:rPr>
              <w:t xml:space="preserve">Percentage</w:t>
            </w:r>
          </w:p>
        </w:tc>
      </w:tr>
      <w:tr>
        <w:trPr>
          <w:trHeight w:val="315" w:hRule="auto"/>
          <w:jc w:val="center"/>
        </w:trPr>
        <w:tc>
          <w:tcPr>
            <w:tcW w:w="1950" w:type="dxa"/>
            <w:tcBorders>
              <w:top w:val="single" w:color="cccccc" w:sz="6"/>
              <w:left w:val="single" w:color="000000"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left"/>
              <w:rPr>
                <w:color w:val="auto"/>
                <w:spacing w:val="0"/>
                <w:position w:val="0"/>
                <w:shd w:fill="auto" w:val="clear"/>
              </w:rPr>
            </w:pPr>
            <w:r>
              <w:rPr>
                <w:rFonts w:ascii="Arial" w:hAnsi="Arial" w:cs="Arial" w:eastAsia="Arial"/>
                <w:color w:val="auto"/>
                <w:spacing w:val="0"/>
                <w:position w:val="0"/>
                <w:sz w:val="20"/>
                <w:shd w:fill="auto" w:val="clear"/>
              </w:rPr>
              <w:t xml:space="preserve">Agree</w:t>
            </w:r>
          </w:p>
        </w:tc>
        <w:tc>
          <w:tcPr>
            <w:tcW w:w="1500" w:type="dxa"/>
            <w:tcBorders>
              <w:top w:val="single" w:color="cccccc" w:sz="6"/>
              <w:left w:val="single" w:color="cccccc"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0"/>
                <w:shd w:fill="auto" w:val="clear"/>
              </w:rPr>
              <w:t xml:space="preserve">45</w:t>
            </w:r>
          </w:p>
        </w:tc>
        <w:tc>
          <w:tcPr>
            <w:tcW w:w="1830" w:type="dxa"/>
            <w:tcBorders>
              <w:top w:val="single" w:color="cccccc" w:sz="6"/>
              <w:left w:val="single" w:color="cccccc"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0"/>
                <w:shd w:fill="auto" w:val="clear"/>
              </w:rPr>
              <w:t xml:space="preserve">70</w:t>
            </w:r>
          </w:p>
        </w:tc>
        <w:tc>
          <w:tcPr>
            <w:tcW w:w="1500" w:type="dxa"/>
            <w:tcBorders>
              <w:top w:val="single" w:color="cccccc" w:sz="6"/>
              <w:left w:val="single" w:color="cccccc"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0"/>
                <w:shd w:fill="auto" w:val="clear"/>
              </w:rPr>
              <w:t xml:space="preserve">64</w:t>
            </w:r>
          </w:p>
        </w:tc>
      </w:tr>
      <w:tr>
        <w:trPr>
          <w:trHeight w:val="315" w:hRule="auto"/>
          <w:jc w:val="center"/>
        </w:trPr>
        <w:tc>
          <w:tcPr>
            <w:tcW w:w="1950" w:type="dxa"/>
            <w:tcBorders>
              <w:top w:val="single" w:color="cccccc" w:sz="6"/>
              <w:left w:val="single" w:color="000000"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left"/>
              <w:rPr>
                <w:color w:val="auto"/>
                <w:spacing w:val="0"/>
                <w:position w:val="0"/>
                <w:shd w:fill="auto" w:val="clear"/>
              </w:rPr>
            </w:pPr>
            <w:r>
              <w:rPr>
                <w:rFonts w:ascii="Arial" w:hAnsi="Arial" w:cs="Arial" w:eastAsia="Arial"/>
                <w:color w:val="auto"/>
                <w:spacing w:val="0"/>
                <w:position w:val="0"/>
                <w:sz w:val="20"/>
                <w:shd w:fill="auto" w:val="clear"/>
              </w:rPr>
              <w:t xml:space="preserve">Neutral</w:t>
            </w:r>
          </w:p>
        </w:tc>
        <w:tc>
          <w:tcPr>
            <w:tcW w:w="1500" w:type="dxa"/>
            <w:tcBorders>
              <w:top w:val="single" w:color="cccccc" w:sz="6"/>
              <w:left w:val="single" w:color="cccccc"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0"/>
                <w:shd w:fill="auto" w:val="clear"/>
              </w:rPr>
              <w:t xml:space="preserve">18</w:t>
            </w:r>
          </w:p>
        </w:tc>
        <w:tc>
          <w:tcPr>
            <w:tcW w:w="1830" w:type="dxa"/>
            <w:tcBorders>
              <w:top w:val="single" w:color="cccccc" w:sz="6"/>
              <w:left w:val="single" w:color="cccccc"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0"/>
                <w:shd w:fill="auto" w:val="clear"/>
              </w:rPr>
              <w:t xml:space="preserve">70</w:t>
            </w:r>
          </w:p>
        </w:tc>
        <w:tc>
          <w:tcPr>
            <w:tcW w:w="1500" w:type="dxa"/>
            <w:tcBorders>
              <w:top w:val="single" w:color="cccccc" w:sz="6"/>
              <w:left w:val="single" w:color="cccccc"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0"/>
                <w:shd w:fill="auto" w:val="clear"/>
              </w:rPr>
              <w:t xml:space="preserve">26</w:t>
            </w:r>
          </w:p>
        </w:tc>
      </w:tr>
      <w:tr>
        <w:trPr>
          <w:trHeight w:val="315" w:hRule="auto"/>
          <w:jc w:val="center"/>
        </w:trPr>
        <w:tc>
          <w:tcPr>
            <w:tcW w:w="1950" w:type="dxa"/>
            <w:tcBorders>
              <w:top w:val="single" w:color="cccccc" w:sz="6"/>
              <w:left w:val="single" w:color="000000"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left"/>
              <w:rPr>
                <w:color w:val="auto"/>
                <w:spacing w:val="0"/>
                <w:position w:val="0"/>
                <w:shd w:fill="auto" w:val="clear"/>
              </w:rPr>
            </w:pPr>
            <w:r>
              <w:rPr>
                <w:rFonts w:ascii="Arial" w:hAnsi="Arial" w:cs="Arial" w:eastAsia="Arial"/>
                <w:color w:val="auto"/>
                <w:spacing w:val="0"/>
                <w:position w:val="0"/>
                <w:sz w:val="20"/>
                <w:shd w:fill="auto" w:val="clear"/>
              </w:rPr>
              <w:t xml:space="preserve">Disagree</w:t>
            </w:r>
          </w:p>
        </w:tc>
        <w:tc>
          <w:tcPr>
            <w:tcW w:w="1500" w:type="dxa"/>
            <w:tcBorders>
              <w:top w:val="single" w:color="cccccc" w:sz="6"/>
              <w:left w:val="single" w:color="cccccc"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0"/>
                <w:shd w:fill="auto" w:val="clear"/>
              </w:rPr>
              <w:t xml:space="preserve">7</w:t>
            </w:r>
          </w:p>
        </w:tc>
        <w:tc>
          <w:tcPr>
            <w:tcW w:w="1830" w:type="dxa"/>
            <w:tcBorders>
              <w:top w:val="single" w:color="cccccc" w:sz="6"/>
              <w:left w:val="single" w:color="cccccc"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0"/>
                <w:shd w:fill="auto" w:val="clear"/>
              </w:rPr>
              <w:t xml:space="preserve">70</w:t>
            </w:r>
          </w:p>
        </w:tc>
        <w:tc>
          <w:tcPr>
            <w:tcW w:w="1500" w:type="dxa"/>
            <w:tcBorders>
              <w:top w:val="single" w:color="cccccc" w:sz="6"/>
              <w:left w:val="single" w:color="cccccc" w:sz="6"/>
              <w:bottom w:val="single" w:color="000000" w:sz="6"/>
              <w:right w:val="single" w:color="000000" w:sz="6"/>
            </w:tcBorders>
            <w:shd w:color="auto" w:fill="auto" w:val="clear"/>
            <w:tcMar>
              <w:left w:w="40" w:type="dxa"/>
              <w:right w:w="40" w:type="dxa"/>
            </w:tcMar>
            <w:vAlign w:val="bottom"/>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0"/>
                <w:shd w:fill="auto" w:val="clear"/>
              </w:rPr>
              <w:t xml:space="preserve">10</w:t>
            </w:r>
          </w:p>
        </w:tc>
      </w:tr>
    </w:tbl>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Table 6: Responses for VLE being student-friendly </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 Self-created)</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reference to the responses received from the participants, it is evident that the majority of the students have agreed about VLE being student-friendly. While almost 64% of the respondents have agreed, 26% of the respondents have been neutral and almost 10% of the students have completely disagreed with the stated question.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object w:dxaOrig="7546" w:dyaOrig="4644">
          <v:rect xmlns:o="urn:schemas-microsoft-com:office:office" xmlns:v="urn:schemas-microsoft-com:vml" id="rectole0000000004" style="width:377.300000pt;height:232.200000pt" o:preferrelative="t" o:ole="">
            <o:lock v:ext="edit"/>
            <v:imagedata xmlns:r="http://schemas.openxmlformats.org/officeDocument/2006/relationships" r:id="docRId9" o:title=""/>
          </v:rect>
          <o:OLEObject xmlns:r="http://schemas.openxmlformats.org/officeDocument/2006/relationships" xmlns:o="urn:schemas-microsoft-com:office:office" Type="Embed" ProgID="StaticMetafile" DrawAspect="Content" ObjectID="0000000004" ShapeID="rectole0000000004" r:id="docRId8"/>
        </w:object>
      </w: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Graph 6: Responses for VLE being student-friendly </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 Self-Created)</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Analysis: In consideration of responses received from the students of the institution, it has been analysed that the overall experience of the students with VLE has been a positive one. The ease of accessing the learning procedures through digital tools and increased accessibility to the learning materials have been some of the major reasons. Moreover, the increasing possibility of flexible study time and needed space for the students has made it more student-friendly. </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Secondary data collection</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p>
    <w:tbl>
      <w:tblPr>
        <w:tblInd w:w="100" w:type="dxa"/>
      </w:tblPr>
      <w:tblGrid>
        <w:gridCol w:w="9360"/>
      </w:tblGrid>
      <w:tr>
        <w:trPr>
          <w:trHeight w:val="1" w:hRule="atLeast"/>
          <w:jc w:val="left"/>
        </w:trPr>
        <w:tc>
          <w:tcPr>
            <w:tcW w:w="93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left"/>
              <w:rPr>
                <w:color w:val="auto"/>
                <w:spacing w:val="0"/>
                <w:position w:val="0"/>
                <w:shd w:fill="auto" w:val="clear"/>
              </w:rPr>
            </w:pPr>
            <w:r>
              <w:rPr>
                <w:rFonts w:ascii="Times New Roman" w:hAnsi="Times New Roman" w:cs="Times New Roman" w:eastAsia="Times New Roman"/>
                <w:b/>
                <w:i/>
                <w:color w:val="auto"/>
                <w:spacing w:val="0"/>
                <w:position w:val="0"/>
                <w:sz w:val="24"/>
                <w:shd w:fill="auto" w:val="clear"/>
              </w:rPr>
              <w:t xml:space="preserve">Theme 1: Utilization of problem-based learning in the virtual environment</w:t>
            </w:r>
          </w:p>
        </w:tc>
      </w:tr>
      <w:tr>
        <w:trPr>
          <w:trHeight w:val="1" w:hRule="atLeast"/>
          <w:jc w:val="left"/>
        </w:trPr>
        <w:tc>
          <w:tcPr>
            <w:tcW w:w="936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From the research conducted by Phungsuk et al (2017), the thinking capability of the students can be improved if the teachers use problem-based learning in the virtual environment. In the virtual environment, certain advantages can help the students to understand their chapters more effectively such as the utilization of graphs and charts. The teachers will be required to make sure that they provide problems to their students regularly so that the problem habit is inculcated within them. It is to be kept in mind that such learning models allow the students and the teachers to interact with each other in a more concise manner. </w:t>
            </w:r>
          </w:p>
        </w:tc>
      </w:tr>
    </w:tbl>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Analysis:</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There are certain advantages in the virtual learning environment as the students will be able to make sure that they utilize resources other than the content of the class. In the virtual environment, the student will be able to take the assistance of the internet to know about certain concepts that they are unable to understand in class. In the virtual learning environment, the teachers will be able to use graphs and charts to make the students understand a certain concept in an effective manner. If the teachers start utilizing problem-based learning then they will be able to develop their students more prolifically. It is to be kept in mind that providing a problem-solving learning environment to the students makes sure that the development of the students is done appropriately.</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Conclusion</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From the above discussion and findings, it can be understood that e-learning has helped the students of the institute as they are able to access the study materials more effectively. However, it is to be kept in mind that the main challenge related to virtual learning is that disruption can occur in the communication procedures. The institute will be required to utilize problem-based learning models so that the thinking capability of the students can be improved. It is also to be kept in mind that the virtual learning environment of the institute is suitable for growth.</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Recommendations</w:t>
      </w:r>
    </w:p>
    <w:p>
      <w:pPr>
        <w:spacing w:before="0" w:after="0" w:line="360"/>
        <w:ind w:right="0" w:left="0" w:firstLine="0"/>
        <w:jc w:val="both"/>
        <w:rPr>
          <w:rFonts w:ascii="Arial" w:hAnsi="Arial" w:cs="Arial" w:eastAsia="Arial"/>
          <w:color w:val="auto"/>
          <w:spacing w:val="0"/>
          <w:position w:val="0"/>
          <w:sz w:val="22"/>
          <w:shd w:fill="auto" w:val="clear"/>
        </w:rPr>
      </w:pPr>
      <w:r>
        <w:rPr>
          <w:rFonts w:ascii="Times New Roman" w:hAnsi="Times New Roman" w:cs="Times New Roman" w:eastAsia="Times New Roman"/>
          <w:color w:val="auto"/>
          <w:spacing w:val="0"/>
          <w:position w:val="0"/>
          <w:sz w:val="24"/>
          <w:shd w:fill="auto" w:val="clear"/>
        </w:rPr>
        <w:t xml:space="preserve">In consideration of the discussions made and the conclusion drawn it is evident that the creation of VLE by teaching institutions has a high scope for enhancement of the learning process the positive response of the students’ needs to be considered as an opportunity for growth of the education system. The various challenges identified such as untimely feedback and poor collaboration needs to be considered vital and effective measures to mitigate such challenges need to be implemented so that the VLE is enhanced. Increased collaborative programs for the students along with flexible interaction with the teaching and management staff is one of the major recommendations for effective enactment and better student experience.</w:t>
      </w:r>
      <w:r>
        <w:rPr>
          <w:rFonts w:ascii="Arial" w:hAnsi="Arial" w:cs="Arial" w:eastAsia="Arial"/>
          <w:color w:val="auto"/>
          <w:spacing w:val="0"/>
          <w:position w:val="0"/>
          <w:sz w:val="22"/>
          <w:shd w:fill="auto" w:val="clear"/>
        </w:rPr>
        <w:t xml:space="preserve">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References</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Abdeldayem, M.M., Aldulaimi, S.H. and Aldulaimi, M.L.A., 2020. Virtual learning and students’ connectedness in the time of coronavirus. International Journal of Advanced Science and Technology, 29(5), pp.12634-12645.</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Allcoat, D., Hatchard, T., Azmat, F., Stansfield, K., Watson, D. and von Mühlenen, A., 2021. Education in the digital age: Learning experience in virtual and mixed realities. Journal of Educational Computing Research, p.0735633120985120.</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Dung, D.T.H., 2020. The advantages and disadvantages of virtual learning. IOSR Journal of Research &amp; Method in Education, 10(3), pp.45-48.</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Govindarajan, V. and Srivastava, A., 2020. What the shift to virtual learning could mean for the future of higher ed. Harvard Business Review, 31.</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Khan, M.A., Nabi, M.K., Khojah, M. and Tahir, M., 2021. Students’ perception towards e-learning during COVID-19 pandemic in India: An empirical study. Sustainability, 13(1), p.57.</w:t>
      </w:r>
    </w:p>
    <w:p>
      <w:pPr>
        <w:spacing w:before="0" w:after="0" w:line="360"/>
        <w:ind w:right="0" w:left="0" w:firstLine="0"/>
        <w:jc w:val="both"/>
        <w:rPr>
          <w:rFonts w:ascii="Times New Roman" w:hAnsi="Times New Roman" w:cs="Times New Roman" w:eastAsia="Times New Roman"/>
          <w:color w:val="3C4043"/>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Nayak, J.K. and Singh, P., 2021. </w:t>
      </w:r>
      <w:r>
        <w:rPr>
          <w:rFonts w:ascii="Times New Roman" w:hAnsi="Times New Roman" w:cs="Times New Roman" w:eastAsia="Times New Roman"/>
          <w:i/>
          <w:color w:val="222222"/>
          <w:spacing w:val="0"/>
          <w:position w:val="0"/>
          <w:sz w:val="24"/>
          <w:shd w:fill="FFFFFF" w:val="clear"/>
        </w:rPr>
        <w:t xml:space="preserve">Fundamentals of Research Methodology Problems and Prospects</w:t>
      </w:r>
      <w:r>
        <w:rPr>
          <w:rFonts w:ascii="Times New Roman" w:hAnsi="Times New Roman" w:cs="Times New Roman" w:eastAsia="Times New Roman"/>
          <w:color w:val="222222"/>
          <w:spacing w:val="0"/>
          <w:position w:val="0"/>
          <w:sz w:val="24"/>
          <w:shd w:fill="FFFFFF" w:val="clear"/>
        </w:rPr>
        <w:t xml:space="preserve">. SSDN Publishers &amp; Distributors.</w:t>
      </w:r>
    </w:p>
    <w:p>
      <w:pPr>
        <w:spacing w:before="0" w:after="0" w:line="360"/>
        <w:ind w:right="0" w:left="0" w:firstLine="0"/>
        <w:jc w:val="both"/>
        <w:rPr>
          <w:rFonts w:ascii="Times New Roman" w:hAnsi="Times New Roman" w:cs="Times New Roman" w:eastAsia="Times New Roman"/>
          <w:color w:val="3C4043"/>
          <w:spacing w:val="0"/>
          <w:position w:val="0"/>
          <w:sz w:val="24"/>
          <w:shd w:fill="FFFFFF" w:val="clear"/>
        </w:rPr>
      </w:pPr>
      <w:r>
        <w:rPr>
          <w:rFonts w:ascii="Times New Roman" w:hAnsi="Times New Roman" w:cs="Times New Roman" w:eastAsia="Times New Roman"/>
          <w:color w:val="3C4043"/>
          <w:spacing w:val="0"/>
          <w:position w:val="0"/>
          <w:sz w:val="24"/>
          <w:shd w:fill="FFFFFF" w:val="clear"/>
        </w:rPr>
        <w:t xml:space="preserve">Phungsuk, R., Viriyavejakul, C. and Ratanaolarn, T., 2017. Development of a problem-based learning model via a virtual learning environment. Kasetsart Journal of Social Sciences, 38(3), pp.297-306</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p>
  </w:body>
</w:document>
</file>

<file path=word/numbering.xml><?xml version="1.0" encoding="utf-8"?>
<w:numbering xmlns:w="http://schemas.openxmlformats.org/wordprocessingml/2006/main">
  <w:abstractNum w:abstractNumId="0">
    <w:lvl w:ilvl="0">
      <w:start w:val="1"/>
      <w:numFmt w:val="bullet"/>
      <w:lvlText w:val="•"/>
    </w:lvl>
  </w:abstractNum>
  <w:num w:numId="6">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1.wmf" Id="docRId3" Type="http://schemas.openxmlformats.org/officeDocument/2006/relationships/image" /><Relationship Target="media/image3.wmf" Id="docRId7" Type="http://schemas.openxmlformats.org/officeDocument/2006/relationships/image" /><Relationship Target="embeddings/oleObject0.bin" Id="docRId0" Type="http://schemas.openxmlformats.org/officeDocument/2006/relationships/oleObject" /><Relationship Target="numbering.xml" Id="docRId10" Type="http://schemas.openxmlformats.org/officeDocument/2006/relationships/numbering" /><Relationship Target="embeddings/oleObject1.bin" Id="docRId2" Type="http://schemas.openxmlformats.org/officeDocument/2006/relationships/oleObject" /><Relationship Target="embeddings/oleObject2.bin" Id="docRId4" Type="http://schemas.openxmlformats.org/officeDocument/2006/relationships/oleObject" /><Relationship Target="embeddings/oleObject3.bin" Id="docRId6" Type="http://schemas.openxmlformats.org/officeDocument/2006/relationships/oleObject" /><Relationship Target="embeddings/oleObject4.bin" Id="docRId8" Type="http://schemas.openxmlformats.org/officeDocument/2006/relationships/oleObject" /><Relationship Target="media/image0.wmf" Id="docRId1" Type="http://schemas.openxmlformats.org/officeDocument/2006/relationships/image" /><Relationship Target="styles.xml" Id="docRId11" Type="http://schemas.openxmlformats.org/officeDocument/2006/relationships/styles" /><Relationship Target="media/image2.wmf" Id="docRId5" Type="http://schemas.openxmlformats.org/officeDocument/2006/relationships/image" /><Relationship Target="media/image4.wmf" Id="docRId9" Type="http://schemas.openxmlformats.org/officeDocument/2006/relationships/image" /></Relationships>
</file>