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D0287" w14:textId="1C24172A" w:rsidR="00040B4C" w:rsidRDefault="009C0234">
      <w:r>
        <w:t>Lloyd Williams 910322</w:t>
      </w:r>
    </w:p>
    <w:p w14:paraId="2F996845" w14:textId="56AF5DD0" w:rsidR="009C0234" w:rsidRDefault="00721A6A">
      <w:r>
        <w:t>Essay</w:t>
      </w:r>
      <w:r w:rsidR="00E520B1">
        <w:t>’s</w:t>
      </w:r>
      <w:r>
        <w:t xml:space="preserve"> </w:t>
      </w:r>
      <w:r w:rsidR="00CF4091">
        <w:t>1</w:t>
      </w:r>
      <w:r w:rsidR="00E520B1">
        <w:t>-4</w:t>
      </w:r>
    </w:p>
    <w:p w14:paraId="2380CBE7" w14:textId="3E912E28" w:rsidR="009C0234" w:rsidRDefault="009C0234" w:rsidP="009C0234">
      <w:pPr>
        <w:spacing w:after="0" w:line="276" w:lineRule="auto"/>
        <w:ind w:right="531"/>
        <w:rPr>
          <w:rFonts w:ascii="Arial" w:eastAsia="Times New Roman" w:hAnsi="Arial" w:cs="Arial"/>
          <w:lang w:eastAsia="en-GB"/>
        </w:rPr>
      </w:pPr>
      <w:r>
        <w:rPr>
          <w:rFonts w:ascii="Arial" w:eastAsia="Times New Roman" w:hAnsi="Arial" w:cs="Arial"/>
          <w:lang w:eastAsia="en-GB"/>
        </w:rPr>
        <w:t xml:space="preserve">How have the different values and cultural norms within diverse communities impacted upon policing? You should </w:t>
      </w:r>
      <w:r>
        <w:rPr>
          <w:rFonts w:ascii="Arial" w:eastAsia="Times New Roman" w:hAnsi="Arial" w:cs="Arial"/>
          <w:u w:val="single"/>
          <w:lang w:eastAsia="en-GB"/>
        </w:rPr>
        <w:t>evaluate</w:t>
      </w:r>
      <w:r>
        <w:rPr>
          <w:rFonts w:ascii="Arial" w:eastAsia="Times New Roman" w:hAnsi="Arial" w:cs="Arial"/>
          <w:lang w:eastAsia="en-GB"/>
        </w:rPr>
        <w:t xml:space="preserve"> how multi-culturalism has affected professional policies and standards (</w:t>
      </w:r>
      <w:proofErr w:type="gramStart"/>
      <w:r>
        <w:rPr>
          <w:rFonts w:ascii="Arial" w:eastAsia="Times New Roman" w:hAnsi="Arial" w:cs="Arial"/>
          <w:lang w:eastAsia="en-GB"/>
        </w:rPr>
        <w:t>e.g.</w:t>
      </w:r>
      <w:proofErr w:type="gramEnd"/>
      <w:r>
        <w:rPr>
          <w:rFonts w:ascii="Arial" w:eastAsia="Times New Roman" w:hAnsi="Arial" w:cs="Arial"/>
          <w:lang w:eastAsia="en-GB"/>
        </w:rPr>
        <w:t xml:space="preserve"> PACE, Code of Ethics) as well as policing practice (e.g. neighbourhood policing).</w:t>
      </w:r>
    </w:p>
    <w:p w14:paraId="17725F30" w14:textId="499D9CB2" w:rsidR="00FA2E74" w:rsidRPr="00A76BC3" w:rsidRDefault="009C0234" w:rsidP="009C0234">
      <w:pPr>
        <w:spacing w:after="0" w:line="276" w:lineRule="auto"/>
        <w:ind w:right="531"/>
        <w:rPr>
          <w:rFonts w:ascii="Arial" w:eastAsia="Times New Roman" w:hAnsi="Arial" w:cs="Arial"/>
          <w:lang w:eastAsia="en-GB"/>
        </w:rPr>
      </w:pPr>
      <w:r>
        <w:rPr>
          <w:rFonts w:ascii="Arial" w:eastAsia="Times New Roman" w:hAnsi="Arial" w:cs="Arial"/>
          <w:lang w:eastAsia="en-GB"/>
        </w:rPr>
        <w:t>1.</w:t>
      </w:r>
    </w:p>
    <w:p w14:paraId="650715CD" w14:textId="571E40DC" w:rsidR="00FA2E74" w:rsidRPr="00D6400F" w:rsidRDefault="00FA2E74">
      <w:pPr>
        <w:rPr>
          <w:b/>
          <w:bCs/>
        </w:rPr>
      </w:pPr>
      <w:r w:rsidRPr="00D6400F">
        <w:rPr>
          <w:b/>
          <w:bCs/>
        </w:rPr>
        <w:t xml:space="preserve">Introduction </w:t>
      </w:r>
    </w:p>
    <w:p w14:paraId="3EAB1343" w14:textId="28676310" w:rsidR="00FA2E74" w:rsidRDefault="00FA2E74">
      <w:r>
        <w:t>In this essay</w:t>
      </w:r>
      <w:r w:rsidR="00496E0B">
        <w:t>,</w:t>
      </w:r>
      <w:r>
        <w:t xml:space="preserve"> I will try to evaluate how different values and cultural norms within the many diverse communities</w:t>
      </w:r>
      <w:r w:rsidR="00496E0B">
        <w:t>,</w:t>
      </w:r>
      <w:r>
        <w:t xml:space="preserve"> has impacted policing and how different cu</w:t>
      </w:r>
      <w:r w:rsidR="00496E0B">
        <w:t>ltures</w:t>
      </w:r>
      <w:r w:rsidRPr="00FA2E74">
        <w:t xml:space="preserve"> have the different values and cultural norms within diverse communities impacted upon policin</w:t>
      </w:r>
      <w:r>
        <w:t>g and how multi-culturalism has affected different foundation policies and standards as well as everyday policing practice.</w:t>
      </w:r>
    </w:p>
    <w:p w14:paraId="364FBBE5" w14:textId="6CBC0034" w:rsidR="00BA42FD" w:rsidRDefault="00BA42FD">
      <w:r>
        <w:t>It goes without saying that with the</w:t>
      </w:r>
      <w:r w:rsidR="0053516B">
        <w:t>re are</w:t>
      </w:r>
      <w:r>
        <w:t xml:space="preserve"> many different diverse communities within policing, these</w:t>
      </w:r>
      <w:r w:rsidR="0053516B">
        <w:t xml:space="preserve"> play a vital part of the everyday life within policing and</w:t>
      </w:r>
      <w:r>
        <w:t xml:space="preserve"> have directly affected how policing is operated</w:t>
      </w:r>
      <w:r w:rsidR="0053516B">
        <w:t xml:space="preserve"> on a </w:t>
      </w:r>
      <w:r w:rsidR="00FB37C0">
        <w:t>day-to-day</w:t>
      </w:r>
      <w:r w:rsidR="0053516B">
        <w:t xml:space="preserve"> basis</w:t>
      </w:r>
      <w:r>
        <w:t xml:space="preserve">. </w:t>
      </w:r>
      <w:r w:rsidR="00122FC5">
        <w:t>Police play a vital role in the everyday life of the community. As the most visible branch of government, police are relied upon to resolve conflict among all types of diverse communities within the United Kingdom. There has been a strong focus on community policing and problem solving in recent years, this focus has highlighted the importance of police interaction with the diverse communities that they serve</w:t>
      </w:r>
      <w:r w:rsidR="00E73415">
        <w:t xml:space="preserve"> </w:t>
      </w:r>
      <w:sdt>
        <w:sdtPr>
          <w:id w:val="508485191"/>
          <w:citation/>
        </w:sdtPr>
        <w:sdtContent>
          <w:r w:rsidR="00E73415">
            <w:fldChar w:fldCharType="begin"/>
          </w:r>
          <w:r w:rsidR="00E73415">
            <w:instrText xml:space="preserve"> CITATION DeG97 \l 2057 </w:instrText>
          </w:r>
          <w:r w:rsidR="00E73415">
            <w:fldChar w:fldCharType="separate"/>
          </w:r>
          <w:r w:rsidR="00003185" w:rsidRPr="00003185">
            <w:rPr>
              <w:noProof/>
            </w:rPr>
            <w:t>(DeGeneste, 1997)</w:t>
          </w:r>
          <w:r w:rsidR="00E73415">
            <w:fldChar w:fldCharType="end"/>
          </w:r>
        </w:sdtContent>
      </w:sdt>
      <w:r w:rsidR="00122FC5">
        <w:t xml:space="preserve">. </w:t>
      </w:r>
    </w:p>
    <w:p w14:paraId="68E904B8" w14:textId="381F5161" w:rsidR="00FA2E74" w:rsidRDefault="00D31364">
      <w:r>
        <w:t xml:space="preserve">The increasing diversity within the modern society requires police to seriously consider </w:t>
      </w:r>
      <w:r w:rsidR="00721A6A">
        <w:t>their</w:t>
      </w:r>
      <w:r>
        <w:t xml:space="preserve"> role to successfully moderate complex intergroup relationships within the different communities that they serve on a daily basis</w:t>
      </w:r>
      <w:r w:rsidR="00E73415">
        <w:t xml:space="preserve"> </w:t>
      </w:r>
      <w:sdt>
        <w:sdtPr>
          <w:id w:val="1644394515"/>
          <w:citation/>
        </w:sdtPr>
        <w:sdtContent>
          <w:r w:rsidR="00E73415">
            <w:fldChar w:fldCharType="begin"/>
          </w:r>
          <w:r w:rsidR="00E73415">
            <w:instrText xml:space="preserve"> CITATION DeG97 \l 2057 </w:instrText>
          </w:r>
          <w:r w:rsidR="00E73415">
            <w:fldChar w:fldCharType="separate"/>
          </w:r>
          <w:r w:rsidR="00003185" w:rsidRPr="00003185">
            <w:rPr>
              <w:noProof/>
            </w:rPr>
            <w:t>(DeGeneste, 1997)</w:t>
          </w:r>
          <w:r w:rsidR="00E73415">
            <w:fldChar w:fldCharType="end"/>
          </w:r>
        </w:sdtContent>
      </w:sdt>
      <w:r w:rsidR="00721A6A">
        <w:t>.</w:t>
      </w:r>
    </w:p>
    <w:p w14:paraId="7EC3B658" w14:textId="4FEB1BAE" w:rsidR="00D6400F" w:rsidRPr="00DF3B7F" w:rsidRDefault="00DF3B7F">
      <w:r>
        <w:t xml:space="preserve">A riot broke out in the city of Brixton in 1981 that was not </w:t>
      </w:r>
      <w:proofErr w:type="gramStart"/>
      <w:r>
        <w:t>a</w:t>
      </w:r>
      <w:proofErr w:type="gramEnd"/>
      <w:r>
        <w:t xml:space="preserve"> organised rebellion in a sense to overthrow the lawful government, more so it was an unpremeditated outburst of frustration and anger, with direct blame at the local police in the context of social, </w:t>
      </w:r>
      <w:proofErr w:type="spellStart"/>
      <w:r w:rsidR="00D6400F">
        <w:t>economical</w:t>
      </w:r>
      <w:proofErr w:type="spellEnd"/>
      <w:r>
        <w:t xml:space="preserve"> and psychological depravation.</w:t>
      </w:r>
      <w:r w:rsidR="00D6400F">
        <w:t xml:space="preserve"> A key contributor to this unprecedented riot was Sus. Sus was the shorthand for the charge of a suspected criminal under section 4 of the Vagrancy Act 1864. It was used mainly to prosecute young males of West Indian origin. For the years of 1977,1978,1979 roughly around three-quarters of those arrested for Sus were black</w:t>
      </w:r>
      <w:r w:rsidR="00E73415">
        <w:t xml:space="preserve"> </w:t>
      </w:r>
      <w:sdt>
        <w:sdtPr>
          <w:id w:val="402258508"/>
          <w:citation/>
        </w:sdtPr>
        <w:sdtContent>
          <w:r w:rsidR="00E73415">
            <w:fldChar w:fldCharType="begin"/>
          </w:r>
          <w:r w:rsidR="00861E22">
            <w:instrText xml:space="preserve">CITATION Geo84 \l 2057 </w:instrText>
          </w:r>
          <w:r w:rsidR="00E73415">
            <w:fldChar w:fldCharType="separate"/>
          </w:r>
          <w:r w:rsidR="00861E22" w:rsidRPr="00861E22">
            <w:rPr>
              <w:noProof/>
            </w:rPr>
            <w:t>(Greaves, 1984)</w:t>
          </w:r>
          <w:r w:rsidR="00E73415">
            <w:fldChar w:fldCharType="end"/>
          </w:r>
        </w:sdtContent>
      </w:sdt>
      <w:r w:rsidR="00D6400F">
        <w:t xml:space="preserve">. </w:t>
      </w:r>
    </w:p>
    <w:p w14:paraId="0EBBBD6E" w14:textId="7C949D4D" w:rsidR="00EE675D" w:rsidRDefault="000A7527">
      <w:r>
        <w:t>The Police and Criminal evidence act 1984 (PACE) was an innovation yet controversial attempt to help regulate the police and how crime is investigated. Nearly four de</w:t>
      </w:r>
      <w:r w:rsidR="003D7007">
        <w:t>c</w:t>
      </w:r>
      <w:r>
        <w:t>a</w:t>
      </w:r>
      <w:r w:rsidR="003D7007">
        <w:t>d</w:t>
      </w:r>
      <w:r>
        <w:t>es on, it now operates in a very different context to when it was first introduced</w:t>
      </w:r>
      <w:r w:rsidR="000E372A">
        <w:t xml:space="preserve"> </w:t>
      </w:r>
      <w:sdt>
        <w:sdtPr>
          <w:id w:val="-1174793381"/>
          <w:citation/>
        </w:sdtPr>
        <w:sdtContent>
          <w:r w:rsidR="000E372A">
            <w:fldChar w:fldCharType="begin"/>
          </w:r>
          <w:r w:rsidR="00861E22">
            <w:instrText xml:space="preserve">CITATION EdC08 \l 2057 </w:instrText>
          </w:r>
          <w:r w:rsidR="000E372A">
            <w:fldChar w:fldCharType="separate"/>
          </w:r>
          <w:r w:rsidR="00861E22" w:rsidRPr="00861E22">
            <w:rPr>
              <w:noProof/>
            </w:rPr>
            <w:t>(Young, 2008)</w:t>
          </w:r>
          <w:r w:rsidR="000E372A">
            <w:fldChar w:fldCharType="end"/>
          </w:r>
        </w:sdtContent>
      </w:sdt>
      <w:r>
        <w:t>.</w:t>
      </w:r>
      <w:r w:rsidR="00EE675D">
        <w:t xml:space="preserve"> The idea of PACE was brought in following recommendations set out by the Royal Commission on Criminal Procedure</w:t>
      </w:r>
      <w:sdt>
        <w:sdtPr>
          <w:id w:val="-1794980544"/>
          <w:citation/>
        </w:sdtPr>
        <w:sdtContent>
          <w:r w:rsidR="00A02F46">
            <w:fldChar w:fldCharType="begin"/>
          </w:r>
          <w:r w:rsidR="00A02F46">
            <w:instrText xml:space="preserve"> CITATION Mia17 \l 2057 </w:instrText>
          </w:r>
          <w:r w:rsidR="00A02F46">
            <w:fldChar w:fldCharType="separate"/>
          </w:r>
          <w:r w:rsidR="00A02F46">
            <w:rPr>
              <w:noProof/>
            </w:rPr>
            <w:t xml:space="preserve"> </w:t>
          </w:r>
          <w:r w:rsidR="00A02F46" w:rsidRPr="00A02F46">
            <w:rPr>
              <w:noProof/>
            </w:rPr>
            <w:t>(Murphy, 2017)</w:t>
          </w:r>
          <w:r w:rsidR="00A02F46">
            <w:fldChar w:fldCharType="end"/>
          </w:r>
        </w:sdtContent>
      </w:sdt>
      <w:r w:rsidR="00327697">
        <w:t xml:space="preserve"> </w:t>
      </w:r>
      <w:r w:rsidR="00EE675D">
        <w:t>.</w:t>
      </w:r>
      <w:r w:rsidR="00A02F46">
        <w:t xml:space="preserve"> </w:t>
      </w:r>
    </w:p>
    <w:p w14:paraId="222314F6" w14:textId="43EBF87F" w:rsidR="00327697" w:rsidRDefault="00327697" w:rsidP="00327697">
      <w:pPr>
        <w:rPr>
          <w:rFonts w:cstheme="minorHAnsi"/>
        </w:rPr>
      </w:pPr>
      <w:r w:rsidRPr="00EE675D">
        <w:rPr>
          <w:rFonts w:cstheme="minorHAnsi"/>
        </w:rPr>
        <w:t>PACE was introduced as a result of growing frustration and public criticism of police conduct when dealing with suspect. This was most notably arising from the mid-1970s</w:t>
      </w:r>
      <w:sdt>
        <w:sdtPr>
          <w:rPr>
            <w:rFonts w:cstheme="minorHAnsi"/>
          </w:rPr>
          <w:id w:val="740679810"/>
          <w:citation/>
        </w:sdtPr>
        <w:sdtContent>
          <w:r w:rsidR="00A02F46">
            <w:rPr>
              <w:rFonts w:cstheme="minorHAnsi"/>
            </w:rPr>
            <w:fldChar w:fldCharType="begin"/>
          </w:r>
          <w:r w:rsidR="00A02F46">
            <w:rPr>
              <w:rFonts w:cstheme="minorHAnsi"/>
            </w:rPr>
            <w:instrText xml:space="preserve"> CITATION Mia17 \l 2057 </w:instrText>
          </w:r>
          <w:r w:rsidR="00A02F46">
            <w:rPr>
              <w:rFonts w:cstheme="minorHAnsi"/>
            </w:rPr>
            <w:fldChar w:fldCharType="separate"/>
          </w:r>
          <w:r w:rsidR="00A02F46">
            <w:rPr>
              <w:rFonts w:cstheme="minorHAnsi"/>
              <w:noProof/>
            </w:rPr>
            <w:t xml:space="preserve"> </w:t>
          </w:r>
          <w:r w:rsidR="00A02F46" w:rsidRPr="00A02F46">
            <w:rPr>
              <w:rFonts w:cstheme="minorHAnsi"/>
              <w:noProof/>
            </w:rPr>
            <w:t>(Murphy, 2017)</w:t>
          </w:r>
          <w:r w:rsidR="00A02F46">
            <w:rPr>
              <w:rFonts w:cstheme="minorHAnsi"/>
            </w:rPr>
            <w:fldChar w:fldCharType="end"/>
          </w:r>
        </w:sdtContent>
      </w:sdt>
      <w:r w:rsidRPr="00EE675D">
        <w:rPr>
          <w:rFonts w:cstheme="minorHAnsi"/>
        </w:rPr>
        <w:t xml:space="preserve">. </w:t>
      </w:r>
    </w:p>
    <w:p w14:paraId="3D488500" w14:textId="77777777" w:rsidR="00327697" w:rsidRDefault="00327697"/>
    <w:p w14:paraId="01449828" w14:textId="47759A3C" w:rsidR="00845036" w:rsidRDefault="00EE675D">
      <w:pPr>
        <w:rPr>
          <w:rFonts w:cstheme="minorHAnsi"/>
        </w:rPr>
      </w:pPr>
      <w:r>
        <w:t>The purpose of PACE was to help unify police powers under one code of practise</w:t>
      </w:r>
      <w:r w:rsidR="00C212B3">
        <w:t>,</w:t>
      </w:r>
      <w:r>
        <w:t xml:space="preserve"> and the help carefully balance the rights of the individual</w:t>
      </w:r>
      <w:r w:rsidR="00C212B3">
        <w:t>,</w:t>
      </w:r>
      <w:r>
        <w:t xml:space="preserve"> against the powers of the police service.</w:t>
      </w:r>
      <w:r w:rsidR="00327697">
        <w:t xml:space="preserve"> Within PACE</w:t>
      </w:r>
      <w:r w:rsidR="00C212B3">
        <w:t>,</w:t>
      </w:r>
      <w:r w:rsidR="00327697">
        <w:t xml:space="preserve"> was serval different rights</w:t>
      </w:r>
      <w:r w:rsidR="00C212B3">
        <w:t>,</w:t>
      </w:r>
      <w:r w:rsidR="00327697">
        <w:t xml:space="preserve"> set out to each suspect, an example of this was ‘PACE code A: Deals with the exercise by police officers of statutory powers to search a person or a vehicle without first making an arrest. It also deals with the need for a police officer</w:t>
      </w:r>
      <w:r w:rsidR="00C212B3">
        <w:t>,</w:t>
      </w:r>
      <w:r w:rsidR="00327697">
        <w:t xml:space="preserve"> to make a record of such a stop or </w:t>
      </w:r>
      <w:r w:rsidR="00327697">
        <w:lastRenderedPageBreak/>
        <w:t xml:space="preserve">encounter </w:t>
      </w:r>
      <w:sdt>
        <w:sdtPr>
          <w:id w:val="1570073650"/>
          <w:citation/>
        </w:sdtPr>
        <w:sdtContent>
          <w:r w:rsidR="00327697">
            <w:fldChar w:fldCharType="begin"/>
          </w:r>
          <w:r w:rsidR="00327697">
            <w:instrText xml:space="preserve"> CITATION Mia17 \l 2057 </w:instrText>
          </w:r>
          <w:r w:rsidR="00327697">
            <w:fldChar w:fldCharType="separate"/>
          </w:r>
          <w:r w:rsidR="00327697" w:rsidRPr="00327697">
            <w:rPr>
              <w:noProof/>
            </w:rPr>
            <w:t>(Murphy, 2017)</w:t>
          </w:r>
          <w:r w:rsidR="00327697">
            <w:fldChar w:fldCharType="end"/>
          </w:r>
        </w:sdtContent>
      </w:sdt>
      <w:r w:rsidR="00327697">
        <w:t>.’</w:t>
      </w:r>
      <w:r w:rsidR="00A02F46">
        <w:t xml:space="preserve"> </w:t>
      </w:r>
      <w:r w:rsidRPr="00EE675D">
        <w:rPr>
          <w:rFonts w:cstheme="minorHAnsi"/>
        </w:rPr>
        <w:t>This information directly shows how multi-</w:t>
      </w:r>
      <w:r w:rsidRPr="00EE675D">
        <w:rPr>
          <w:rFonts w:eastAsia="Times New Roman" w:cstheme="minorHAnsi"/>
          <w:lang w:eastAsia="en-GB"/>
        </w:rPr>
        <w:t>culturalism</w:t>
      </w:r>
      <w:r w:rsidRPr="00EE675D">
        <w:rPr>
          <w:rFonts w:cstheme="minorHAnsi"/>
        </w:rPr>
        <w:t xml:space="preserve"> has affected different policing policies and standards.</w:t>
      </w:r>
    </w:p>
    <w:p w14:paraId="45D95D27" w14:textId="77777777" w:rsidR="00FB37C0" w:rsidRDefault="00FB37C0" w:rsidP="00845036">
      <w:pPr>
        <w:rPr>
          <w:b/>
          <w:bCs/>
        </w:rPr>
      </w:pPr>
    </w:p>
    <w:p w14:paraId="3C8A1E89" w14:textId="57F75088" w:rsidR="00845036" w:rsidRPr="00907C46" w:rsidRDefault="00845036" w:rsidP="00845036">
      <w:pPr>
        <w:rPr>
          <w:rFonts w:cstheme="minorHAnsi"/>
        </w:rPr>
      </w:pPr>
      <w:r w:rsidRPr="00907C46">
        <w:rPr>
          <w:rFonts w:cstheme="minorHAnsi"/>
        </w:rPr>
        <w:t>The policing code of ethics state that you must ‘uphold the law regarding h</w:t>
      </w:r>
      <w:r>
        <w:rPr>
          <w:rFonts w:cstheme="minorHAnsi"/>
        </w:rPr>
        <w:t>uman</w:t>
      </w:r>
      <w:r w:rsidRPr="00907C46">
        <w:rPr>
          <w:rFonts w:cstheme="minorHAnsi"/>
        </w:rPr>
        <w:t xml:space="preserve"> rights and equality, treat all people fairly and with respect and treat people impartially’</w:t>
      </w:r>
      <w:r>
        <w:rPr>
          <w:rFonts w:cstheme="minorHAnsi"/>
        </w:rPr>
        <w:t xml:space="preserve"> </w:t>
      </w:r>
      <w:sdt>
        <w:sdtPr>
          <w:rPr>
            <w:rFonts w:cstheme="minorHAnsi"/>
          </w:rPr>
          <w:id w:val="-1994098208"/>
          <w:citation/>
        </w:sdtPr>
        <w:sdtContent>
          <w:r>
            <w:rPr>
              <w:rFonts w:cstheme="minorHAnsi"/>
            </w:rPr>
            <w:fldChar w:fldCharType="begin"/>
          </w:r>
          <w:r>
            <w:rPr>
              <w:rFonts w:cstheme="minorHAnsi"/>
            </w:rPr>
            <w:instrText xml:space="preserve">CITATION Col14 \l 2057 </w:instrText>
          </w:r>
          <w:r>
            <w:rPr>
              <w:rFonts w:cstheme="minorHAnsi"/>
            </w:rPr>
            <w:fldChar w:fldCharType="separate"/>
          </w:r>
          <w:r w:rsidRPr="00861E22">
            <w:rPr>
              <w:rFonts w:cstheme="minorHAnsi"/>
              <w:noProof/>
            </w:rPr>
            <w:t>(College of Policing, 2014)</w:t>
          </w:r>
          <w:r>
            <w:rPr>
              <w:rFonts w:cstheme="minorHAnsi"/>
            </w:rPr>
            <w:fldChar w:fldCharType="end"/>
          </w:r>
        </w:sdtContent>
      </w:sdt>
      <w:r>
        <w:rPr>
          <w:rFonts w:cstheme="minorHAnsi"/>
        </w:rPr>
        <w:t>.</w:t>
      </w:r>
    </w:p>
    <w:p w14:paraId="19C2413E" w14:textId="77777777" w:rsidR="00845036" w:rsidRDefault="00845036" w:rsidP="00845036">
      <w:pPr>
        <w:rPr>
          <w:rFonts w:cstheme="minorHAnsi"/>
        </w:rPr>
      </w:pPr>
      <w:r w:rsidRPr="00907C46">
        <w:rPr>
          <w:rFonts w:cstheme="minorHAnsi"/>
        </w:rPr>
        <w:t>It also is stated that a police officer must consider the different needs of protected characteristics groupings such as: Race, religion, belief and sexual orientation. To also actively seek or use opportunities to promote equality and diversity</w:t>
      </w:r>
      <w:r>
        <w:rPr>
          <w:rFonts w:cstheme="minorHAnsi"/>
        </w:rPr>
        <w:t xml:space="preserve"> in all aspects of the role of constable </w:t>
      </w:r>
      <w:sdt>
        <w:sdtPr>
          <w:rPr>
            <w:rFonts w:cstheme="minorHAnsi"/>
          </w:rPr>
          <w:id w:val="1980192426"/>
          <w:citation/>
        </w:sdtPr>
        <w:sdtContent>
          <w:r>
            <w:rPr>
              <w:rFonts w:cstheme="minorHAnsi"/>
            </w:rPr>
            <w:fldChar w:fldCharType="begin"/>
          </w:r>
          <w:r>
            <w:rPr>
              <w:rFonts w:cstheme="minorHAnsi"/>
            </w:rPr>
            <w:instrText xml:space="preserve">CITATION Col14 \l 2057 </w:instrText>
          </w:r>
          <w:r>
            <w:rPr>
              <w:rFonts w:cstheme="minorHAnsi"/>
            </w:rPr>
            <w:fldChar w:fldCharType="separate"/>
          </w:r>
          <w:r w:rsidRPr="00861E22">
            <w:rPr>
              <w:rFonts w:cstheme="minorHAnsi"/>
              <w:noProof/>
            </w:rPr>
            <w:t>(College of Policing, 2014)</w:t>
          </w:r>
          <w:r>
            <w:rPr>
              <w:rFonts w:cstheme="minorHAnsi"/>
            </w:rPr>
            <w:fldChar w:fldCharType="end"/>
          </w:r>
        </w:sdtContent>
      </w:sdt>
      <w:r w:rsidRPr="00907C46">
        <w:rPr>
          <w:rFonts w:cstheme="minorHAnsi"/>
        </w:rPr>
        <w:t xml:space="preserve">. </w:t>
      </w:r>
    </w:p>
    <w:p w14:paraId="4C4DA856" w14:textId="77777777" w:rsidR="00845036" w:rsidRPr="00907C46" w:rsidRDefault="00845036" w:rsidP="00845036">
      <w:pPr>
        <w:rPr>
          <w:rFonts w:cstheme="minorHAnsi"/>
        </w:rPr>
      </w:pPr>
      <w:r>
        <w:rPr>
          <w:rFonts w:cstheme="minorHAnsi"/>
        </w:rPr>
        <w:t>This shows how diversity has directly affected the Policing policies and standards, actively seeking inclusion of all backgrounds within the policing world, which is a positive step towards breaking the barrier between the police and the diverse community’s that they serve.</w:t>
      </w:r>
    </w:p>
    <w:p w14:paraId="6DF71579" w14:textId="77777777" w:rsidR="00A02F46" w:rsidRDefault="00A02F46"/>
    <w:p w14:paraId="6FEA64A6" w14:textId="001A9107" w:rsidR="003D7007" w:rsidRDefault="003D7007">
      <w:r>
        <w:t>An argument</w:t>
      </w:r>
      <w:r w:rsidR="00703C49">
        <w:t>,</w:t>
      </w:r>
      <w:r>
        <w:t xml:space="preserve"> which disputes the efforts made by the police service would be that; a</w:t>
      </w:r>
      <w:r w:rsidR="009B467D">
        <w:t xml:space="preserve">fter the events of the </w:t>
      </w:r>
      <w:r w:rsidR="00DF3C99">
        <w:t>Brixton</w:t>
      </w:r>
      <w:r w:rsidR="009B467D">
        <w:t xml:space="preserve"> riots came the</w:t>
      </w:r>
      <w:r w:rsidR="00602AD7">
        <w:t xml:space="preserve"> introduction of PACE and heavy emphasis on diversity and inclusion in legislative context (Code of Ethics and PACE)</w:t>
      </w:r>
      <w:r w:rsidR="009B467D">
        <w:t xml:space="preserve"> however</w:t>
      </w:r>
      <w:r w:rsidR="00602AD7">
        <w:t xml:space="preserve"> there is still a wide ray of issues within young BAME (Black, Asian and minority ethnic) men</w:t>
      </w:r>
      <w:r w:rsidR="00003185">
        <w:t xml:space="preserve"> </w:t>
      </w:r>
      <w:sdt>
        <w:sdtPr>
          <w:id w:val="-406685954"/>
          <w:citation/>
        </w:sdtPr>
        <w:sdtContent>
          <w:r w:rsidR="00003185">
            <w:fldChar w:fldCharType="begin"/>
          </w:r>
          <w:r w:rsidR="00003185">
            <w:instrText xml:space="preserve"> CITATION Pet17 \l 2057 </w:instrText>
          </w:r>
          <w:r w:rsidR="00003185">
            <w:fldChar w:fldCharType="separate"/>
          </w:r>
          <w:r w:rsidR="00003185" w:rsidRPr="00003185">
            <w:rPr>
              <w:noProof/>
            </w:rPr>
            <w:t>(Keeling, 2017)</w:t>
          </w:r>
          <w:r w:rsidR="00003185">
            <w:fldChar w:fldCharType="end"/>
          </w:r>
        </w:sdtContent>
      </w:sdt>
      <w:r>
        <w:t xml:space="preserve">. </w:t>
      </w:r>
    </w:p>
    <w:p w14:paraId="3354CF18" w14:textId="4EBE8E81" w:rsidR="00F65C91" w:rsidRDefault="003D7007">
      <w:r>
        <w:t>Almost 30 years after the Brixton riots, history once again repeated itself</w:t>
      </w:r>
      <w:r w:rsidR="00703C49">
        <w:t>,</w:t>
      </w:r>
      <w:r>
        <w:t xml:space="preserve"> with the London riots of 2011. Many public figures came to support action following the riots. In the five years which followed the number of stop-searched conducted by police fell from 1.2 million to 380,000 without any notifiable impact on the levels of crime. However still prevalent was the issue</w:t>
      </w:r>
      <w:r w:rsidR="00703C49">
        <w:t>,</w:t>
      </w:r>
      <w:r>
        <w:t xml:space="preserve"> that the likelihood of someone black being stopped searched in that period rose in relation to white people. A black person at that time was six times more likely to be searched by police. This argues with the evidence that</w:t>
      </w:r>
      <w:r w:rsidR="00703C49">
        <w:t>,</w:t>
      </w:r>
      <w:r>
        <w:t xml:space="preserve"> although the governed police service had made attempts to bridge the gap between different diverse groups within the communities that they serve, this evidences that there is still an </w:t>
      </w:r>
      <w:r w:rsidR="00703C49">
        <w:t>ongoing</w:t>
      </w:r>
      <w:r>
        <w:t xml:space="preserve"> issue between the police and the diverse communities that they serve</w:t>
      </w:r>
      <w:r w:rsidR="000E372A">
        <w:t xml:space="preserve"> </w:t>
      </w:r>
      <w:sdt>
        <w:sdtPr>
          <w:id w:val="-1551607668"/>
          <w:citation/>
        </w:sdtPr>
        <w:sdtContent>
          <w:r w:rsidR="000E372A">
            <w:fldChar w:fldCharType="begin"/>
          </w:r>
          <w:r w:rsidR="00003185">
            <w:instrText xml:space="preserve">CITATION Pet17 \l 2057 </w:instrText>
          </w:r>
          <w:r w:rsidR="000E372A">
            <w:fldChar w:fldCharType="separate"/>
          </w:r>
          <w:r w:rsidR="00003185" w:rsidRPr="00003185">
            <w:rPr>
              <w:noProof/>
            </w:rPr>
            <w:t>(Keeling, 2017)</w:t>
          </w:r>
          <w:r w:rsidR="000E372A">
            <w:fldChar w:fldCharType="end"/>
          </w:r>
        </w:sdtContent>
      </w:sdt>
      <w:r>
        <w:t>.</w:t>
      </w:r>
    </w:p>
    <w:p w14:paraId="22B75887" w14:textId="1220389F" w:rsidR="00C416B6" w:rsidRDefault="00C416B6">
      <w:r>
        <w:t xml:space="preserve">Throughout the lifetime of policing within England and Wales there have been several significant incidents and expansions. The murder of Stephen Lawrence in 1993 is one of the more significant events which took place that led to the expansion and creation of Neighbourhood Policing and the Community Support Officer Role </w:t>
      </w:r>
      <w:sdt>
        <w:sdtPr>
          <w:id w:val="1823533217"/>
          <w:citation/>
        </w:sdtPr>
        <w:sdtContent>
          <w:r>
            <w:fldChar w:fldCharType="begin"/>
          </w:r>
          <w:r>
            <w:instrText xml:space="preserve"> CITATION Meg15 \l 2057 </w:instrText>
          </w:r>
          <w:r>
            <w:fldChar w:fldCharType="separate"/>
          </w:r>
          <w:r w:rsidRPr="00C416B6">
            <w:rPr>
              <w:noProof/>
            </w:rPr>
            <w:t>(O'Neill, 2015)</w:t>
          </w:r>
          <w:r>
            <w:fldChar w:fldCharType="end"/>
          </w:r>
        </w:sdtContent>
      </w:sdt>
      <w:r>
        <w:t>. The creation of these came of the back of the murder of Stephen Lawrence in 1993, who was murdered in a racially motivated attack while waiting for a bus in Well Hall Road</w:t>
      </w:r>
      <w:r w:rsidR="00C212B3">
        <w:t xml:space="preserve"> </w:t>
      </w:r>
      <w:sdt>
        <w:sdtPr>
          <w:id w:val="-672412586"/>
          <w:citation/>
        </w:sdtPr>
        <w:sdtContent>
          <w:r w:rsidR="00C212B3">
            <w:fldChar w:fldCharType="begin"/>
          </w:r>
          <w:r w:rsidR="00C212B3">
            <w:instrText xml:space="preserve"> CITATION Cri23 \l 2057 </w:instrText>
          </w:r>
          <w:r w:rsidR="00C212B3">
            <w:fldChar w:fldCharType="separate"/>
          </w:r>
          <w:r w:rsidR="00C212B3" w:rsidRPr="00C212B3">
            <w:rPr>
              <w:noProof/>
            </w:rPr>
            <w:t>(Crime and Investigation, 2023)</w:t>
          </w:r>
          <w:r w:rsidR="00C212B3">
            <w:fldChar w:fldCharType="end"/>
          </w:r>
        </w:sdtContent>
      </w:sdt>
      <w:r>
        <w:t xml:space="preserve">. </w:t>
      </w:r>
      <w:r w:rsidR="00C212B3">
        <w:t xml:space="preserve">The aim was to create a division within the police service dedicated to being more in touch with the community, to help better serve diverse communities. </w:t>
      </w:r>
    </w:p>
    <w:p w14:paraId="5337F285" w14:textId="77777777" w:rsidR="00C416B6" w:rsidRPr="00C416B6" w:rsidRDefault="00C416B6"/>
    <w:p w14:paraId="318045F3" w14:textId="3929E4F4" w:rsidR="005020C8" w:rsidRDefault="00482C3A">
      <w:r>
        <w:t>In conclusion</w:t>
      </w:r>
      <w:r w:rsidR="00B65157">
        <w:t>, it is very clear that different cultural norms and values within diverse communities have and continue to have a significant impact on policing, and that multi-culturalism has affected professional policies and standards</w:t>
      </w:r>
      <w:r w:rsidR="00003185">
        <w:t xml:space="preserve"> </w:t>
      </w:r>
      <w:sdt>
        <w:sdtPr>
          <w:id w:val="-339385951"/>
          <w:citation/>
        </w:sdtPr>
        <w:sdtContent>
          <w:r w:rsidR="00003185">
            <w:fldChar w:fldCharType="begin"/>
          </w:r>
          <w:r w:rsidR="00861E22">
            <w:instrText xml:space="preserve">CITATION Col14 \l 2057 </w:instrText>
          </w:r>
          <w:r w:rsidR="00003185">
            <w:fldChar w:fldCharType="separate"/>
          </w:r>
          <w:r w:rsidR="00861E22" w:rsidRPr="00861E22">
            <w:rPr>
              <w:noProof/>
            </w:rPr>
            <w:t>(College of Policing, 2014)</w:t>
          </w:r>
          <w:r w:rsidR="00003185">
            <w:fldChar w:fldCharType="end"/>
          </w:r>
        </w:sdtContent>
      </w:sdt>
      <w:r w:rsidR="00B65157">
        <w:t xml:space="preserve">, as well as general policing practise. The new development of neighbourhood policing </w:t>
      </w:r>
      <w:r w:rsidR="00D727EE">
        <w:t xml:space="preserve">is a </w:t>
      </w:r>
      <w:r w:rsidR="00B65157">
        <w:t>positive step towards addressing the significant challenges and improving relationships between the police and the diverse communities that they serve.</w:t>
      </w:r>
    </w:p>
    <w:p w14:paraId="741BB979" w14:textId="77777777" w:rsidR="001107F8" w:rsidRDefault="00C212B3" w:rsidP="001107F8">
      <w:r>
        <w:t>102</w:t>
      </w:r>
      <w:r w:rsidR="00703C49">
        <w:t>0</w:t>
      </w:r>
      <w:r>
        <w:t xml:space="preserve"> words</w:t>
      </w:r>
    </w:p>
    <w:p w14:paraId="22DB66CF" w14:textId="66A74DA5" w:rsidR="005020C8" w:rsidRPr="001107F8" w:rsidRDefault="001B48A0" w:rsidP="001107F8">
      <w:r w:rsidRPr="00C92831">
        <w:rPr>
          <w:rFonts w:ascii="Arial" w:eastAsia="Times New Roman" w:hAnsi="Arial" w:cs="Arial"/>
          <w:lang w:eastAsia="en-GB"/>
        </w:rPr>
        <w:lastRenderedPageBreak/>
        <w:t>2.</w:t>
      </w:r>
      <w:r w:rsidR="005020C8">
        <w:rPr>
          <w:rFonts w:ascii="Arial" w:eastAsia="Times New Roman" w:hAnsi="Arial" w:cs="Arial"/>
          <w:lang w:eastAsia="en-GB"/>
        </w:rPr>
        <w:t xml:space="preserve">What makes vulnerable young people and adults more at risk of exploitation by criminal gangs? </w:t>
      </w:r>
      <w:r w:rsidR="005020C8">
        <w:rPr>
          <w:rFonts w:ascii="Arial" w:eastAsia="Times New Roman" w:hAnsi="Arial" w:cs="Arial"/>
          <w:u w:val="single"/>
          <w:lang w:eastAsia="en-GB"/>
        </w:rPr>
        <w:t>E</w:t>
      </w:r>
      <w:r w:rsidR="005020C8" w:rsidRPr="00072198">
        <w:rPr>
          <w:rFonts w:ascii="Arial" w:eastAsia="Times New Roman" w:hAnsi="Arial" w:cs="Arial"/>
          <w:u w:val="single"/>
          <w:lang w:eastAsia="en-GB"/>
        </w:rPr>
        <w:t>xamine</w:t>
      </w:r>
      <w:r w:rsidR="005020C8">
        <w:rPr>
          <w:rFonts w:ascii="Arial" w:eastAsia="Times New Roman" w:hAnsi="Arial" w:cs="Arial"/>
          <w:lang w:eastAsia="en-GB"/>
        </w:rPr>
        <w:t xml:space="preserve"> both the psychological and socio-economic characteristics of victims of exploitation.</w:t>
      </w:r>
    </w:p>
    <w:p w14:paraId="5603D6C9" w14:textId="77777777" w:rsidR="005020C8" w:rsidRPr="00351DD5" w:rsidRDefault="005020C8" w:rsidP="007D7997">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Your answer should be based on academic research, but you may make reference to relevant case studies.</w:t>
      </w:r>
    </w:p>
    <w:p w14:paraId="0AAA9009" w14:textId="4C645973" w:rsidR="00851BA4" w:rsidRPr="002C09AE" w:rsidRDefault="00851BA4" w:rsidP="00A87DAD">
      <w:pPr>
        <w:spacing w:after="0" w:line="276" w:lineRule="auto"/>
        <w:ind w:right="531"/>
        <w:rPr>
          <w:rFonts w:eastAsia="Times New Roman" w:cstheme="minorHAnsi"/>
          <w:lang w:eastAsia="en-GB"/>
        </w:rPr>
      </w:pPr>
    </w:p>
    <w:p w14:paraId="10C63AAA" w14:textId="2309741D" w:rsidR="00EB014B" w:rsidRDefault="00851BA4" w:rsidP="002C09AE">
      <w:pPr>
        <w:spacing w:after="0" w:line="276" w:lineRule="auto"/>
        <w:ind w:right="531"/>
        <w:rPr>
          <w:rFonts w:eastAsia="Times New Roman" w:cstheme="minorHAnsi"/>
          <w:lang w:eastAsia="en-GB"/>
        </w:rPr>
      </w:pPr>
      <w:r w:rsidRPr="002C09AE">
        <w:rPr>
          <w:rFonts w:eastAsia="Times New Roman" w:cstheme="minorHAnsi"/>
          <w:lang w:eastAsia="en-GB"/>
        </w:rPr>
        <w:t>Vulnerability</w:t>
      </w:r>
      <w:r w:rsidR="0034022D">
        <w:rPr>
          <w:rFonts w:eastAsia="Times New Roman" w:cstheme="minorHAnsi"/>
          <w:lang w:eastAsia="en-GB"/>
        </w:rPr>
        <w:t xml:space="preserve"> in young people and adults</w:t>
      </w:r>
      <w:r w:rsidRPr="002C09AE">
        <w:rPr>
          <w:rFonts w:eastAsia="Times New Roman" w:cstheme="minorHAnsi"/>
          <w:lang w:eastAsia="en-GB"/>
        </w:rPr>
        <w:t xml:space="preserve"> is often </w:t>
      </w:r>
      <w:r w:rsidR="0034022D">
        <w:rPr>
          <w:rFonts w:eastAsia="Times New Roman" w:cstheme="minorHAnsi"/>
          <w:lang w:eastAsia="en-GB"/>
        </w:rPr>
        <w:t>seen by criminal organisations</w:t>
      </w:r>
      <w:r w:rsidR="002E1B81">
        <w:rPr>
          <w:rFonts w:eastAsia="Times New Roman" w:cstheme="minorHAnsi"/>
          <w:lang w:eastAsia="en-GB"/>
        </w:rPr>
        <w:t>,</w:t>
      </w:r>
      <w:r w:rsidR="0034022D">
        <w:rPr>
          <w:rFonts w:eastAsia="Times New Roman" w:cstheme="minorHAnsi"/>
          <w:lang w:eastAsia="en-GB"/>
        </w:rPr>
        <w:t xml:space="preserve"> as an easy gateway to take over a </w:t>
      </w:r>
      <w:r w:rsidR="001B48A0">
        <w:rPr>
          <w:rFonts w:eastAsia="Times New Roman" w:cstheme="minorHAnsi"/>
          <w:lang w:eastAsia="en-GB"/>
        </w:rPr>
        <w:t>person’s</w:t>
      </w:r>
      <w:r w:rsidR="0034022D">
        <w:rPr>
          <w:rFonts w:eastAsia="Times New Roman" w:cstheme="minorHAnsi"/>
          <w:lang w:eastAsia="en-GB"/>
        </w:rPr>
        <w:t xml:space="preserve"> life and lead them astray, down a path of criminality for the gain and prosper of the criminal organisation.</w:t>
      </w:r>
      <w:r w:rsidR="00EB014B">
        <w:rPr>
          <w:rFonts w:eastAsia="Times New Roman" w:cstheme="minorHAnsi"/>
          <w:lang w:eastAsia="en-GB"/>
        </w:rPr>
        <w:t xml:space="preserve"> Young people and adults are at a higher risk of exploitation due to a combination of socio-economic and psychological factors. The two of these groups are often met with several different challenges</w:t>
      </w:r>
      <w:r w:rsidR="002E1B81">
        <w:rPr>
          <w:rFonts w:eastAsia="Times New Roman" w:cstheme="minorHAnsi"/>
          <w:lang w:eastAsia="en-GB"/>
        </w:rPr>
        <w:t>,</w:t>
      </w:r>
      <w:r w:rsidR="00EB014B">
        <w:rPr>
          <w:rFonts w:eastAsia="Times New Roman" w:cstheme="minorHAnsi"/>
          <w:lang w:eastAsia="en-GB"/>
        </w:rPr>
        <w:t xml:space="preserve"> such as lack of education, low </w:t>
      </w:r>
      <w:r w:rsidR="00790C72">
        <w:rPr>
          <w:rFonts w:eastAsia="Times New Roman" w:cstheme="minorHAnsi"/>
          <w:lang w:eastAsia="en-GB"/>
        </w:rPr>
        <w:t>self-esteem</w:t>
      </w:r>
      <w:r w:rsidR="00EB014B">
        <w:rPr>
          <w:rFonts w:eastAsia="Times New Roman" w:cstheme="minorHAnsi"/>
          <w:lang w:eastAsia="en-GB"/>
        </w:rPr>
        <w:t>, poverty and a lack of social support. This places them into a vulnerable position</w:t>
      </w:r>
      <w:r w:rsidR="002E1B81">
        <w:rPr>
          <w:rFonts w:eastAsia="Times New Roman" w:cstheme="minorHAnsi"/>
          <w:lang w:eastAsia="en-GB"/>
        </w:rPr>
        <w:t>,</w:t>
      </w:r>
      <w:r w:rsidR="00EB014B">
        <w:rPr>
          <w:rFonts w:eastAsia="Times New Roman" w:cstheme="minorHAnsi"/>
          <w:lang w:eastAsia="en-GB"/>
        </w:rPr>
        <w:t xml:space="preserve"> which criminal gangs use to exploit them for person gain. </w:t>
      </w:r>
      <w:r w:rsidR="00EB014B" w:rsidRPr="002C09AE">
        <w:rPr>
          <w:rFonts w:eastAsia="Times New Roman" w:cstheme="minorHAnsi"/>
          <w:lang w:eastAsia="en-GB"/>
        </w:rPr>
        <w:t>In this essay</w:t>
      </w:r>
      <w:r w:rsidR="002E1B81">
        <w:rPr>
          <w:rFonts w:eastAsia="Times New Roman" w:cstheme="minorHAnsi"/>
          <w:lang w:eastAsia="en-GB"/>
        </w:rPr>
        <w:t>,</w:t>
      </w:r>
      <w:r w:rsidR="00EB014B" w:rsidRPr="002C09AE">
        <w:rPr>
          <w:rFonts w:eastAsia="Times New Roman" w:cstheme="minorHAnsi"/>
          <w:lang w:eastAsia="en-GB"/>
        </w:rPr>
        <w:t xml:space="preserve"> I will examine what makes young people and adults more at risk at exploitation by criminal gangs, I will aim to examine both the psychological and socio-economical characte</w:t>
      </w:r>
      <w:r w:rsidR="00EB014B">
        <w:rPr>
          <w:rFonts w:eastAsia="Times New Roman" w:cstheme="minorHAnsi"/>
          <w:lang w:eastAsia="en-GB"/>
        </w:rPr>
        <w:t>ris</w:t>
      </w:r>
      <w:r w:rsidR="00EB014B" w:rsidRPr="002C09AE">
        <w:rPr>
          <w:rFonts w:eastAsia="Times New Roman" w:cstheme="minorHAnsi"/>
          <w:lang w:eastAsia="en-GB"/>
        </w:rPr>
        <w:t>es of the victims of exploitation.</w:t>
      </w:r>
    </w:p>
    <w:p w14:paraId="66A4106E" w14:textId="3F172713" w:rsidR="00612E48" w:rsidRDefault="00612E48" w:rsidP="002C09AE">
      <w:pPr>
        <w:spacing w:after="0" w:line="276" w:lineRule="auto"/>
        <w:ind w:right="531"/>
        <w:rPr>
          <w:rFonts w:eastAsia="Times New Roman" w:cstheme="minorHAnsi"/>
          <w:lang w:eastAsia="en-GB"/>
        </w:rPr>
      </w:pPr>
    </w:p>
    <w:p w14:paraId="7A528CF6" w14:textId="4B0E545A" w:rsidR="00114FDB" w:rsidRPr="00837A9D" w:rsidRDefault="00EB014B" w:rsidP="00114FDB">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Psychologically, young people and adults</w:t>
      </w:r>
      <w:r w:rsidR="00114FDB">
        <w:rPr>
          <w:rFonts w:eastAsia="Times New Roman" w:cstheme="minorHAnsi"/>
          <w:lang w:eastAsia="en-GB"/>
        </w:rPr>
        <w:t>,</w:t>
      </w:r>
      <w:r>
        <w:rPr>
          <w:rFonts w:eastAsia="Times New Roman" w:cstheme="minorHAnsi"/>
          <w:lang w:eastAsia="en-GB"/>
        </w:rPr>
        <w:t xml:space="preserve"> </w:t>
      </w:r>
      <w:r w:rsidR="00114FDB">
        <w:rPr>
          <w:rFonts w:eastAsia="Times New Roman" w:cstheme="minorHAnsi"/>
          <w:lang w:eastAsia="en-GB"/>
        </w:rPr>
        <w:t xml:space="preserve">who have a poor self-worth and a lower self-esteem are often more sustainable to exploitation by criminal organisations. The organisations prey on these vulnerabilities as the victims are often seeking love, a sense of belonging and a feeling of self-worth. These gangs use this to their advantage to help groom, coerce and manipulate their victims. An example of this is, young children and adults who have experienced some form of trauma, neglect or abuse or even witnessed abuse of another, may often feel an emphatic need of a social connection and can be more at risk to the false pretence of acceptance and security given by the criminal organisations. This can then lead the victim down a path of criminality which can have an adverse effect on their self-worth and </w:t>
      </w:r>
      <w:r w:rsidR="001B48A0">
        <w:rPr>
          <w:rFonts w:eastAsia="Times New Roman" w:cstheme="minorHAnsi"/>
          <w:lang w:eastAsia="en-GB"/>
        </w:rPr>
        <w:t>self-esteem</w:t>
      </w:r>
      <w:r w:rsidR="00114FDB">
        <w:rPr>
          <w:rFonts w:eastAsia="Times New Roman" w:cstheme="minorHAnsi"/>
          <w:lang w:eastAsia="en-GB"/>
        </w:rPr>
        <w:t>. This pattern makes it more difficult for the victim to separate from the criminal organisation</w:t>
      </w:r>
      <w:r w:rsidR="002E1B81">
        <w:rPr>
          <w:rFonts w:eastAsia="Times New Roman" w:cstheme="minorHAnsi"/>
          <w:lang w:eastAsia="en-GB"/>
        </w:rPr>
        <w:t xml:space="preserve"> </w:t>
      </w:r>
      <w:sdt>
        <w:sdtPr>
          <w:rPr>
            <w:rFonts w:eastAsia="Times New Roman" w:cstheme="minorHAnsi"/>
            <w:lang w:eastAsia="en-GB"/>
          </w:rPr>
          <w:id w:val="307376461"/>
          <w:citation/>
        </w:sdtPr>
        <w:sdtContent>
          <w:r w:rsidR="002E1B81">
            <w:rPr>
              <w:rFonts w:eastAsia="Times New Roman" w:cstheme="minorHAnsi"/>
              <w:lang w:eastAsia="en-GB"/>
            </w:rPr>
            <w:fldChar w:fldCharType="begin"/>
          </w:r>
          <w:r w:rsidR="002E1B81">
            <w:rPr>
              <w:rFonts w:eastAsia="Times New Roman" w:cstheme="minorHAnsi"/>
              <w:lang w:eastAsia="en-GB"/>
            </w:rPr>
            <w:instrText xml:space="preserve"> CITATION Chi19 \l 2057 </w:instrText>
          </w:r>
          <w:r w:rsidR="002E1B81">
            <w:rPr>
              <w:rFonts w:eastAsia="Times New Roman" w:cstheme="minorHAnsi"/>
              <w:lang w:eastAsia="en-GB"/>
            </w:rPr>
            <w:fldChar w:fldCharType="separate"/>
          </w:r>
          <w:r w:rsidR="002E1B81" w:rsidRPr="002E1B81">
            <w:rPr>
              <w:rFonts w:eastAsia="Times New Roman" w:cstheme="minorHAnsi"/>
              <w:noProof/>
              <w:lang w:eastAsia="en-GB"/>
            </w:rPr>
            <w:t>(Childrens Commissioner, 2019)</w:t>
          </w:r>
          <w:r w:rsidR="002E1B81">
            <w:rPr>
              <w:rFonts w:eastAsia="Times New Roman" w:cstheme="minorHAnsi"/>
              <w:lang w:eastAsia="en-GB"/>
            </w:rPr>
            <w:fldChar w:fldCharType="end"/>
          </w:r>
        </w:sdtContent>
      </w:sdt>
      <w:r w:rsidR="00114FDB">
        <w:rPr>
          <w:rFonts w:eastAsia="Times New Roman" w:cstheme="minorHAnsi"/>
          <w:lang w:eastAsia="en-GB"/>
        </w:rPr>
        <w:t xml:space="preserve">. </w:t>
      </w:r>
    </w:p>
    <w:p w14:paraId="7BA2D4B7" w14:textId="77777777" w:rsidR="0074122C" w:rsidRDefault="0074122C" w:rsidP="002C09AE">
      <w:pPr>
        <w:spacing w:after="0" w:line="276" w:lineRule="auto"/>
        <w:ind w:right="531"/>
        <w:rPr>
          <w:rFonts w:eastAsia="Times New Roman" w:cstheme="minorHAnsi"/>
          <w:lang w:eastAsia="en-GB"/>
        </w:rPr>
      </w:pPr>
    </w:p>
    <w:p w14:paraId="2FB5BAAE" w14:textId="79B7FEF7" w:rsidR="0034022D" w:rsidRDefault="00B312DA" w:rsidP="002C09AE">
      <w:pPr>
        <w:spacing w:after="0" w:line="276" w:lineRule="auto"/>
        <w:ind w:right="531"/>
        <w:rPr>
          <w:rFonts w:eastAsia="Times New Roman" w:cstheme="minorHAnsi"/>
          <w:lang w:eastAsia="en-GB"/>
        </w:rPr>
      </w:pPr>
      <w:r>
        <w:rPr>
          <w:rFonts w:eastAsia="Times New Roman" w:cstheme="minorHAnsi"/>
          <w:lang w:eastAsia="en-GB"/>
        </w:rPr>
        <w:t>In edition to the different psychological factors which place children and adults at risk, socio-economical factors also play a signi</w:t>
      </w:r>
      <w:r w:rsidR="0074122C">
        <w:rPr>
          <w:rFonts w:eastAsia="Times New Roman" w:cstheme="minorHAnsi"/>
          <w:lang w:eastAsia="en-GB"/>
        </w:rPr>
        <w:t>fi</w:t>
      </w:r>
      <w:r>
        <w:rPr>
          <w:rFonts w:eastAsia="Times New Roman" w:cstheme="minorHAnsi"/>
          <w:lang w:eastAsia="en-GB"/>
        </w:rPr>
        <w:t>cant role</w:t>
      </w:r>
      <w:r w:rsidR="002E1B81">
        <w:rPr>
          <w:rFonts w:eastAsia="Times New Roman" w:cstheme="minorHAnsi"/>
          <w:lang w:eastAsia="en-GB"/>
        </w:rPr>
        <w:t>,</w:t>
      </w:r>
      <w:r>
        <w:rPr>
          <w:rFonts w:eastAsia="Times New Roman" w:cstheme="minorHAnsi"/>
          <w:lang w:eastAsia="en-GB"/>
        </w:rPr>
        <w:t xml:space="preserve"> in making young people and adults more at risk of exploitation by criminal organisations. </w:t>
      </w:r>
      <w:r w:rsidR="00836F0A">
        <w:rPr>
          <w:rFonts w:eastAsia="Times New Roman" w:cstheme="minorHAnsi"/>
          <w:lang w:eastAsia="en-GB"/>
        </w:rPr>
        <w:t xml:space="preserve">Young children who </w:t>
      </w:r>
      <w:r w:rsidR="002E1B81">
        <w:rPr>
          <w:rFonts w:eastAsia="Times New Roman" w:cstheme="minorHAnsi"/>
          <w:lang w:eastAsia="en-GB"/>
        </w:rPr>
        <w:t>are</w:t>
      </w:r>
      <w:r w:rsidR="00836F0A">
        <w:rPr>
          <w:rFonts w:eastAsia="Times New Roman" w:cstheme="minorHAnsi"/>
          <w:lang w:eastAsia="en-GB"/>
        </w:rPr>
        <w:t xml:space="preserve"> not in education or have fallen through the gaps in health, care and justice systems</w:t>
      </w:r>
      <w:r w:rsidR="002E1B81">
        <w:rPr>
          <w:rFonts w:eastAsia="Times New Roman" w:cstheme="minorHAnsi"/>
          <w:lang w:eastAsia="en-GB"/>
        </w:rPr>
        <w:t>,</w:t>
      </w:r>
      <w:r w:rsidR="00836F0A">
        <w:rPr>
          <w:rFonts w:eastAsia="Times New Roman" w:cstheme="minorHAnsi"/>
          <w:lang w:eastAsia="en-GB"/>
        </w:rPr>
        <w:t xml:space="preserve"> are signi</w:t>
      </w:r>
      <w:r w:rsidR="001B48A0">
        <w:rPr>
          <w:rFonts w:eastAsia="Times New Roman" w:cstheme="minorHAnsi"/>
          <w:lang w:eastAsia="en-GB"/>
        </w:rPr>
        <w:t>ficantly</w:t>
      </w:r>
      <w:r w:rsidR="00836F0A">
        <w:rPr>
          <w:rFonts w:eastAsia="Times New Roman" w:cstheme="minorHAnsi"/>
          <w:lang w:eastAsia="en-GB"/>
        </w:rPr>
        <w:t xml:space="preserve"> more vulnerable to exploitation to criminal organisations. These organisations target these children, they are groomed by these organisations into a life of abuse and criminality</w:t>
      </w:r>
      <w:r w:rsidR="002E1B81">
        <w:rPr>
          <w:rFonts w:eastAsia="Times New Roman" w:cstheme="minorHAnsi"/>
          <w:lang w:eastAsia="en-GB"/>
        </w:rPr>
        <w:t xml:space="preserve"> </w:t>
      </w:r>
      <w:sdt>
        <w:sdtPr>
          <w:rPr>
            <w:rFonts w:eastAsia="Times New Roman" w:cstheme="minorHAnsi"/>
            <w:lang w:eastAsia="en-GB"/>
          </w:rPr>
          <w:id w:val="-421343773"/>
          <w:citation/>
        </w:sdtPr>
        <w:sdtContent>
          <w:r w:rsidR="002E1B81">
            <w:rPr>
              <w:rFonts w:eastAsia="Times New Roman" w:cstheme="minorHAnsi"/>
              <w:lang w:eastAsia="en-GB"/>
            </w:rPr>
            <w:fldChar w:fldCharType="begin"/>
          </w:r>
          <w:r w:rsidR="002E1B81">
            <w:rPr>
              <w:rFonts w:eastAsia="Times New Roman" w:cstheme="minorHAnsi"/>
              <w:lang w:eastAsia="en-GB"/>
            </w:rPr>
            <w:instrText xml:space="preserve"> CITATION Chi21 \l 2057 </w:instrText>
          </w:r>
          <w:r w:rsidR="002E1B81">
            <w:rPr>
              <w:rFonts w:eastAsia="Times New Roman" w:cstheme="minorHAnsi"/>
              <w:lang w:eastAsia="en-GB"/>
            </w:rPr>
            <w:fldChar w:fldCharType="separate"/>
          </w:r>
          <w:r w:rsidR="002E1B81" w:rsidRPr="002E1B81">
            <w:rPr>
              <w:rFonts w:eastAsia="Times New Roman" w:cstheme="minorHAnsi"/>
              <w:noProof/>
              <w:lang w:eastAsia="en-GB"/>
            </w:rPr>
            <w:t>(Childrens Commisioner, 2021)</w:t>
          </w:r>
          <w:r w:rsidR="002E1B81">
            <w:rPr>
              <w:rFonts w:eastAsia="Times New Roman" w:cstheme="minorHAnsi"/>
              <w:lang w:eastAsia="en-GB"/>
            </w:rPr>
            <w:fldChar w:fldCharType="end"/>
          </w:r>
        </w:sdtContent>
      </w:sdt>
      <w:r w:rsidR="00836F0A">
        <w:rPr>
          <w:rFonts w:eastAsia="Times New Roman" w:cstheme="minorHAnsi"/>
          <w:lang w:eastAsia="en-GB"/>
        </w:rPr>
        <w:t>.</w:t>
      </w:r>
      <w:r w:rsidR="001B48A0">
        <w:rPr>
          <w:rFonts w:eastAsia="Times New Roman" w:cstheme="minorHAnsi"/>
          <w:lang w:eastAsia="en-GB"/>
        </w:rPr>
        <w:t xml:space="preserve"> </w:t>
      </w:r>
    </w:p>
    <w:p w14:paraId="4F51E12F" w14:textId="4C2CD858" w:rsidR="007712BC" w:rsidRDefault="007712BC" w:rsidP="002C09AE">
      <w:pPr>
        <w:spacing w:after="0" w:line="276" w:lineRule="auto"/>
        <w:ind w:right="531"/>
        <w:rPr>
          <w:rFonts w:eastAsia="Times New Roman" w:cstheme="minorHAnsi"/>
          <w:lang w:eastAsia="en-GB"/>
        </w:rPr>
      </w:pPr>
    </w:p>
    <w:p w14:paraId="6F7473B8" w14:textId="0AB197FD" w:rsidR="007712BC" w:rsidRPr="00EB559D" w:rsidRDefault="00766247" w:rsidP="002C09AE">
      <w:pPr>
        <w:spacing w:after="0" w:line="276" w:lineRule="auto"/>
        <w:ind w:right="531"/>
        <w:rPr>
          <w:rFonts w:eastAsia="Times New Roman" w:cstheme="minorHAnsi"/>
          <w:lang w:eastAsia="en-GB"/>
        </w:rPr>
      </w:pPr>
      <w:r w:rsidRPr="00EB559D">
        <w:rPr>
          <w:rFonts w:eastAsia="Times New Roman" w:cstheme="minorHAnsi"/>
          <w:lang w:eastAsia="en-GB"/>
        </w:rPr>
        <w:t>There is a great magnitude of disadvantaged youths that, having dropped out of school, developed criminal records in the decade. And those who received a prison sentence were much less likely to hold jobs than other youths over the entire decade</w:t>
      </w:r>
      <w:r w:rsidR="005E7553">
        <w:rPr>
          <w:rFonts w:eastAsia="Times New Roman" w:cstheme="minorHAnsi"/>
          <w:lang w:eastAsia="en-GB"/>
        </w:rPr>
        <w:t xml:space="preserve"> </w:t>
      </w:r>
      <w:sdt>
        <w:sdtPr>
          <w:rPr>
            <w:rFonts w:eastAsia="Times New Roman" w:cstheme="minorHAnsi"/>
            <w:lang w:eastAsia="en-GB"/>
          </w:rPr>
          <w:id w:val="398333161"/>
          <w:citation/>
        </w:sdtPr>
        <w:sdtContent>
          <w:r w:rsidR="005E7553">
            <w:rPr>
              <w:rFonts w:eastAsia="Times New Roman" w:cstheme="minorHAnsi"/>
              <w:lang w:eastAsia="en-GB"/>
            </w:rPr>
            <w:fldChar w:fldCharType="begin"/>
          </w:r>
          <w:r w:rsidR="005E7553">
            <w:rPr>
              <w:rFonts w:eastAsia="Times New Roman" w:cstheme="minorHAnsi"/>
              <w:lang w:eastAsia="en-GB"/>
            </w:rPr>
            <w:instrText xml:space="preserve"> CITATION Ric91 \l 2057 </w:instrText>
          </w:r>
          <w:r w:rsidR="005E7553">
            <w:rPr>
              <w:rFonts w:eastAsia="Times New Roman" w:cstheme="minorHAnsi"/>
              <w:lang w:eastAsia="en-GB"/>
            </w:rPr>
            <w:fldChar w:fldCharType="separate"/>
          </w:r>
          <w:r w:rsidR="005E7553" w:rsidRPr="005E7553">
            <w:rPr>
              <w:rFonts w:eastAsia="Times New Roman" w:cstheme="minorHAnsi"/>
              <w:noProof/>
              <w:lang w:eastAsia="en-GB"/>
            </w:rPr>
            <w:t>(Freeman, 1991)</w:t>
          </w:r>
          <w:r w:rsidR="005E7553">
            <w:rPr>
              <w:rFonts w:eastAsia="Times New Roman" w:cstheme="minorHAnsi"/>
              <w:lang w:eastAsia="en-GB"/>
            </w:rPr>
            <w:fldChar w:fldCharType="end"/>
          </w:r>
        </w:sdtContent>
      </w:sdt>
      <w:r w:rsidRPr="00EB559D">
        <w:rPr>
          <w:rFonts w:eastAsia="Times New Roman" w:cstheme="minorHAnsi"/>
          <w:lang w:eastAsia="en-GB"/>
        </w:rPr>
        <w:t xml:space="preserve">. </w:t>
      </w:r>
    </w:p>
    <w:p w14:paraId="65C7F555" w14:textId="77777777" w:rsidR="00EB559D" w:rsidRPr="00EB559D" w:rsidRDefault="00EB559D" w:rsidP="002C09AE">
      <w:pPr>
        <w:spacing w:after="0" w:line="276" w:lineRule="auto"/>
        <w:ind w:right="531"/>
        <w:rPr>
          <w:rFonts w:eastAsia="Times New Roman" w:cstheme="minorHAnsi"/>
          <w:lang w:eastAsia="en-GB"/>
        </w:rPr>
      </w:pPr>
    </w:p>
    <w:p w14:paraId="11BA8DF9" w14:textId="36B0430F" w:rsidR="00EB559D" w:rsidRPr="00A87DAD" w:rsidRDefault="00EB559D" w:rsidP="002C09AE">
      <w:pPr>
        <w:spacing w:after="0" w:line="276" w:lineRule="auto"/>
        <w:ind w:right="531"/>
        <w:rPr>
          <w:rFonts w:cstheme="minorHAnsi"/>
        </w:rPr>
      </w:pPr>
      <w:r w:rsidRPr="00EB559D">
        <w:rPr>
          <w:rFonts w:cstheme="minorHAnsi"/>
        </w:rPr>
        <w:t xml:space="preserve">Vulnerabilities to being coerce into this pattern of behaviour can be explained within the set of </w:t>
      </w:r>
      <w:proofErr w:type="gramStart"/>
      <w:r w:rsidRPr="00EB559D">
        <w:rPr>
          <w:rFonts w:cstheme="minorHAnsi"/>
        </w:rPr>
        <w:t>context</w:t>
      </w:r>
      <w:proofErr w:type="gramEnd"/>
      <w:r w:rsidRPr="00EB559D">
        <w:rPr>
          <w:rFonts w:cstheme="minorHAnsi"/>
        </w:rPr>
        <w:t xml:space="preserve"> of the ecological model of child protection, this consists of: the individual, family, community and the cultural risk factors</w:t>
      </w:r>
      <w:r w:rsidR="005E7553">
        <w:rPr>
          <w:rFonts w:cstheme="minorHAnsi"/>
        </w:rPr>
        <w:t xml:space="preserve"> </w:t>
      </w:r>
      <w:sdt>
        <w:sdtPr>
          <w:rPr>
            <w:rFonts w:cstheme="minorHAnsi"/>
          </w:rPr>
          <w:id w:val="1533155211"/>
          <w:citation/>
        </w:sdtPr>
        <w:sdtContent>
          <w:r w:rsidR="005E7553">
            <w:rPr>
              <w:rFonts w:cstheme="minorHAnsi"/>
            </w:rPr>
            <w:fldChar w:fldCharType="begin"/>
          </w:r>
          <w:r w:rsidR="005E7553">
            <w:rPr>
              <w:rFonts w:cstheme="minorHAnsi"/>
            </w:rPr>
            <w:instrText xml:space="preserve">CITATION Hel13 \l 2057 </w:instrText>
          </w:r>
          <w:r w:rsidR="005E7553">
            <w:rPr>
              <w:rFonts w:cstheme="minorHAnsi"/>
            </w:rPr>
            <w:fldChar w:fldCharType="separate"/>
          </w:r>
          <w:r w:rsidR="005E7553" w:rsidRPr="005E7553">
            <w:rPr>
              <w:rFonts w:cstheme="minorHAnsi"/>
              <w:noProof/>
            </w:rPr>
            <w:t>(Whittle, et al., 2013)</w:t>
          </w:r>
          <w:r w:rsidR="005E7553">
            <w:rPr>
              <w:rFonts w:cstheme="minorHAnsi"/>
            </w:rPr>
            <w:fldChar w:fldCharType="end"/>
          </w:r>
        </w:sdtContent>
      </w:sdt>
      <w:r w:rsidRPr="00EB559D">
        <w:rPr>
          <w:rFonts w:cstheme="minorHAnsi"/>
        </w:rPr>
        <w:t xml:space="preserve">. </w:t>
      </w:r>
    </w:p>
    <w:p w14:paraId="1D93540E" w14:textId="77777777" w:rsidR="007712BC" w:rsidRDefault="007712BC" w:rsidP="002C09AE">
      <w:pPr>
        <w:spacing w:after="0" w:line="276" w:lineRule="auto"/>
        <w:ind w:right="531"/>
        <w:rPr>
          <w:rFonts w:eastAsia="Times New Roman" w:cstheme="minorHAnsi"/>
          <w:lang w:eastAsia="en-GB"/>
        </w:rPr>
      </w:pPr>
    </w:p>
    <w:p w14:paraId="7C2E35BF" w14:textId="0F7672CD" w:rsidR="007712BC" w:rsidRDefault="007712BC" w:rsidP="007712BC">
      <w:pPr>
        <w:spacing w:after="0" w:line="276" w:lineRule="auto"/>
        <w:ind w:right="531"/>
        <w:rPr>
          <w:rFonts w:eastAsia="Times New Roman" w:cstheme="minorHAnsi"/>
          <w:lang w:eastAsia="en-GB"/>
        </w:rPr>
      </w:pPr>
      <w:r>
        <w:rPr>
          <w:rFonts w:eastAsia="Times New Roman" w:cstheme="minorHAnsi"/>
          <w:lang w:eastAsia="en-GB"/>
        </w:rPr>
        <w:lastRenderedPageBreak/>
        <w:t>An example of what the criminal organisations are doing to young people</w:t>
      </w:r>
      <w:r w:rsidR="005E7553">
        <w:rPr>
          <w:rFonts w:eastAsia="Times New Roman" w:cstheme="minorHAnsi"/>
          <w:lang w:eastAsia="en-GB"/>
        </w:rPr>
        <w:t>,</w:t>
      </w:r>
      <w:r>
        <w:rPr>
          <w:rFonts w:eastAsia="Times New Roman" w:cstheme="minorHAnsi"/>
          <w:lang w:eastAsia="en-GB"/>
        </w:rPr>
        <w:t xml:space="preserve"> is Child criminal exploitation. This is common in county lines and occurs where an individual or group takes advantage</w:t>
      </w:r>
      <w:r w:rsidR="005E7553">
        <w:rPr>
          <w:rFonts w:eastAsia="Times New Roman" w:cstheme="minorHAnsi"/>
          <w:lang w:eastAsia="en-GB"/>
        </w:rPr>
        <w:t>,</w:t>
      </w:r>
      <w:r>
        <w:rPr>
          <w:rFonts w:eastAsia="Times New Roman" w:cstheme="minorHAnsi"/>
          <w:lang w:eastAsia="en-GB"/>
        </w:rPr>
        <w:t xml:space="preserve"> of an imbalance of power to control, manipulate, coerce or deceive a child or person under the age of 18. Something to note with child criminal exploitation is even if the activity appears to be mutual consent, the victim may have still been criminally exploited</w:t>
      </w:r>
      <w:r w:rsidR="005E7553">
        <w:rPr>
          <w:rFonts w:eastAsia="Times New Roman" w:cstheme="minorHAnsi"/>
          <w:lang w:eastAsia="en-GB"/>
        </w:rPr>
        <w:t xml:space="preserve"> </w:t>
      </w:r>
      <w:sdt>
        <w:sdtPr>
          <w:rPr>
            <w:rFonts w:eastAsia="Times New Roman" w:cstheme="minorHAnsi"/>
            <w:lang w:eastAsia="en-GB"/>
          </w:rPr>
          <w:id w:val="-1434043243"/>
          <w:citation/>
        </w:sdtPr>
        <w:sdtContent>
          <w:r w:rsidR="005E7553">
            <w:rPr>
              <w:rFonts w:eastAsia="Times New Roman" w:cstheme="minorHAnsi"/>
              <w:lang w:eastAsia="en-GB"/>
            </w:rPr>
            <w:fldChar w:fldCharType="begin"/>
          </w:r>
          <w:r w:rsidR="005E7553">
            <w:rPr>
              <w:rFonts w:eastAsia="Times New Roman" w:cstheme="minorHAnsi"/>
              <w:lang w:eastAsia="en-GB"/>
            </w:rPr>
            <w:instrText xml:space="preserve"> CITATION Hom18 \l 2057 </w:instrText>
          </w:r>
          <w:r w:rsidR="005E7553">
            <w:rPr>
              <w:rFonts w:eastAsia="Times New Roman" w:cstheme="minorHAnsi"/>
              <w:lang w:eastAsia="en-GB"/>
            </w:rPr>
            <w:fldChar w:fldCharType="separate"/>
          </w:r>
          <w:r w:rsidR="005E7553" w:rsidRPr="005E7553">
            <w:rPr>
              <w:rFonts w:eastAsia="Times New Roman" w:cstheme="minorHAnsi"/>
              <w:noProof/>
              <w:lang w:eastAsia="en-GB"/>
            </w:rPr>
            <w:t>(Home Office, 2018)</w:t>
          </w:r>
          <w:r w:rsidR="005E7553">
            <w:rPr>
              <w:rFonts w:eastAsia="Times New Roman" w:cstheme="minorHAnsi"/>
              <w:lang w:eastAsia="en-GB"/>
            </w:rPr>
            <w:fldChar w:fldCharType="end"/>
          </w:r>
        </w:sdtContent>
      </w:sdt>
      <w:r>
        <w:rPr>
          <w:rFonts w:eastAsia="Times New Roman" w:cstheme="minorHAnsi"/>
          <w:lang w:eastAsia="en-GB"/>
        </w:rPr>
        <w:t xml:space="preserve">. </w:t>
      </w:r>
    </w:p>
    <w:p w14:paraId="55C3FE8C" w14:textId="5B092543" w:rsidR="0034022D" w:rsidRDefault="0034022D" w:rsidP="00E23022">
      <w:pPr>
        <w:overflowPunct w:val="0"/>
        <w:autoSpaceDE w:val="0"/>
        <w:autoSpaceDN w:val="0"/>
        <w:adjustRightInd w:val="0"/>
        <w:spacing w:after="0" w:line="276" w:lineRule="auto"/>
        <w:ind w:right="531"/>
        <w:textAlignment w:val="baseline"/>
        <w:rPr>
          <w:rFonts w:eastAsia="Times New Roman" w:cstheme="minorHAnsi"/>
          <w:b/>
          <w:bCs/>
          <w:lang w:eastAsia="en-GB"/>
        </w:rPr>
      </w:pPr>
    </w:p>
    <w:p w14:paraId="08E76478" w14:textId="60AB218E" w:rsidR="0034022D" w:rsidRDefault="0034022D" w:rsidP="00E23022">
      <w:pPr>
        <w:overflowPunct w:val="0"/>
        <w:autoSpaceDE w:val="0"/>
        <w:autoSpaceDN w:val="0"/>
        <w:adjustRightInd w:val="0"/>
        <w:spacing w:after="0" w:line="276" w:lineRule="auto"/>
        <w:ind w:right="531"/>
        <w:textAlignment w:val="baseline"/>
        <w:rPr>
          <w:rFonts w:eastAsia="Times New Roman" w:cstheme="minorHAnsi"/>
          <w:b/>
          <w:bCs/>
          <w:lang w:eastAsia="en-GB"/>
        </w:rPr>
      </w:pPr>
      <w:r>
        <w:rPr>
          <w:rFonts w:eastAsia="Times New Roman" w:cstheme="minorHAnsi"/>
          <w:b/>
          <w:bCs/>
          <w:lang w:eastAsia="en-GB"/>
        </w:rPr>
        <w:t>Case study</w:t>
      </w:r>
      <w:r w:rsidR="00612E48">
        <w:rPr>
          <w:rFonts w:eastAsia="Times New Roman" w:cstheme="minorHAnsi"/>
          <w:b/>
          <w:bCs/>
          <w:lang w:eastAsia="en-GB"/>
        </w:rPr>
        <w:t xml:space="preserve"> child </w:t>
      </w:r>
    </w:p>
    <w:p w14:paraId="6ECB8040" w14:textId="265D6013" w:rsidR="00837A9D" w:rsidRDefault="0034022D" w:rsidP="00837A9D">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A case study conducted by Suffolk Police</w:t>
      </w:r>
      <w:r w:rsidR="005E7553">
        <w:rPr>
          <w:rFonts w:eastAsia="Times New Roman" w:cstheme="minorHAnsi"/>
          <w:lang w:eastAsia="en-GB"/>
        </w:rPr>
        <w:t>,</w:t>
      </w:r>
      <w:r>
        <w:rPr>
          <w:rFonts w:eastAsia="Times New Roman" w:cstheme="minorHAnsi"/>
          <w:lang w:eastAsia="en-GB"/>
        </w:rPr>
        <w:t xml:space="preserve"> </w:t>
      </w:r>
      <w:r w:rsidR="00612E48">
        <w:rPr>
          <w:rFonts w:eastAsia="Times New Roman" w:cstheme="minorHAnsi"/>
          <w:lang w:eastAsia="en-GB"/>
        </w:rPr>
        <w:t>referred</w:t>
      </w:r>
      <w:r>
        <w:rPr>
          <w:rFonts w:eastAsia="Times New Roman" w:cstheme="minorHAnsi"/>
          <w:lang w:eastAsia="en-GB"/>
        </w:rPr>
        <w:t xml:space="preserve"> to a </w:t>
      </w:r>
      <w:proofErr w:type="gramStart"/>
      <w:r>
        <w:rPr>
          <w:rFonts w:eastAsia="Times New Roman" w:cstheme="minorHAnsi"/>
          <w:lang w:eastAsia="en-GB"/>
        </w:rPr>
        <w:t>16 year old</w:t>
      </w:r>
      <w:proofErr w:type="gramEnd"/>
      <w:r>
        <w:rPr>
          <w:rFonts w:eastAsia="Times New Roman" w:cstheme="minorHAnsi"/>
          <w:lang w:eastAsia="en-GB"/>
        </w:rPr>
        <w:t xml:space="preserve"> male who had been </w:t>
      </w:r>
      <w:r w:rsidR="00612E48">
        <w:rPr>
          <w:rFonts w:eastAsia="Times New Roman" w:cstheme="minorHAnsi"/>
          <w:lang w:eastAsia="en-GB"/>
        </w:rPr>
        <w:t>reported</w:t>
      </w:r>
      <w:r>
        <w:rPr>
          <w:rFonts w:eastAsia="Times New Roman" w:cstheme="minorHAnsi"/>
          <w:lang w:eastAsia="en-GB"/>
        </w:rPr>
        <w:t xml:space="preserve"> missing from London</w:t>
      </w:r>
      <w:r w:rsidR="003A510A">
        <w:rPr>
          <w:rFonts w:eastAsia="Times New Roman" w:cstheme="minorHAnsi"/>
          <w:lang w:eastAsia="en-GB"/>
        </w:rPr>
        <w:t>,</w:t>
      </w:r>
      <w:r>
        <w:rPr>
          <w:rFonts w:eastAsia="Times New Roman" w:cstheme="minorHAnsi"/>
          <w:lang w:eastAsia="en-GB"/>
        </w:rPr>
        <w:t xml:space="preserve"> and was consider high risk</w:t>
      </w:r>
      <w:r w:rsidR="005E7553">
        <w:rPr>
          <w:rFonts w:eastAsia="Times New Roman" w:cstheme="minorHAnsi"/>
          <w:lang w:eastAsia="en-GB"/>
        </w:rPr>
        <w:t>,</w:t>
      </w:r>
      <w:r>
        <w:rPr>
          <w:rFonts w:eastAsia="Times New Roman" w:cstheme="minorHAnsi"/>
          <w:lang w:eastAsia="en-GB"/>
        </w:rPr>
        <w:t xml:space="preserve"> due to his age and link to </w:t>
      </w:r>
      <w:r w:rsidR="00612E48">
        <w:rPr>
          <w:rFonts w:eastAsia="Times New Roman" w:cstheme="minorHAnsi"/>
          <w:lang w:eastAsia="en-GB"/>
        </w:rPr>
        <w:t>criminal</w:t>
      </w:r>
      <w:r>
        <w:rPr>
          <w:rFonts w:eastAsia="Times New Roman" w:cstheme="minorHAnsi"/>
          <w:lang w:eastAsia="en-GB"/>
        </w:rPr>
        <w:t xml:space="preserve"> organisations. He had recently failed to attend court for his alleged </w:t>
      </w:r>
      <w:r w:rsidR="00612E48">
        <w:rPr>
          <w:rFonts w:eastAsia="Times New Roman" w:cstheme="minorHAnsi"/>
          <w:lang w:eastAsia="en-GB"/>
        </w:rPr>
        <w:t>involvement</w:t>
      </w:r>
      <w:r>
        <w:rPr>
          <w:rFonts w:eastAsia="Times New Roman" w:cstheme="minorHAnsi"/>
          <w:lang w:eastAsia="en-GB"/>
        </w:rPr>
        <w:t xml:space="preserve"> in a potential stabbing. The </w:t>
      </w:r>
      <w:r w:rsidR="003A510A">
        <w:rPr>
          <w:rFonts w:eastAsia="Times New Roman" w:cstheme="minorHAnsi"/>
          <w:lang w:eastAsia="en-GB"/>
        </w:rPr>
        <w:t>16-year-old</w:t>
      </w:r>
      <w:r>
        <w:rPr>
          <w:rFonts w:eastAsia="Times New Roman" w:cstheme="minorHAnsi"/>
          <w:lang w:eastAsia="en-GB"/>
        </w:rPr>
        <w:t xml:space="preserve"> male</w:t>
      </w:r>
      <w:r w:rsidR="003A510A">
        <w:rPr>
          <w:rFonts w:eastAsia="Times New Roman" w:cstheme="minorHAnsi"/>
          <w:lang w:eastAsia="en-GB"/>
        </w:rPr>
        <w:t>,</w:t>
      </w:r>
      <w:r>
        <w:rPr>
          <w:rFonts w:eastAsia="Times New Roman" w:cstheme="minorHAnsi"/>
          <w:lang w:eastAsia="en-GB"/>
        </w:rPr>
        <w:t xml:space="preserve"> was located and found in possession of a 6-inch </w:t>
      </w:r>
      <w:r w:rsidR="00612E48">
        <w:rPr>
          <w:rFonts w:eastAsia="Times New Roman" w:cstheme="minorHAnsi"/>
          <w:lang w:eastAsia="en-GB"/>
        </w:rPr>
        <w:t>kitchen</w:t>
      </w:r>
      <w:r>
        <w:rPr>
          <w:rFonts w:eastAsia="Times New Roman" w:cstheme="minorHAnsi"/>
          <w:lang w:eastAsia="en-GB"/>
        </w:rPr>
        <w:t xml:space="preserve"> </w:t>
      </w:r>
      <w:r w:rsidR="00612E48">
        <w:rPr>
          <w:rFonts w:eastAsia="Times New Roman" w:cstheme="minorHAnsi"/>
          <w:lang w:eastAsia="en-GB"/>
        </w:rPr>
        <w:t>knife</w:t>
      </w:r>
      <w:r>
        <w:rPr>
          <w:rFonts w:eastAsia="Times New Roman" w:cstheme="minorHAnsi"/>
          <w:lang w:eastAsia="en-GB"/>
        </w:rPr>
        <w:t xml:space="preserve"> and 30 wraps of drugs. Whilst the male was in custody he was found to have </w:t>
      </w:r>
      <w:r w:rsidR="00612E48">
        <w:rPr>
          <w:rFonts w:eastAsia="Times New Roman" w:cstheme="minorHAnsi"/>
          <w:lang w:eastAsia="en-GB"/>
        </w:rPr>
        <w:t>severe burns to his body, mainly on his stomach area. The burns were consistent with that caused by boiling liquid. The male refused to disclose how these were caused, but it was heavily suspected that this may have been caused by those responsible for placing him in Ipswich from London to deal in class A drugs</w:t>
      </w:r>
      <w:r w:rsidR="005E7553">
        <w:rPr>
          <w:rFonts w:eastAsia="Times New Roman" w:cstheme="minorHAnsi"/>
          <w:lang w:eastAsia="en-GB"/>
        </w:rPr>
        <w:t xml:space="preserve"> </w:t>
      </w:r>
      <w:sdt>
        <w:sdtPr>
          <w:rPr>
            <w:rFonts w:eastAsia="Times New Roman" w:cstheme="minorHAnsi"/>
            <w:lang w:eastAsia="en-GB"/>
          </w:rPr>
          <w:id w:val="1197047768"/>
          <w:citation/>
        </w:sdtPr>
        <w:sdtContent>
          <w:r w:rsidR="005E7553">
            <w:rPr>
              <w:rFonts w:eastAsia="Times New Roman" w:cstheme="minorHAnsi"/>
              <w:lang w:eastAsia="en-GB"/>
            </w:rPr>
            <w:fldChar w:fldCharType="begin"/>
          </w:r>
          <w:r w:rsidR="005E7553">
            <w:rPr>
              <w:rFonts w:eastAsia="Times New Roman" w:cstheme="minorHAnsi"/>
              <w:lang w:eastAsia="en-GB"/>
            </w:rPr>
            <w:instrText xml:space="preserve"> CITATION Hom18 \l 2057 </w:instrText>
          </w:r>
          <w:r w:rsidR="005E7553">
            <w:rPr>
              <w:rFonts w:eastAsia="Times New Roman" w:cstheme="minorHAnsi"/>
              <w:lang w:eastAsia="en-GB"/>
            </w:rPr>
            <w:fldChar w:fldCharType="separate"/>
          </w:r>
          <w:r w:rsidR="005E7553" w:rsidRPr="005E7553">
            <w:rPr>
              <w:rFonts w:eastAsia="Times New Roman" w:cstheme="minorHAnsi"/>
              <w:noProof/>
              <w:lang w:eastAsia="en-GB"/>
            </w:rPr>
            <w:t>(Home Office, 2018)</w:t>
          </w:r>
          <w:r w:rsidR="005E7553">
            <w:rPr>
              <w:rFonts w:eastAsia="Times New Roman" w:cstheme="minorHAnsi"/>
              <w:lang w:eastAsia="en-GB"/>
            </w:rPr>
            <w:fldChar w:fldCharType="end"/>
          </w:r>
        </w:sdtContent>
      </w:sdt>
      <w:r w:rsidR="001B48A0">
        <w:rPr>
          <w:rFonts w:eastAsia="Times New Roman" w:cstheme="minorHAnsi"/>
          <w:lang w:eastAsia="en-GB"/>
        </w:rPr>
        <w:t>.</w:t>
      </w:r>
      <w:r w:rsidR="001B48A0" w:rsidRPr="001B48A0">
        <w:t xml:space="preserve"> </w:t>
      </w:r>
    </w:p>
    <w:p w14:paraId="1AB7AA97" w14:textId="77777777" w:rsidR="00C07469" w:rsidRDefault="00C07469" w:rsidP="00837A9D">
      <w:pPr>
        <w:overflowPunct w:val="0"/>
        <w:autoSpaceDE w:val="0"/>
        <w:autoSpaceDN w:val="0"/>
        <w:adjustRightInd w:val="0"/>
        <w:spacing w:after="0" w:line="276" w:lineRule="auto"/>
        <w:ind w:right="531"/>
        <w:textAlignment w:val="baseline"/>
        <w:rPr>
          <w:rFonts w:eastAsia="Times New Roman" w:cstheme="minorHAnsi"/>
          <w:lang w:eastAsia="en-GB"/>
        </w:rPr>
      </w:pPr>
    </w:p>
    <w:p w14:paraId="2F465D3C" w14:textId="2CBAA66D" w:rsidR="001B48A0" w:rsidRDefault="00C07469" w:rsidP="00837A9D">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A separate case study</w:t>
      </w:r>
      <w:r w:rsidR="005E7553">
        <w:rPr>
          <w:rFonts w:eastAsia="Times New Roman" w:cstheme="minorHAnsi"/>
          <w:lang w:eastAsia="en-GB"/>
        </w:rPr>
        <w:t>,</w:t>
      </w:r>
      <w:r>
        <w:rPr>
          <w:rFonts w:eastAsia="Times New Roman" w:cstheme="minorHAnsi"/>
          <w:lang w:eastAsia="en-GB"/>
        </w:rPr>
        <w:t xml:space="preserve"> conducted by Eastern Region Special Operations Unit found that a county lines organisation </w:t>
      </w:r>
      <w:proofErr w:type="gramStart"/>
      <w:r>
        <w:rPr>
          <w:rFonts w:eastAsia="Times New Roman" w:cstheme="minorHAnsi"/>
          <w:lang w:eastAsia="en-GB"/>
        </w:rPr>
        <w:t>were</w:t>
      </w:r>
      <w:proofErr w:type="gramEnd"/>
      <w:r>
        <w:rPr>
          <w:rFonts w:eastAsia="Times New Roman" w:cstheme="minorHAnsi"/>
          <w:lang w:eastAsia="en-GB"/>
        </w:rPr>
        <w:t xml:space="preserve"> consuming and selling drugs from within a property. The homeowner</w:t>
      </w:r>
      <w:r w:rsidR="005E7553">
        <w:rPr>
          <w:rFonts w:eastAsia="Times New Roman" w:cstheme="minorHAnsi"/>
          <w:lang w:eastAsia="en-GB"/>
        </w:rPr>
        <w:t>,</w:t>
      </w:r>
      <w:r>
        <w:rPr>
          <w:rFonts w:eastAsia="Times New Roman" w:cstheme="minorHAnsi"/>
          <w:lang w:eastAsia="en-GB"/>
        </w:rPr>
        <w:t xml:space="preserve"> was a </w:t>
      </w:r>
      <w:r w:rsidR="005E7553">
        <w:rPr>
          <w:rFonts w:eastAsia="Times New Roman" w:cstheme="minorHAnsi"/>
          <w:lang w:eastAsia="en-GB"/>
        </w:rPr>
        <w:t>high-risk</w:t>
      </w:r>
      <w:r>
        <w:rPr>
          <w:rFonts w:eastAsia="Times New Roman" w:cstheme="minorHAnsi"/>
          <w:lang w:eastAsia="en-GB"/>
        </w:rPr>
        <w:t xml:space="preserve"> adult. The organisation prevented the homeowner from leaving the address or going to the toilet areas in an attempt to prevent him from asking someone for help. The organisation was suspected to target this adult due to him having a learning disability mixed with mental health and substance abuse issues</w:t>
      </w:r>
      <w:r w:rsidR="005E7553">
        <w:rPr>
          <w:rFonts w:eastAsia="Times New Roman" w:cstheme="minorHAnsi"/>
          <w:lang w:eastAsia="en-GB"/>
        </w:rPr>
        <w:t xml:space="preserve"> </w:t>
      </w:r>
      <w:sdt>
        <w:sdtPr>
          <w:rPr>
            <w:rFonts w:eastAsia="Times New Roman" w:cstheme="minorHAnsi"/>
            <w:lang w:eastAsia="en-GB"/>
          </w:rPr>
          <w:id w:val="-1077588987"/>
          <w:citation/>
        </w:sdtPr>
        <w:sdtContent>
          <w:r w:rsidR="005E7553">
            <w:rPr>
              <w:rFonts w:eastAsia="Times New Roman" w:cstheme="minorHAnsi"/>
              <w:lang w:eastAsia="en-GB"/>
            </w:rPr>
            <w:fldChar w:fldCharType="begin"/>
          </w:r>
          <w:r w:rsidR="005E7553">
            <w:rPr>
              <w:rFonts w:eastAsia="Times New Roman" w:cstheme="minorHAnsi"/>
              <w:lang w:eastAsia="en-GB"/>
            </w:rPr>
            <w:instrText xml:space="preserve"> CITATION Hom18 \l 2057 </w:instrText>
          </w:r>
          <w:r w:rsidR="005E7553">
            <w:rPr>
              <w:rFonts w:eastAsia="Times New Roman" w:cstheme="minorHAnsi"/>
              <w:lang w:eastAsia="en-GB"/>
            </w:rPr>
            <w:fldChar w:fldCharType="separate"/>
          </w:r>
          <w:r w:rsidR="005E7553" w:rsidRPr="005E7553">
            <w:rPr>
              <w:rFonts w:eastAsia="Times New Roman" w:cstheme="minorHAnsi"/>
              <w:noProof/>
              <w:lang w:eastAsia="en-GB"/>
            </w:rPr>
            <w:t>(Home Office, 2018)</w:t>
          </w:r>
          <w:r w:rsidR="005E7553">
            <w:rPr>
              <w:rFonts w:eastAsia="Times New Roman" w:cstheme="minorHAnsi"/>
              <w:lang w:eastAsia="en-GB"/>
            </w:rPr>
            <w:fldChar w:fldCharType="end"/>
          </w:r>
        </w:sdtContent>
      </w:sdt>
      <w:r>
        <w:rPr>
          <w:rFonts w:eastAsia="Times New Roman" w:cstheme="minorHAnsi"/>
          <w:lang w:eastAsia="en-GB"/>
        </w:rPr>
        <w:t xml:space="preserve">. </w:t>
      </w:r>
    </w:p>
    <w:p w14:paraId="1D73F42F" w14:textId="77777777" w:rsidR="00C07469" w:rsidRDefault="00C07469" w:rsidP="00837A9D">
      <w:pPr>
        <w:overflowPunct w:val="0"/>
        <w:autoSpaceDE w:val="0"/>
        <w:autoSpaceDN w:val="0"/>
        <w:adjustRightInd w:val="0"/>
        <w:spacing w:after="0" w:line="276" w:lineRule="auto"/>
        <w:ind w:right="531"/>
        <w:textAlignment w:val="baseline"/>
        <w:rPr>
          <w:rFonts w:eastAsia="Times New Roman" w:cstheme="minorHAnsi"/>
          <w:lang w:eastAsia="en-GB"/>
        </w:rPr>
      </w:pPr>
    </w:p>
    <w:p w14:paraId="6E3CD55C" w14:textId="67F35777" w:rsidR="00837A9D" w:rsidRPr="0034022D" w:rsidRDefault="00837A9D" w:rsidP="00837A9D">
      <w:pPr>
        <w:overflowPunct w:val="0"/>
        <w:autoSpaceDE w:val="0"/>
        <w:autoSpaceDN w:val="0"/>
        <w:adjustRightInd w:val="0"/>
        <w:spacing w:after="0" w:line="276" w:lineRule="auto"/>
        <w:ind w:right="531"/>
        <w:textAlignment w:val="baseline"/>
        <w:rPr>
          <w:rFonts w:eastAsia="Times New Roman" w:cstheme="minorHAnsi"/>
          <w:lang w:eastAsia="en-GB"/>
        </w:rPr>
      </w:pPr>
      <w:r>
        <w:rPr>
          <w:rFonts w:eastAsia="Times New Roman" w:cstheme="minorHAnsi"/>
          <w:lang w:eastAsia="en-GB"/>
        </w:rPr>
        <w:t>Case studies provide more evidence of the impact of socio-</w:t>
      </w:r>
      <w:r w:rsidR="00FF3649">
        <w:rPr>
          <w:rFonts w:eastAsia="Times New Roman" w:cstheme="minorHAnsi"/>
          <w:lang w:eastAsia="en-GB"/>
        </w:rPr>
        <w:t>economical</w:t>
      </w:r>
      <w:r>
        <w:rPr>
          <w:rFonts w:eastAsia="Times New Roman" w:cstheme="minorHAnsi"/>
          <w:lang w:eastAsia="en-GB"/>
        </w:rPr>
        <w:t xml:space="preserve"> </w:t>
      </w:r>
      <w:r w:rsidR="00114FDB">
        <w:rPr>
          <w:rFonts w:eastAsia="Times New Roman" w:cstheme="minorHAnsi"/>
          <w:lang w:eastAsia="en-GB"/>
        </w:rPr>
        <w:t>and psychological</w:t>
      </w:r>
      <w:r>
        <w:rPr>
          <w:rFonts w:eastAsia="Times New Roman" w:cstheme="minorHAnsi"/>
          <w:lang w:eastAsia="en-GB"/>
        </w:rPr>
        <w:t xml:space="preserve"> factors of vulnerable person within our society. A case study conducted by the home office </w:t>
      </w:r>
      <w:r w:rsidR="00114FDB">
        <w:rPr>
          <w:rFonts w:eastAsia="Times New Roman" w:cstheme="minorHAnsi"/>
          <w:lang w:eastAsia="en-GB"/>
        </w:rPr>
        <w:t xml:space="preserve">found that young people who come from </w:t>
      </w:r>
      <w:r w:rsidR="001B48A0">
        <w:rPr>
          <w:rFonts w:eastAsia="Times New Roman" w:cstheme="minorHAnsi"/>
          <w:lang w:eastAsia="en-GB"/>
        </w:rPr>
        <w:t>disadvantaged</w:t>
      </w:r>
      <w:r w:rsidR="00114FDB">
        <w:rPr>
          <w:rFonts w:eastAsia="Times New Roman" w:cstheme="minorHAnsi"/>
          <w:lang w:eastAsia="en-GB"/>
        </w:rPr>
        <w:t xml:space="preserve"> lives, who had in their lifetime experience some form of </w:t>
      </w:r>
      <w:r w:rsidR="001B48A0">
        <w:rPr>
          <w:rFonts w:eastAsia="Times New Roman" w:cstheme="minorHAnsi"/>
          <w:lang w:eastAsia="en-GB"/>
        </w:rPr>
        <w:t>neglect, abuse or trauma, were majorly more vulnerable and likewise increasingly exploited by criminal organisations</w:t>
      </w:r>
      <w:r w:rsidR="005E7553">
        <w:rPr>
          <w:rFonts w:eastAsia="Times New Roman" w:cstheme="minorHAnsi"/>
          <w:lang w:eastAsia="en-GB"/>
        </w:rPr>
        <w:t xml:space="preserve"> </w:t>
      </w:r>
      <w:sdt>
        <w:sdtPr>
          <w:rPr>
            <w:rFonts w:eastAsia="Times New Roman" w:cstheme="minorHAnsi"/>
            <w:lang w:eastAsia="en-GB"/>
          </w:rPr>
          <w:id w:val="-1404910625"/>
          <w:citation/>
        </w:sdtPr>
        <w:sdtContent>
          <w:r w:rsidR="005E7553">
            <w:rPr>
              <w:rFonts w:eastAsia="Times New Roman" w:cstheme="minorHAnsi"/>
              <w:lang w:eastAsia="en-GB"/>
            </w:rPr>
            <w:fldChar w:fldCharType="begin"/>
          </w:r>
          <w:r w:rsidR="005E7553">
            <w:rPr>
              <w:rFonts w:eastAsia="Times New Roman" w:cstheme="minorHAnsi"/>
              <w:lang w:eastAsia="en-GB"/>
            </w:rPr>
            <w:instrText xml:space="preserve"> CITATION Chi191 \l 2057 </w:instrText>
          </w:r>
          <w:r w:rsidR="005E7553">
            <w:rPr>
              <w:rFonts w:eastAsia="Times New Roman" w:cstheme="minorHAnsi"/>
              <w:lang w:eastAsia="en-GB"/>
            </w:rPr>
            <w:fldChar w:fldCharType="separate"/>
          </w:r>
          <w:r w:rsidR="005E7553" w:rsidRPr="005E7553">
            <w:rPr>
              <w:rFonts w:eastAsia="Times New Roman" w:cstheme="minorHAnsi"/>
              <w:noProof/>
              <w:lang w:eastAsia="en-GB"/>
            </w:rPr>
            <w:t>(Childrens Commissioner, 2019)</w:t>
          </w:r>
          <w:r w:rsidR="005E7553">
            <w:rPr>
              <w:rFonts w:eastAsia="Times New Roman" w:cstheme="minorHAnsi"/>
              <w:lang w:eastAsia="en-GB"/>
            </w:rPr>
            <w:fldChar w:fldCharType="end"/>
          </w:r>
        </w:sdtContent>
      </w:sdt>
      <w:r w:rsidR="001B48A0">
        <w:rPr>
          <w:rFonts w:eastAsia="Times New Roman" w:cstheme="minorHAnsi"/>
          <w:lang w:eastAsia="en-GB"/>
        </w:rPr>
        <w:t xml:space="preserve">. </w:t>
      </w:r>
    </w:p>
    <w:p w14:paraId="0DC24781" w14:textId="713DDECD" w:rsidR="00790C72" w:rsidRDefault="00790C72" w:rsidP="00E23022">
      <w:pPr>
        <w:overflowPunct w:val="0"/>
        <w:autoSpaceDE w:val="0"/>
        <w:autoSpaceDN w:val="0"/>
        <w:adjustRightInd w:val="0"/>
        <w:spacing w:after="0" w:line="276" w:lineRule="auto"/>
        <w:ind w:right="531"/>
        <w:textAlignment w:val="baseline"/>
        <w:rPr>
          <w:rFonts w:ascii="Arial" w:eastAsia="Times New Roman" w:hAnsi="Arial" w:cs="Arial"/>
          <w:b/>
          <w:bCs/>
          <w:lang w:eastAsia="en-GB"/>
        </w:rPr>
      </w:pPr>
    </w:p>
    <w:p w14:paraId="1C2BF9F6" w14:textId="4508630E" w:rsidR="00E23022" w:rsidRPr="0006621D" w:rsidRDefault="00790C72" w:rsidP="0006621D">
      <w:pPr>
        <w:overflowPunct w:val="0"/>
        <w:autoSpaceDE w:val="0"/>
        <w:autoSpaceDN w:val="0"/>
        <w:adjustRightInd w:val="0"/>
        <w:spacing w:after="0" w:line="276" w:lineRule="auto"/>
        <w:ind w:right="531"/>
        <w:textAlignment w:val="baseline"/>
        <w:rPr>
          <w:rFonts w:eastAsia="Times New Roman" w:cstheme="minorHAnsi"/>
          <w:lang w:eastAsia="en-GB"/>
        </w:rPr>
      </w:pPr>
      <w:r w:rsidRPr="00837A9D">
        <w:rPr>
          <w:rFonts w:eastAsia="Times New Roman" w:cstheme="minorHAnsi"/>
          <w:lang w:eastAsia="en-GB"/>
        </w:rPr>
        <w:t xml:space="preserve">In conclusion, vulnerable adults and young people are at a significantly higher risk of exploitation by criminal organisations and gangs. This is due to a combination of socio-economical and psychological factors. The individuals that are exploited often have a poor sense of </w:t>
      </w:r>
      <w:r w:rsidR="00837A9D" w:rsidRPr="00837A9D">
        <w:rPr>
          <w:rFonts w:eastAsia="Times New Roman" w:cstheme="minorHAnsi"/>
          <w:lang w:eastAsia="en-GB"/>
        </w:rPr>
        <w:t>self-worth</w:t>
      </w:r>
      <w:r w:rsidRPr="00837A9D">
        <w:rPr>
          <w:rFonts w:eastAsia="Times New Roman" w:cstheme="minorHAnsi"/>
          <w:lang w:eastAsia="en-GB"/>
        </w:rPr>
        <w:t xml:space="preserve"> and low self-esteem, this makes them crave a sense of acceptance, and a sense of belonging. They are often also faced with a combination of challenges such as, lack of education, poverty, lack of employment opportunities and lack of education. This then makes them more sustainable to the demands and promises of power and wealth used by criminal gangs. These issues are systematic flaws within our society and need to be addressed to better protect our most vulnerable in society from being lead astray down a path of criminality by our criminal gangs and organisat</w:t>
      </w:r>
      <w:r w:rsidR="0006621D">
        <w:rPr>
          <w:rFonts w:eastAsia="Times New Roman" w:cstheme="minorHAnsi"/>
          <w:lang w:eastAsia="en-GB"/>
        </w:rPr>
        <w:t>ion.</w:t>
      </w:r>
    </w:p>
    <w:p w14:paraId="360F0871" w14:textId="79C39C95" w:rsidR="00E23022" w:rsidRDefault="00E23022" w:rsidP="005020C8">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605AEF8C" w14:textId="0585B3B3" w:rsidR="00E23022" w:rsidRDefault="00E85E06" w:rsidP="00E85E0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9</w:t>
      </w:r>
      <w:r w:rsidR="00A87DAD">
        <w:rPr>
          <w:rFonts w:ascii="Arial" w:eastAsia="Times New Roman" w:hAnsi="Arial" w:cs="Arial"/>
          <w:lang w:eastAsia="en-GB"/>
        </w:rPr>
        <w:t>66</w:t>
      </w:r>
      <w:r>
        <w:rPr>
          <w:rFonts w:ascii="Arial" w:eastAsia="Times New Roman" w:hAnsi="Arial" w:cs="Arial"/>
          <w:lang w:eastAsia="en-GB"/>
        </w:rPr>
        <w:t xml:space="preserve"> </w:t>
      </w:r>
      <w:r w:rsidR="00A87DAD">
        <w:rPr>
          <w:rFonts w:ascii="Arial" w:eastAsia="Times New Roman" w:hAnsi="Arial" w:cs="Arial"/>
          <w:lang w:eastAsia="en-GB"/>
        </w:rPr>
        <w:t>w</w:t>
      </w:r>
      <w:r>
        <w:rPr>
          <w:rFonts w:ascii="Arial" w:eastAsia="Times New Roman" w:hAnsi="Arial" w:cs="Arial"/>
          <w:lang w:eastAsia="en-GB"/>
        </w:rPr>
        <w:t>ords</w:t>
      </w:r>
    </w:p>
    <w:p w14:paraId="1757C8FA" w14:textId="1DC5E1BC" w:rsidR="00E23022" w:rsidRDefault="00E23022" w:rsidP="005020C8">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14:paraId="7E7361EC" w14:textId="77777777" w:rsidR="005373E6" w:rsidRPr="006C3C20" w:rsidRDefault="005373E6" w:rsidP="005373E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38DFD45" w14:textId="77777777" w:rsidR="005020C8" w:rsidRPr="006C3C20" w:rsidRDefault="005020C8" w:rsidP="005020C8">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lastRenderedPageBreak/>
        <w:t xml:space="preserve">Essay three: </w:t>
      </w:r>
    </w:p>
    <w:p w14:paraId="093A200E" w14:textId="77777777" w:rsidR="005020C8" w:rsidRDefault="005020C8" w:rsidP="005020C8">
      <w:pPr>
        <w:spacing w:after="0" w:line="276" w:lineRule="auto"/>
        <w:ind w:left="567" w:right="531"/>
        <w:rPr>
          <w:rFonts w:ascii="Arial" w:eastAsia="Times New Roman" w:hAnsi="Arial" w:cs="Arial"/>
          <w:lang w:eastAsia="en-GB"/>
        </w:rPr>
      </w:pPr>
      <w:r w:rsidRPr="00730A53">
        <w:rPr>
          <w:rFonts w:ascii="Arial" w:eastAsia="Times New Roman" w:hAnsi="Arial" w:cs="Arial"/>
          <w:u w:val="single"/>
          <w:lang w:eastAsia="en-GB"/>
        </w:rPr>
        <w:t>How effective</w:t>
      </w:r>
      <w:r>
        <w:rPr>
          <w:rFonts w:ascii="Arial" w:eastAsia="Times New Roman" w:hAnsi="Arial" w:cs="Arial"/>
          <w:lang w:eastAsia="en-GB"/>
        </w:rPr>
        <w:t xml:space="preserve"> is MAPPA as a means of managing offenders?</w:t>
      </w:r>
    </w:p>
    <w:p w14:paraId="15EC605A" w14:textId="77777777" w:rsidR="005020C8" w:rsidRPr="00E84AE1" w:rsidRDefault="005020C8" w:rsidP="005020C8">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sidRPr="006C3C20">
        <w:rPr>
          <w:rFonts w:ascii="Arial" w:eastAsia="Times New Roman" w:hAnsi="Arial" w:cs="Arial"/>
          <w:lang w:eastAsia="en-GB"/>
        </w:rPr>
        <w:t>Rather than relying on personal experience, support your answer with relevant evidence drawn from academic sources.</w:t>
      </w:r>
    </w:p>
    <w:p w14:paraId="28391711" w14:textId="77777777" w:rsidR="005020C8" w:rsidRPr="006C3C20" w:rsidRDefault="005020C8" w:rsidP="005020C8">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3136ADC2" w14:textId="77777777" w:rsidR="005020C8" w:rsidRPr="006C3C20" w:rsidRDefault="005020C8" w:rsidP="005020C8">
      <w:pPr>
        <w:spacing w:after="0" w:line="276" w:lineRule="auto"/>
        <w:ind w:left="567" w:right="531"/>
        <w:rPr>
          <w:rFonts w:ascii="Arial" w:eastAsia="Times New Roman" w:hAnsi="Arial" w:cs="Arial"/>
          <w:lang w:eastAsia="en-GB"/>
        </w:rPr>
      </w:pPr>
    </w:p>
    <w:p w14:paraId="19B4C95D" w14:textId="0A790964" w:rsidR="005020C8" w:rsidRDefault="00BE1F93" w:rsidP="00BE1F93">
      <w:pPr>
        <w:spacing w:after="0" w:line="276" w:lineRule="auto"/>
        <w:ind w:right="531"/>
        <w:rPr>
          <w:rFonts w:eastAsia="Times New Roman" w:cstheme="minorHAnsi"/>
          <w:lang w:eastAsia="en-GB"/>
        </w:rPr>
      </w:pPr>
      <w:r w:rsidRPr="00C92831">
        <w:rPr>
          <w:rFonts w:eastAsia="Times New Roman" w:cstheme="minorHAnsi"/>
          <w:lang w:eastAsia="en-GB"/>
        </w:rPr>
        <w:t>The Multi-Agency Public Protection Arrangements (MAPPA)</w:t>
      </w:r>
      <w:r w:rsidR="004A480F">
        <w:rPr>
          <w:rFonts w:eastAsia="Times New Roman" w:cstheme="minorHAnsi"/>
          <w:lang w:eastAsia="en-GB"/>
        </w:rPr>
        <w:t>,</w:t>
      </w:r>
      <w:r w:rsidRPr="00C92831">
        <w:rPr>
          <w:rFonts w:eastAsia="Times New Roman" w:cstheme="minorHAnsi"/>
          <w:lang w:eastAsia="en-GB"/>
        </w:rPr>
        <w:t xml:space="preserve"> is a framework that strives to help manage high-risk offenders in Wales and England. This is done by bringing together different agencies such as, prisons, police and probation to look at offenders from a strategic view to assess</w:t>
      </w:r>
      <w:r w:rsidR="004A480F">
        <w:rPr>
          <w:rFonts w:eastAsia="Times New Roman" w:cstheme="minorHAnsi"/>
          <w:lang w:eastAsia="en-GB"/>
        </w:rPr>
        <w:t>,</w:t>
      </w:r>
      <w:r w:rsidRPr="00C92831">
        <w:rPr>
          <w:rFonts w:eastAsia="Times New Roman" w:cstheme="minorHAnsi"/>
          <w:lang w:eastAsia="en-GB"/>
        </w:rPr>
        <w:t xml:space="preserve"> and manage the risk that </w:t>
      </w:r>
      <w:r w:rsidR="00C92831" w:rsidRPr="00C92831">
        <w:rPr>
          <w:rFonts w:eastAsia="Times New Roman" w:cstheme="minorHAnsi"/>
          <w:lang w:eastAsia="en-GB"/>
        </w:rPr>
        <w:t>these high-risk offenders</w:t>
      </w:r>
      <w:r w:rsidRPr="00C92831">
        <w:rPr>
          <w:rFonts w:eastAsia="Times New Roman" w:cstheme="minorHAnsi"/>
          <w:lang w:eastAsia="en-GB"/>
        </w:rPr>
        <w:t xml:space="preserve"> pose to members of the public. In this essay</w:t>
      </w:r>
      <w:r w:rsidR="004A480F">
        <w:rPr>
          <w:rFonts w:eastAsia="Times New Roman" w:cstheme="minorHAnsi"/>
          <w:lang w:eastAsia="en-GB"/>
        </w:rPr>
        <w:t>,</w:t>
      </w:r>
      <w:r w:rsidRPr="00C92831">
        <w:rPr>
          <w:rFonts w:eastAsia="Times New Roman" w:cstheme="minorHAnsi"/>
          <w:lang w:eastAsia="en-GB"/>
        </w:rPr>
        <w:t xml:space="preserve"> I </w:t>
      </w:r>
      <w:r w:rsidR="00C92831">
        <w:rPr>
          <w:rFonts w:eastAsia="Times New Roman" w:cstheme="minorHAnsi"/>
          <w:lang w:eastAsia="en-GB"/>
        </w:rPr>
        <w:t>am going to talk about MAPPA</w:t>
      </w:r>
      <w:r w:rsidR="004A480F">
        <w:rPr>
          <w:rFonts w:eastAsia="Times New Roman" w:cstheme="minorHAnsi"/>
          <w:lang w:eastAsia="en-GB"/>
        </w:rPr>
        <w:t>,</w:t>
      </w:r>
      <w:r w:rsidR="00C92831">
        <w:rPr>
          <w:rFonts w:eastAsia="Times New Roman" w:cstheme="minorHAnsi"/>
          <w:lang w:eastAsia="en-GB"/>
        </w:rPr>
        <w:t xml:space="preserve"> and will</w:t>
      </w:r>
      <w:r w:rsidRPr="00C92831">
        <w:rPr>
          <w:rFonts w:eastAsia="Times New Roman" w:cstheme="minorHAnsi"/>
          <w:lang w:eastAsia="en-GB"/>
        </w:rPr>
        <w:t xml:space="preserve"> assess how effective MAPPA is as a means of managing offenders in England and Wales.</w:t>
      </w:r>
    </w:p>
    <w:p w14:paraId="2AC7ECF1" w14:textId="52D9932B" w:rsidR="00ED71FE" w:rsidRDefault="00ED71FE" w:rsidP="00BE1F93">
      <w:pPr>
        <w:spacing w:after="0" w:line="276" w:lineRule="auto"/>
        <w:ind w:right="531"/>
        <w:rPr>
          <w:rFonts w:eastAsia="Times New Roman" w:cstheme="minorHAnsi"/>
          <w:lang w:eastAsia="en-GB"/>
        </w:rPr>
      </w:pPr>
    </w:p>
    <w:p w14:paraId="487756DA" w14:textId="254BC0CA" w:rsidR="00882763" w:rsidRDefault="00ED71FE" w:rsidP="00BE1F93">
      <w:pPr>
        <w:spacing w:after="0" w:line="276" w:lineRule="auto"/>
        <w:ind w:right="531"/>
        <w:rPr>
          <w:rFonts w:eastAsia="Times New Roman" w:cstheme="minorHAnsi"/>
          <w:lang w:eastAsia="en-GB"/>
        </w:rPr>
      </w:pPr>
      <w:r>
        <w:rPr>
          <w:rFonts w:eastAsia="Times New Roman" w:cstheme="minorHAnsi"/>
          <w:lang w:eastAsia="en-GB"/>
        </w:rPr>
        <w:t>A study of MAPPA</w:t>
      </w:r>
      <w:r w:rsidR="004A480F">
        <w:rPr>
          <w:rFonts w:eastAsia="Times New Roman" w:cstheme="minorHAnsi"/>
          <w:lang w:eastAsia="en-GB"/>
        </w:rPr>
        <w:t>,</w:t>
      </w:r>
      <w:r>
        <w:rPr>
          <w:rFonts w:eastAsia="Times New Roman" w:cstheme="minorHAnsi"/>
          <w:lang w:eastAsia="en-GB"/>
        </w:rPr>
        <w:t xml:space="preserve"> that was conducted by the Ministry of Justice found that in terms of the general safeguarding of members of the public and dealing with </w:t>
      </w:r>
      <w:r w:rsidR="00F40E3A">
        <w:rPr>
          <w:rFonts w:eastAsia="Times New Roman" w:cstheme="minorHAnsi"/>
          <w:lang w:eastAsia="en-GB"/>
        </w:rPr>
        <w:t>high-risk</w:t>
      </w:r>
      <w:r>
        <w:rPr>
          <w:rFonts w:eastAsia="Times New Roman" w:cstheme="minorHAnsi"/>
          <w:lang w:eastAsia="en-GB"/>
        </w:rPr>
        <w:t xml:space="preserve"> offenders MAPPA was generally effective in the management of </w:t>
      </w:r>
      <w:r w:rsidR="00F40E3A">
        <w:rPr>
          <w:rFonts w:eastAsia="Times New Roman" w:cstheme="minorHAnsi"/>
          <w:lang w:eastAsia="en-GB"/>
        </w:rPr>
        <w:t>high-risk</w:t>
      </w:r>
      <w:r>
        <w:rPr>
          <w:rFonts w:eastAsia="Times New Roman" w:cstheme="minorHAnsi"/>
          <w:lang w:eastAsia="en-GB"/>
        </w:rPr>
        <w:t xml:space="preserve"> offenders</w:t>
      </w:r>
      <w:r w:rsidR="00882763">
        <w:rPr>
          <w:rFonts w:eastAsia="Times New Roman" w:cstheme="minorHAnsi"/>
          <w:lang w:eastAsia="en-GB"/>
        </w:rPr>
        <w:t>,</w:t>
      </w:r>
      <w:r>
        <w:rPr>
          <w:rFonts w:eastAsia="Times New Roman" w:cstheme="minorHAnsi"/>
          <w:lang w:eastAsia="en-GB"/>
        </w:rPr>
        <w:t xml:space="preserve"> and preventing these </w:t>
      </w:r>
      <w:r w:rsidR="00F40E3A">
        <w:rPr>
          <w:rFonts w:eastAsia="Times New Roman" w:cstheme="minorHAnsi"/>
          <w:lang w:eastAsia="en-GB"/>
        </w:rPr>
        <w:t>high-risk</w:t>
      </w:r>
      <w:r>
        <w:rPr>
          <w:rFonts w:eastAsia="Times New Roman" w:cstheme="minorHAnsi"/>
          <w:lang w:eastAsia="en-GB"/>
        </w:rPr>
        <w:t xml:space="preserve"> offenders from reoffending.</w:t>
      </w:r>
      <w:r w:rsidR="00F40E3A">
        <w:rPr>
          <w:rFonts w:eastAsia="Times New Roman" w:cstheme="minorHAnsi"/>
          <w:lang w:eastAsia="en-GB"/>
        </w:rPr>
        <w:t xml:space="preserve"> The study showed</w:t>
      </w:r>
      <w:r w:rsidR="00882763">
        <w:rPr>
          <w:rFonts w:eastAsia="Times New Roman" w:cstheme="minorHAnsi"/>
          <w:lang w:eastAsia="en-GB"/>
        </w:rPr>
        <w:t>,</w:t>
      </w:r>
      <w:r w:rsidR="00F40E3A">
        <w:rPr>
          <w:rFonts w:eastAsia="Times New Roman" w:cstheme="minorHAnsi"/>
          <w:lang w:eastAsia="en-GB"/>
        </w:rPr>
        <w:t xml:space="preserve"> that</w:t>
      </w:r>
      <w:r>
        <w:rPr>
          <w:rFonts w:eastAsia="Times New Roman" w:cstheme="minorHAnsi"/>
          <w:lang w:eastAsia="en-GB"/>
        </w:rPr>
        <w:t xml:space="preserve"> </w:t>
      </w:r>
      <w:r w:rsidR="00F40E3A">
        <w:rPr>
          <w:rFonts w:eastAsia="Times New Roman" w:cstheme="minorHAnsi"/>
          <w:lang w:eastAsia="en-GB"/>
        </w:rPr>
        <w:t xml:space="preserve">this was achieved by MAPPA effectively sharing information about offenders between partner </w:t>
      </w:r>
      <w:r w:rsidR="001A741E">
        <w:rPr>
          <w:rFonts w:eastAsia="Times New Roman" w:cstheme="minorHAnsi"/>
          <w:lang w:eastAsia="en-GB"/>
        </w:rPr>
        <w:t>agencies</w:t>
      </w:r>
      <w:r w:rsidR="00F40E3A">
        <w:rPr>
          <w:rFonts w:eastAsia="Times New Roman" w:cstheme="minorHAnsi"/>
          <w:lang w:eastAsia="en-GB"/>
        </w:rPr>
        <w:t xml:space="preserve"> such as police and probation. From this they could effectively create a risk management plan for the offenders. This was done by </w:t>
      </w:r>
      <w:r w:rsidR="001A741E">
        <w:rPr>
          <w:rFonts w:eastAsia="Times New Roman" w:cstheme="minorHAnsi"/>
          <w:lang w:eastAsia="en-GB"/>
        </w:rPr>
        <w:t>categorising</w:t>
      </w:r>
      <w:r w:rsidR="00F40E3A">
        <w:rPr>
          <w:rFonts w:eastAsia="Times New Roman" w:cstheme="minorHAnsi"/>
          <w:lang w:eastAsia="en-GB"/>
        </w:rPr>
        <w:t xml:space="preserve"> the offenders and the level of </w:t>
      </w:r>
      <w:r w:rsidR="001A741E">
        <w:rPr>
          <w:rFonts w:eastAsia="Times New Roman" w:cstheme="minorHAnsi"/>
          <w:lang w:eastAsia="en-GB"/>
        </w:rPr>
        <w:t>management</w:t>
      </w:r>
      <w:r w:rsidR="00F40E3A">
        <w:rPr>
          <w:rFonts w:eastAsia="Times New Roman" w:cstheme="minorHAnsi"/>
          <w:lang w:eastAsia="en-GB"/>
        </w:rPr>
        <w:t xml:space="preserve"> required</w:t>
      </w:r>
      <w:r w:rsidR="002D1767">
        <w:rPr>
          <w:rFonts w:eastAsia="Times New Roman" w:cstheme="minorHAnsi"/>
          <w:lang w:eastAsia="en-GB"/>
        </w:rPr>
        <w:t xml:space="preserve"> </w:t>
      </w:r>
      <w:sdt>
        <w:sdtPr>
          <w:rPr>
            <w:rFonts w:eastAsia="Times New Roman" w:cstheme="minorHAnsi"/>
            <w:lang w:eastAsia="en-GB"/>
          </w:rPr>
          <w:id w:val="844834083"/>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CITATION Min21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(Ministry of Justice, 2021)</w:t>
          </w:r>
          <w:r w:rsidR="002D1767">
            <w:rPr>
              <w:rFonts w:eastAsia="Times New Roman" w:cstheme="minorHAnsi"/>
              <w:lang w:eastAsia="en-GB"/>
            </w:rPr>
            <w:fldChar w:fldCharType="end"/>
          </w:r>
        </w:sdtContent>
      </w:sdt>
      <w:r w:rsidR="00F40E3A">
        <w:rPr>
          <w:rFonts w:eastAsia="Times New Roman" w:cstheme="minorHAnsi"/>
          <w:lang w:eastAsia="en-GB"/>
        </w:rPr>
        <w:t xml:space="preserve">. </w:t>
      </w:r>
    </w:p>
    <w:p w14:paraId="6B34E83C" w14:textId="4CA3128F" w:rsidR="00F40E3A" w:rsidRDefault="00F40E3A" w:rsidP="00BE1F93">
      <w:pPr>
        <w:spacing w:after="0" w:line="276" w:lineRule="auto"/>
        <w:ind w:right="531"/>
        <w:rPr>
          <w:rFonts w:eastAsia="Times New Roman" w:cstheme="minorHAnsi"/>
          <w:lang w:eastAsia="en-GB"/>
        </w:rPr>
      </w:pPr>
      <w:r>
        <w:rPr>
          <w:rFonts w:eastAsia="Times New Roman" w:cstheme="minorHAnsi"/>
          <w:lang w:eastAsia="en-GB"/>
        </w:rPr>
        <w:t xml:space="preserve">Each offender would be placed in one of three categories. </w:t>
      </w:r>
      <w:r w:rsidR="001A741E" w:rsidRPr="001A741E">
        <w:rPr>
          <w:rFonts w:eastAsia="Times New Roman" w:cstheme="minorHAnsi"/>
          <w:b/>
          <w:bCs/>
          <w:lang w:eastAsia="en-GB"/>
        </w:rPr>
        <w:t xml:space="preserve">Category </w:t>
      </w:r>
      <w:r w:rsidR="001A741E">
        <w:rPr>
          <w:rFonts w:eastAsia="Times New Roman" w:cstheme="minorHAnsi"/>
          <w:b/>
          <w:bCs/>
          <w:lang w:eastAsia="en-GB"/>
        </w:rPr>
        <w:t>one,</w:t>
      </w:r>
      <w:r>
        <w:rPr>
          <w:rFonts w:eastAsia="Times New Roman" w:cstheme="minorHAnsi"/>
          <w:lang w:eastAsia="en-GB"/>
        </w:rPr>
        <w:t xml:space="preserve"> was that of offenders who have been convicted of a specified sexual offence and/or the </w:t>
      </w:r>
      <w:r w:rsidR="001A741E">
        <w:rPr>
          <w:rFonts w:eastAsia="Times New Roman" w:cstheme="minorHAnsi"/>
          <w:lang w:eastAsia="en-GB"/>
        </w:rPr>
        <w:t>notification</w:t>
      </w:r>
      <w:r>
        <w:rPr>
          <w:rFonts w:eastAsia="Times New Roman" w:cstheme="minorHAnsi"/>
          <w:lang w:eastAsia="en-GB"/>
        </w:rPr>
        <w:t xml:space="preserve"> requirements which are under part 2 of the sexual offenses act 2003 apply. This basically states that any person who comes under this part of legislation are required to notify police of their name, personal details and address. They must also notify the police of any change</w:t>
      </w:r>
      <w:r w:rsidR="002D1767">
        <w:rPr>
          <w:rFonts w:eastAsia="Times New Roman" w:cstheme="minorHAnsi"/>
          <w:lang w:eastAsia="en-GB"/>
        </w:rPr>
        <w:t xml:space="preserve"> </w:t>
      </w:r>
      <w:sdt>
        <w:sdtPr>
          <w:rPr>
            <w:rFonts w:eastAsia="Times New Roman" w:cstheme="minorHAnsi"/>
            <w:lang w:eastAsia="en-GB"/>
          </w:rPr>
          <w:id w:val="1043562584"/>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 CITATION Min21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(Ministry of Justice, 2021)</w:t>
          </w:r>
          <w:r w:rsidR="002D1767">
            <w:rPr>
              <w:rFonts w:eastAsia="Times New Roman" w:cstheme="minorHAnsi"/>
              <w:lang w:eastAsia="en-GB"/>
            </w:rPr>
            <w:fldChar w:fldCharType="end"/>
          </w:r>
        </w:sdtContent>
      </w:sdt>
      <w:r>
        <w:rPr>
          <w:rFonts w:eastAsia="Times New Roman" w:cstheme="minorHAnsi"/>
          <w:lang w:eastAsia="en-GB"/>
        </w:rPr>
        <w:t xml:space="preserve">.  </w:t>
      </w:r>
    </w:p>
    <w:p w14:paraId="1B003834" w14:textId="2F02AE43" w:rsidR="00F40E3A" w:rsidRDefault="00F40E3A" w:rsidP="00BE1F93">
      <w:pPr>
        <w:spacing w:after="0" w:line="276" w:lineRule="auto"/>
        <w:ind w:right="531"/>
        <w:rPr>
          <w:rFonts w:eastAsia="Times New Roman" w:cstheme="minorHAnsi"/>
          <w:lang w:eastAsia="en-GB"/>
        </w:rPr>
      </w:pPr>
      <w:r w:rsidRPr="001A741E">
        <w:rPr>
          <w:rFonts w:eastAsia="Times New Roman" w:cstheme="minorHAnsi"/>
          <w:b/>
          <w:bCs/>
          <w:lang w:eastAsia="en-GB"/>
        </w:rPr>
        <w:t xml:space="preserve">Category </w:t>
      </w:r>
      <w:r w:rsidR="001A741E">
        <w:rPr>
          <w:rFonts w:eastAsia="Times New Roman" w:cstheme="minorHAnsi"/>
          <w:b/>
          <w:bCs/>
          <w:lang w:eastAsia="en-GB"/>
        </w:rPr>
        <w:t>two</w:t>
      </w:r>
      <w:r>
        <w:rPr>
          <w:rFonts w:eastAsia="Times New Roman" w:cstheme="minorHAnsi"/>
          <w:lang w:eastAsia="en-GB"/>
        </w:rPr>
        <w:t xml:space="preserve"> is for violent offences. These are the offenders who have been convicted </w:t>
      </w:r>
      <w:r w:rsidR="001A741E">
        <w:rPr>
          <w:rFonts w:eastAsia="Times New Roman" w:cstheme="minorHAnsi"/>
          <w:lang w:eastAsia="en-GB"/>
        </w:rPr>
        <w:t xml:space="preserve">of a specific violent offence and subsequently were imprisoned or detained for at least 12 months or detained under aa hospital order. This category also then consists of a small </w:t>
      </w:r>
      <w:proofErr w:type="gramStart"/>
      <w:r w:rsidR="001A741E">
        <w:rPr>
          <w:rFonts w:eastAsia="Times New Roman" w:cstheme="minorHAnsi"/>
          <w:lang w:eastAsia="en-GB"/>
        </w:rPr>
        <w:t>amount</w:t>
      </w:r>
      <w:proofErr w:type="gramEnd"/>
      <w:r w:rsidR="001A741E">
        <w:rPr>
          <w:rFonts w:eastAsia="Times New Roman" w:cstheme="minorHAnsi"/>
          <w:lang w:eastAsia="en-GB"/>
        </w:rPr>
        <w:t xml:space="preserve"> of sexual offenders</w:t>
      </w:r>
      <w:r w:rsidR="00882763">
        <w:rPr>
          <w:rFonts w:eastAsia="Times New Roman" w:cstheme="minorHAnsi"/>
          <w:lang w:eastAsia="en-GB"/>
        </w:rPr>
        <w:t>,</w:t>
      </w:r>
      <w:r w:rsidR="001A741E">
        <w:rPr>
          <w:rFonts w:eastAsia="Times New Roman" w:cstheme="minorHAnsi"/>
          <w:lang w:eastAsia="en-GB"/>
        </w:rPr>
        <w:t xml:space="preserve"> who don’t </w:t>
      </w:r>
      <w:r w:rsidR="00882763">
        <w:rPr>
          <w:rFonts w:eastAsia="Times New Roman" w:cstheme="minorHAnsi"/>
          <w:lang w:eastAsia="en-GB"/>
        </w:rPr>
        <w:t>qualify</w:t>
      </w:r>
      <w:r w:rsidR="001A741E">
        <w:rPr>
          <w:rFonts w:eastAsia="Times New Roman" w:cstheme="minorHAnsi"/>
          <w:lang w:eastAsia="en-GB"/>
        </w:rPr>
        <w:t xml:space="preserve"> for the notification requirement that applies to category 1 offenders</w:t>
      </w:r>
      <w:r w:rsidR="002D1767">
        <w:rPr>
          <w:rFonts w:eastAsia="Times New Roman" w:cstheme="minorHAnsi"/>
          <w:lang w:eastAsia="en-GB"/>
        </w:rPr>
        <w:t xml:space="preserve"> </w:t>
      </w:r>
      <w:sdt>
        <w:sdtPr>
          <w:rPr>
            <w:rFonts w:eastAsia="Times New Roman" w:cstheme="minorHAnsi"/>
            <w:lang w:eastAsia="en-GB"/>
          </w:rPr>
          <w:id w:val="636690491"/>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 CITATION Min21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(Ministry of Justice, 2021)</w:t>
          </w:r>
          <w:r w:rsidR="002D1767">
            <w:rPr>
              <w:rFonts w:eastAsia="Times New Roman" w:cstheme="minorHAnsi"/>
              <w:lang w:eastAsia="en-GB"/>
            </w:rPr>
            <w:fldChar w:fldCharType="end"/>
          </w:r>
        </w:sdtContent>
      </w:sdt>
      <w:r w:rsidR="001A741E">
        <w:rPr>
          <w:rFonts w:eastAsia="Times New Roman" w:cstheme="minorHAnsi"/>
          <w:lang w:eastAsia="en-GB"/>
        </w:rPr>
        <w:t xml:space="preserve">. </w:t>
      </w:r>
    </w:p>
    <w:p w14:paraId="2859270F" w14:textId="69064722" w:rsidR="001A741E" w:rsidRDefault="001A741E" w:rsidP="00BE1F93">
      <w:pPr>
        <w:spacing w:after="0" w:line="276" w:lineRule="auto"/>
        <w:ind w:right="531"/>
        <w:rPr>
          <w:rFonts w:eastAsia="Times New Roman" w:cstheme="minorHAnsi"/>
          <w:lang w:eastAsia="en-GB"/>
        </w:rPr>
      </w:pPr>
      <w:r w:rsidRPr="001A741E">
        <w:rPr>
          <w:rFonts w:eastAsia="Times New Roman" w:cstheme="minorHAnsi"/>
          <w:b/>
          <w:bCs/>
          <w:lang w:eastAsia="en-GB"/>
        </w:rPr>
        <w:t>Category three</w:t>
      </w:r>
      <w:r>
        <w:rPr>
          <w:rFonts w:eastAsia="Times New Roman" w:cstheme="minorHAnsi"/>
          <w:lang w:eastAsia="en-GB"/>
        </w:rPr>
        <w:t xml:space="preserve">, </w:t>
      </w:r>
      <w:r w:rsidR="00CE18D1">
        <w:rPr>
          <w:rFonts w:eastAsia="Times New Roman" w:cstheme="minorHAnsi"/>
          <w:lang w:eastAsia="en-GB"/>
        </w:rPr>
        <w:t>t</w:t>
      </w:r>
      <w:r>
        <w:rPr>
          <w:rFonts w:eastAsia="Times New Roman" w:cstheme="minorHAnsi"/>
          <w:lang w:eastAsia="en-GB"/>
        </w:rPr>
        <w:t>hese are the offenders who do not qualify under categories 1 or 2 but have been assessed by professionals as posing a risk of serious harm to members of the public. The connection between the offence they committed</w:t>
      </w:r>
      <w:r w:rsidR="00882763">
        <w:rPr>
          <w:rFonts w:eastAsia="Times New Roman" w:cstheme="minorHAnsi"/>
          <w:lang w:eastAsia="en-GB"/>
        </w:rPr>
        <w:t>,</w:t>
      </w:r>
      <w:r>
        <w:rPr>
          <w:rFonts w:eastAsia="Times New Roman" w:cstheme="minorHAnsi"/>
          <w:lang w:eastAsia="en-GB"/>
        </w:rPr>
        <w:t xml:space="preserve"> and the risk that they pose means that they need active multi-agency management</w:t>
      </w:r>
      <w:r w:rsidR="002D1767">
        <w:rPr>
          <w:rFonts w:eastAsia="Times New Roman" w:cstheme="minorHAnsi"/>
          <w:lang w:eastAsia="en-GB"/>
        </w:rPr>
        <w:t xml:space="preserve"> </w:t>
      </w:r>
      <w:sdt>
        <w:sdtPr>
          <w:rPr>
            <w:rFonts w:eastAsia="Times New Roman" w:cstheme="minorHAnsi"/>
            <w:lang w:eastAsia="en-GB"/>
          </w:rPr>
          <w:id w:val="-801221265"/>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 CITATION Min21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(Ministry of Justice, 2021)</w:t>
          </w:r>
          <w:r w:rsidR="002D1767">
            <w:rPr>
              <w:rFonts w:eastAsia="Times New Roman" w:cstheme="minorHAnsi"/>
              <w:lang w:eastAsia="en-GB"/>
            </w:rPr>
            <w:fldChar w:fldCharType="end"/>
          </w:r>
        </w:sdtContent>
      </w:sdt>
      <w:r>
        <w:rPr>
          <w:rFonts w:eastAsia="Times New Roman" w:cstheme="minorHAnsi"/>
          <w:lang w:eastAsia="en-GB"/>
        </w:rPr>
        <w:t>.</w:t>
      </w:r>
    </w:p>
    <w:p w14:paraId="4FF53D48" w14:textId="0E3CDD68" w:rsidR="00BC504F" w:rsidRDefault="00BC504F" w:rsidP="00BE1F93">
      <w:pPr>
        <w:spacing w:after="0" w:line="276" w:lineRule="auto"/>
        <w:ind w:right="531"/>
        <w:rPr>
          <w:rFonts w:eastAsia="Times New Roman" w:cstheme="minorHAnsi"/>
          <w:lang w:eastAsia="en-GB"/>
        </w:rPr>
      </w:pPr>
    </w:p>
    <w:p w14:paraId="6268CEE9" w14:textId="14E416BC" w:rsidR="001B7469" w:rsidRDefault="00BC504F" w:rsidP="00BE1F93">
      <w:pPr>
        <w:spacing w:after="0" w:line="276" w:lineRule="auto"/>
        <w:ind w:right="531"/>
        <w:rPr>
          <w:rFonts w:eastAsia="Times New Roman" w:cstheme="minorHAnsi"/>
          <w:lang w:eastAsia="en-GB"/>
        </w:rPr>
      </w:pPr>
      <w:r>
        <w:rPr>
          <w:rFonts w:eastAsia="Times New Roman" w:cstheme="minorHAnsi"/>
          <w:lang w:eastAsia="en-GB"/>
        </w:rPr>
        <w:t>Offenders under MAPPA are then managed at one of three different levels. The level of the management reflects how much of an input is needed from multi-agencies and how much they will need to cooperate</w:t>
      </w:r>
      <w:r w:rsidR="00882763">
        <w:rPr>
          <w:rFonts w:eastAsia="Times New Roman" w:cstheme="minorHAnsi"/>
          <w:lang w:eastAsia="en-GB"/>
        </w:rPr>
        <w:t>,</w:t>
      </w:r>
      <w:r>
        <w:rPr>
          <w:rFonts w:eastAsia="Times New Roman" w:cstheme="minorHAnsi"/>
          <w:lang w:eastAsia="en-GB"/>
        </w:rPr>
        <w:t xml:space="preserve"> to develop and manage a risk assessment for the offender which can be moved up or down the levels depending on risk posed to other members of the public.</w:t>
      </w:r>
    </w:p>
    <w:p w14:paraId="4F632088" w14:textId="1749452D" w:rsidR="00BC504F" w:rsidRDefault="00BC504F" w:rsidP="00BE1F93">
      <w:pPr>
        <w:spacing w:after="0" w:line="276" w:lineRule="auto"/>
        <w:ind w:right="531"/>
        <w:rPr>
          <w:rFonts w:eastAsia="Times New Roman" w:cstheme="minorHAnsi"/>
          <w:lang w:eastAsia="en-GB"/>
        </w:rPr>
      </w:pPr>
      <w:r w:rsidRPr="001B7469">
        <w:rPr>
          <w:rFonts w:eastAsia="Times New Roman" w:cstheme="minorHAnsi"/>
          <w:b/>
          <w:bCs/>
          <w:lang w:eastAsia="en-GB"/>
        </w:rPr>
        <w:t>Level one</w:t>
      </w:r>
      <w:r w:rsidR="001B7469">
        <w:rPr>
          <w:rFonts w:eastAsia="Times New Roman" w:cstheme="minorHAnsi"/>
          <w:b/>
          <w:bCs/>
          <w:lang w:eastAsia="en-GB"/>
        </w:rPr>
        <w:t xml:space="preserve"> </w:t>
      </w:r>
      <w:r w:rsidR="00882763">
        <w:rPr>
          <w:rFonts w:eastAsia="Times New Roman" w:cstheme="minorHAnsi"/>
          <w:b/>
          <w:bCs/>
          <w:lang w:eastAsia="en-GB"/>
        </w:rPr>
        <w:t xml:space="preserve">- </w:t>
      </w:r>
      <w:r w:rsidR="00882763">
        <w:rPr>
          <w:rFonts w:eastAsia="Times New Roman" w:cstheme="minorHAnsi"/>
          <w:lang w:eastAsia="en-GB"/>
        </w:rPr>
        <w:t>this</w:t>
      </w:r>
      <w:r>
        <w:rPr>
          <w:rFonts w:eastAsia="Times New Roman" w:cstheme="minorHAnsi"/>
          <w:lang w:eastAsia="en-GB"/>
        </w:rPr>
        <w:t xml:space="preserve"> is the standard level and the agency that has the lead in supervising the offender creates their arrangement for the offender, </w:t>
      </w:r>
      <w:r w:rsidR="001B7469">
        <w:rPr>
          <w:rFonts w:eastAsia="Times New Roman" w:cstheme="minorHAnsi"/>
          <w:lang w:eastAsia="en-GB"/>
        </w:rPr>
        <w:t>agencies</w:t>
      </w:r>
      <w:r>
        <w:rPr>
          <w:rFonts w:eastAsia="Times New Roman" w:cstheme="minorHAnsi"/>
          <w:lang w:eastAsia="en-GB"/>
        </w:rPr>
        <w:t xml:space="preserve"> such as police and probation service will share information regarding the offender to mange risk. Most offenders are managed at level </w:t>
      </w:r>
      <w:r w:rsidR="001B7469">
        <w:rPr>
          <w:rFonts w:eastAsia="Times New Roman" w:cstheme="minorHAnsi"/>
          <w:lang w:eastAsia="en-GB"/>
        </w:rPr>
        <w:t>one.</w:t>
      </w:r>
    </w:p>
    <w:p w14:paraId="28BF4297" w14:textId="627CF0BF" w:rsidR="00BC504F" w:rsidRDefault="00BC504F" w:rsidP="00BE1F93">
      <w:pPr>
        <w:spacing w:after="0" w:line="276" w:lineRule="auto"/>
        <w:ind w:right="531"/>
        <w:rPr>
          <w:rFonts w:eastAsia="Times New Roman" w:cstheme="minorHAnsi"/>
          <w:lang w:eastAsia="en-GB"/>
        </w:rPr>
      </w:pPr>
      <w:r w:rsidRPr="001B7469">
        <w:rPr>
          <w:rFonts w:eastAsia="Times New Roman" w:cstheme="minorHAnsi"/>
          <w:b/>
          <w:bCs/>
          <w:lang w:eastAsia="en-GB"/>
        </w:rPr>
        <w:lastRenderedPageBreak/>
        <w:t>Level two</w:t>
      </w:r>
      <w:r w:rsidR="001B7469">
        <w:rPr>
          <w:rFonts w:eastAsia="Times New Roman" w:cstheme="minorHAnsi"/>
          <w:b/>
          <w:bCs/>
          <w:lang w:eastAsia="en-GB"/>
        </w:rPr>
        <w:t xml:space="preserve"> -</w:t>
      </w:r>
      <w:r>
        <w:rPr>
          <w:rFonts w:eastAsia="Times New Roman" w:cstheme="minorHAnsi"/>
          <w:lang w:eastAsia="en-GB"/>
        </w:rPr>
        <w:t xml:space="preserve"> This level or risk management requires involved of a multitude of agencies that host multiagency public protection meetings to plan a risk management plan. </w:t>
      </w:r>
    </w:p>
    <w:p w14:paraId="5006A7FC" w14:textId="11B4A6A4" w:rsidR="00BC504F" w:rsidRDefault="00BC504F" w:rsidP="00BE1F93">
      <w:pPr>
        <w:spacing w:after="0" w:line="276" w:lineRule="auto"/>
        <w:ind w:right="531"/>
        <w:rPr>
          <w:rFonts w:eastAsia="Times New Roman" w:cstheme="minorHAnsi"/>
          <w:lang w:eastAsia="en-GB"/>
        </w:rPr>
      </w:pPr>
      <w:r w:rsidRPr="001B7469">
        <w:rPr>
          <w:rFonts w:eastAsia="Times New Roman" w:cstheme="minorHAnsi"/>
          <w:b/>
          <w:bCs/>
          <w:lang w:eastAsia="en-GB"/>
        </w:rPr>
        <w:t>Level three</w:t>
      </w:r>
      <w:r>
        <w:rPr>
          <w:rFonts w:eastAsia="Times New Roman" w:cstheme="minorHAnsi"/>
          <w:lang w:eastAsia="en-GB"/>
        </w:rPr>
        <w:t xml:space="preserve"> – This level is similar to level two and does all the same things, however due to risk being so high with these offenders the risk management plan set out is managed by senior staff from all agencies, they also authorise additional resources such as private or specialised accommodation</w:t>
      </w:r>
      <w:r w:rsidR="002D1767">
        <w:rPr>
          <w:rFonts w:eastAsia="Times New Roman" w:cstheme="minorHAnsi"/>
          <w:lang w:eastAsia="en-GB"/>
        </w:rPr>
        <w:t xml:space="preserve"> </w:t>
      </w:r>
      <w:sdt>
        <w:sdtPr>
          <w:rPr>
            <w:rFonts w:eastAsia="Times New Roman" w:cstheme="minorHAnsi"/>
            <w:lang w:eastAsia="en-GB"/>
          </w:rPr>
          <w:id w:val="1754940486"/>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 CITATION Min21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(Ministry of Justice, 2021)</w:t>
          </w:r>
          <w:r w:rsidR="002D1767">
            <w:rPr>
              <w:rFonts w:eastAsia="Times New Roman" w:cstheme="minorHAnsi"/>
              <w:lang w:eastAsia="en-GB"/>
            </w:rPr>
            <w:fldChar w:fldCharType="end"/>
          </w:r>
        </w:sdtContent>
      </w:sdt>
      <w:r>
        <w:rPr>
          <w:rFonts w:eastAsia="Times New Roman" w:cstheme="minorHAnsi"/>
          <w:lang w:eastAsia="en-GB"/>
        </w:rPr>
        <w:t xml:space="preserve">.  </w:t>
      </w:r>
    </w:p>
    <w:p w14:paraId="6C58FB62" w14:textId="6B354D11" w:rsidR="00F679B9" w:rsidRDefault="00F679B9" w:rsidP="00BE1F93">
      <w:pPr>
        <w:spacing w:after="0" w:line="276" w:lineRule="auto"/>
        <w:ind w:right="531"/>
        <w:rPr>
          <w:rFonts w:eastAsia="Times New Roman" w:cstheme="minorHAnsi"/>
          <w:lang w:eastAsia="en-GB"/>
        </w:rPr>
      </w:pPr>
    </w:p>
    <w:p w14:paraId="76DA73D8" w14:textId="6649711A" w:rsidR="00F679B9" w:rsidRDefault="00F679B9" w:rsidP="00BE1F93">
      <w:pPr>
        <w:spacing w:after="0" w:line="276" w:lineRule="auto"/>
        <w:ind w:right="531"/>
        <w:rPr>
          <w:rFonts w:eastAsia="Times New Roman" w:cstheme="minorHAnsi"/>
          <w:lang w:eastAsia="en-GB"/>
        </w:rPr>
      </w:pPr>
      <w:r>
        <w:rPr>
          <w:rFonts w:eastAsia="Times New Roman" w:cstheme="minorHAnsi"/>
          <w:lang w:eastAsia="en-GB"/>
        </w:rPr>
        <w:t>A separate study that was conducted</w:t>
      </w:r>
      <w:r w:rsidR="00882763">
        <w:rPr>
          <w:rFonts w:eastAsia="Times New Roman" w:cstheme="minorHAnsi"/>
          <w:lang w:eastAsia="en-GB"/>
        </w:rPr>
        <w:t>,</w:t>
      </w:r>
      <w:r>
        <w:rPr>
          <w:rFonts w:eastAsia="Times New Roman" w:cstheme="minorHAnsi"/>
          <w:lang w:eastAsia="en-GB"/>
        </w:rPr>
        <w:t xml:space="preserve"> by the National Audit Office </w:t>
      </w:r>
      <w:sdt>
        <w:sdtPr>
          <w:rPr>
            <w:rFonts w:eastAsia="Times New Roman" w:cstheme="minorHAnsi"/>
            <w:lang w:eastAsia="en-GB"/>
          </w:rPr>
          <w:id w:val="-1197000364"/>
          <w:citation/>
        </w:sdtPr>
        <w:sdtContent>
          <w:r w:rsidR="00882763">
            <w:rPr>
              <w:rFonts w:eastAsia="Times New Roman" w:cstheme="minorHAnsi"/>
              <w:lang w:eastAsia="en-GB"/>
            </w:rPr>
            <w:fldChar w:fldCharType="begin"/>
          </w:r>
          <w:r w:rsidR="00882763">
            <w:rPr>
              <w:rFonts w:eastAsia="Times New Roman" w:cstheme="minorHAnsi"/>
              <w:lang w:eastAsia="en-GB"/>
            </w:rPr>
            <w:instrText xml:space="preserve"> CITATION Nat \l 2057 </w:instrText>
          </w:r>
          <w:r w:rsidR="00882763">
            <w:rPr>
              <w:rFonts w:eastAsia="Times New Roman" w:cstheme="minorHAnsi"/>
              <w:lang w:eastAsia="en-GB"/>
            </w:rPr>
            <w:fldChar w:fldCharType="separate"/>
          </w:r>
          <w:r w:rsidR="00882763" w:rsidRPr="00882763">
            <w:rPr>
              <w:rFonts w:eastAsia="Times New Roman" w:cstheme="minorHAnsi"/>
              <w:noProof/>
              <w:lang w:eastAsia="en-GB"/>
            </w:rPr>
            <w:t>(National Audit Office, 2017)</w:t>
          </w:r>
          <w:r w:rsidR="00882763">
            <w:rPr>
              <w:rFonts w:eastAsia="Times New Roman" w:cstheme="minorHAnsi"/>
              <w:lang w:eastAsia="en-GB"/>
            </w:rPr>
            <w:fldChar w:fldCharType="end"/>
          </w:r>
        </w:sdtContent>
      </w:sdt>
      <w:r w:rsidR="00882763">
        <w:rPr>
          <w:rFonts w:eastAsia="Times New Roman" w:cstheme="minorHAnsi"/>
          <w:lang w:eastAsia="en-GB"/>
        </w:rPr>
        <w:t>. They</w:t>
      </w:r>
      <w:r>
        <w:rPr>
          <w:rFonts w:eastAsia="Times New Roman" w:cstheme="minorHAnsi"/>
          <w:lang w:eastAsia="en-GB"/>
        </w:rPr>
        <w:t xml:space="preserve"> raised issues regarding the effectiveness of MAPPA. </w:t>
      </w:r>
      <w:r w:rsidR="00481B24">
        <w:rPr>
          <w:rFonts w:eastAsia="Times New Roman" w:cstheme="minorHAnsi"/>
          <w:lang w:eastAsia="en-GB"/>
        </w:rPr>
        <w:t>These concerns were focused on the effectiveness of MAPPA, the study focuses on the effectiveness or the risk assessments and management plans. It raises concerns of the quality of them and the consistence of the risk to members of the public. The study also raised an issue with the lack of guidance on how to conduct standard risk assessments, due to these issues, this then led to a lack of inconsistences in the assessments being carried out by separate partner agencies</w:t>
      </w:r>
      <w:r w:rsidR="002D1767">
        <w:rPr>
          <w:rFonts w:eastAsia="Times New Roman" w:cstheme="minorHAnsi"/>
          <w:lang w:eastAsia="en-GB"/>
        </w:rPr>
        <w:t xml:space="preserve"> </w:t>
      </w:r>
      <w:sdt>
        <w:sdtPr>
          <w:rPr>
            <w:rFonts w:eastAsia="Times New Roman" w:cstheme="minorHAnsi"/>
            <w:lang w:eastAsia="en-GB"/>
          </w:rPr>
          <w:id w:val="-11451558"/>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CITATION Nat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(National Audit Office, 2017)</w:t>
          </w:r>
          <w:r w:rsidR="002D1767">
            <w:rPr>
              <w:rFonts w:eastAsia="Times New Roman" w:cstheme="minorHAnsi"/>
              <w:lang w:eastAsia="en-GB"/>
            </w:rPr>
            <w:fldChar w:fldCharType="end"/>
          </w:r>
        </w:sdtContent>
      </w:sdt>
      <w:r w:rsidR="00481B24">
        <w:rPr>
          <w:rFonts w:eastAsia="Times New Roman" w:cstheme="minorHAnsi"/>
          <w:lang w:eastAsia="en-GB"/>
        </w:rPr>
        <w:t xml:space="preserve">. </w:t>
      </w:r>
    </w:p>
    <w:p w14:paraId="034A4A06" w14:textId="77777777" w:rsidR="00F47792" w:rsidRDefault="00F47792" w:rsidP="00BE1F93">
      <w:pPr>
        <w:spacing w:after="0" w:line="276" w:lineRule="auto"/>
        <w:ind w:right="531"/>
        <w:rPr>
          <w:rFonts w:eastAsia="Times New Roman" w:cstheme="minorHAnsi"/>
          <w:lang w:eastAsia="en-GB"/>
        </w:rPr>
      </w:pPr>
    </w:p>
    <w:p w14:paraId="0AFA48FF" w14:textId="71050734" w:rsidR="00481B24" w:rsidRDefault="00F47792" w:rsidP="00BE1F93">
      <w:pPr>
        <w:spacing w:after="0" w:line="276" w:lineRule="auto"/>
        <w:ind w:right="531"/>
        <w:rPr>
          <w:rFonts w:eastAsia="Times New Roman" w:cstheme="minorHAnsi"/>
          <w:lang w:eastAsia="en-GB"/>
        </w:rPr>
      </w:pPr>
      <w:r>
        <w:rPr>
          <w:rFonts w:eastAsia="Times New Roman" w:cstheme="minorHAnsi"/>
          <w:lang w:eastAsia="en-GB"/>
        </w:rPr>
        <w:t>Another study which was conducted by the inspectorate of Probation</w:t>
      </w:r>
      <w:r w:rsidR="002D1767">
        <w:rPr>
          <w:rFonts w:eastAsia="Times New Roman" w:cstheme="minorHAnsi"/>
          <w:lang w:eastAsia="en-GB"/>
        </w:rPr>
        <w:t xml:space="preserve"> </w:t>
      </w:r>
      <w:sdt>
        <w:sdtPr>
          <w:rPr>
            <w:rFonts w:eastAsia="Times New Roman" w:cstheme="minorHAnsi"/>
            <w:lang w:eastAsia="en-GB"/>
          </w:rPr>
          <w:id w:val="870572634"/>
          <w:citation/>
        </w:sdtPr>
        <w:sdtContent>
          <w:r w:rsidR="006554A8">
            <w:rPr>
              <w:rFonts w:eastAsia="Times New Roman" w:cstheme="minorHAnsi"/>
              <w:lang w:eastAsia="en-GB"/>
            </w:rPr>
            <w:fldChar w:fldCharType="begin"/>
          </w:r>
          <w:r w:rsidR="006554A8">
            <w:rPr>
              <w:rFonts w:eastAsia="Times New Roman" w:cstheme="minorHAnsi"/>
              <w:lang w:eastAsia="en-GB"/>
            </w:rPr>
            <w:instrText xml:space="preserve"> CITATION Jus21 \l 2057 </w:instrText>
          </w:r>
          <w:r w:rsidR="006554A8">
            <w:rPr>
              <w:rFonts w:eastAsia="Times New Roman" w:cstheme="minorHAnsi"/>
              <w:lang w:eastAsia="en-GB"/>
            </w:rPr>
            <w:fldChar w:fldCharType="separate"/>
          </w:r>
          <w:r w:rsidR="006554A8" w:rsidRPr="006554A8">
            <w:rPr>
              <w:rFonts w:eastAsia="Times New Roman" w:cstheme="minorHAnsi"/>
              <w:noProof/>
              <w:lang w:eastAsia="en-GB"/>
            </w:rPr>
            <w:t>(Justice Inspectorates, 2021)</w:t>
          </w:r>
          <w:r w:rsidR="006554A8">
            <w:rPr>
              <w:rFonts w:eastAsia="Times New Roman" w:cstheme="minorHAnsi"/>
              <w:lang w:eastAsia="en-GB"/>
            </w:rPr>
            <w:fldChar w:fldCharType="end"/>
          </w:r>
        </w:sdtContent>
      </w:sdt>
      <w:r>
        <w:rPr>
          <w:rFonts w:eastAsia="Times New Roman" w:cstheme="minorHAnsi"/>
          <w:lang w:eastAsia="en-GB"/>
        </w:rPr>
        <w:t xml:space="preserve">  found that MAPPA</w:t>
      </w:r>
      <w:r w:rsidR="00882763">
        <w:rPr>
          <w:rFonts w:eastAsia="Times New Roman" w:cstheme="minorHAnsi"/>
          <w:lang w:eastAsia="en-GB"/>
        </w:rPr>
        <w:t>,</w:t>
      </w:r>
      <w:r>
        <w:rPr>
          <w:rFonts w:eastAsia="Times New Roman" w:cstheme="minorHAnsi"/>
          <w:lang w:eastAsia="en-GB"/>
        </w:rPr>
        <w:t xml:space="preserve"> as a means of managing the risk of low-level offenders was less effective. The study found that high risk offenders were receiving a large amount of supervisor mixed with several different support options</w:t>
      </w:r>
      <w:r w:rsidR="00882763">
        <w:rPr>
          <w:rFonts w:eastAsia="Times New Roman" w:cstheme="minorHAnsi"/>
          <w:lang w:eastAsia="en-GB"/>
        </w:rPr>
        <w:t>,</w:t>
      </w:r>
      <w:r>
        <w:rPr>
          <w:rFonts w:eastAsia="Times New Roman" w:cstheme="minorHAnsi"/>
          <w:lang w:eastAsia="en-GB"/>
        </w:rPr>
        <w:t xml:space="preserve"> from several different agencies meaning that they were offending less due to the support system in place. However low risk offenders were under a significantly less amount of supervi</w:t>
      </w:r>
      <w:r w:rsidR="00882763">
        <w:rPr>
          <w:rFonts w:eastAsia="Times New Roman" w:cstheme="minorHAnsi"/>
          <w:lang w:eastAsia="en-GB"/>
        </w:rPr>
        <w:t>sion,</w:t>
      </w:r>
      <w:r>
        <w:rPr>
          <w:rFonts w:eastAsia="Times New Roman" w:cstheme="minorHAnsi"/>
          <w:lang w:eastAsia="en-GB"/>
        </w:rPr>
        <w:t xml:space="preserve"> and were offered significant less support. Due to </w:t>
      </w:r>
      <w:r w:rsidR="00452D51">
        <w:rPr>
          <w:rFonts w:eastAsia="Times New Roman" w:cstheme="minorHAnsi"/>
          <w:lang w:eastAsia="en-GB"/>
        </w:rPr>
        <w:t>these</w:t>
      </w:r>
      <w:r w:rsidR="00882763">
        <w:rPr>
          <w:rFonts w:eastAsia="Times New Roman" w:cstheme="minorHAnsi"/>
          <w:lang w:eastAsia="en-GB"/>
        </w:rPr>
        <w:t>,</w:t>
      </w:r>
      <w:r w:rsidR="00452D51">
        <w:rPr>
          <w:rFonts w:eastAsia="Times New Roman" w:cstheme="minorHAnsi"/>
          <w:lang w:eastAsia="en-GB"/>
        </w:rPr>
        <w:t xml:space="preserve"> the</w:t>
      </w:r>
      <w:r w:rsidR="00882763">
        <w:rPr>
          <w:rFonts w:eastAsia="Times New Roman" w:cstheme="minorHAnsi"/>
          <w:lang w:eastAsia="en-GB"/>
        </w:rPr>
        <w:t>ir</w:t>
      </w:r>
      <w:r w:rsidR="00452D51">
        <w:rPr>
          <w:rFonts w:eastAsia="Times New Roman" w:cstheme="minorHAnsi"/>
          <w:lang w:eastAsia="en-GB"/>
        </w:rPr>
        <w:t xml:space="preserve"> underlying issues</w:t>
      </w:r>
      <w:r>
        <w:rPr>
          <w:rFonts w:eastAsia="Times New Roman" w:cstheme="minorHAnsi"/>
          <w:lang w:eastAsia="en-GB"/>
        </w:rPr>
        <w:t xml:space="preserve"> were not being resolved which led to these </w:t>
      </w:r>
      <w:r w:rsidR="007A5021">
        <w:rPr>
          <w:rFonts w:eastAsia="Times New Roman" w:cstheme="minorHAnsi"/>
          <w:lang w:eastAsia="en-GB"/>
        </w:rPr>
        <w:t>low-risk</w:t>
      </w:r>
      <w:r>
        <w:rPr>
          <w:rFonts w:eastAsia="Times New Roman" w:cstheme="minorHAnsi"/>
          <w:lang w:eastAsia="en-GB"/>
        </w:rPr>
        <w:t xml:space="preserve"> offenders reoffending</w:t>
      </w:r>
      <w:r w:rsidR="006554A8">
        <w:rPr>
          <w:rFonts w:eastAsia="Times New Roman" w:cstheme="minorHAnsi"/>
          <w:lang w:eastAsia="en-GB"/>
        </w:rPr>
        <w:t xml:space="preserve"> </w:t>
      </w:r>
      <w:sdt>
        <w:sdtPr>
          <w:rPr>
            <w:rFonts w:eastAsia="Times New Roman" w:cstheme="minorHAnsi"/>
            <w:lang w:eastAsia="en-GB"/>
          </w:rPr>
          <w:id w:val="2055338071"/>
          <w:citation/>
        </w:sdtPr>
        <w:sdtContent>
          <w:r w:rsidR="006554A8">
            <w:rPr>
              <w:rFonts w:eastAsia="Times New Roman" w:cstheme="minorHAnsi"/>
              <w:lang w:eastAsia="en-GB"/>
            </w:rPr>
            <w:fldChar w:fldCharType="begin"/>
          </w:r>
          <w:r w:rsidR="006554A8">
            <w:rPr>
              <w:rFonts w:eastAsia="Times New Roman" w:cstheme="minorHAnsi"/>
              <w:lang w:eastAsia="en-GB"/>
            </w:rPr>
            <w:instrText xml:space="preserve">CITATION Jus22 \l 2057 </w:instrText>
          </w:r>
          <w:r w:rsidR="006554A8">
            <w:rPr>
              <w:rFonts w:eastAsia="Times New Roman" w:cstheme="minorHAnsi"/>
              <w:lang w:eastAsia="en-GB"/>
            </w:rPr>
            <w:fldChar w:fldCharType="separate"/>
          </w:r>
          <w:r w:rsidR="006554A8" w:rsidRPr="006554A8">
            <w:rPr>
              <w:rFonts w:eastAsia="Times New Roman" w:cstheme="minorHAnsi"/>
              <w:noProof/>
              <w:lang w:eastAsia="en-GB"/>
            </w:rPr>
            <w:t>(Justice Inspectorates, 2022)</w:t>
          </w:r>
          <w:r w:rsidR="006554A8">
            <w:rPr>
              <w:rFonts w:eastAsia="Times New Roman" w:cstheme="minorHAnsi"/>
              <w:lang w:eastAsia="en-GB"/>
            </w:rPr>
            <w:fldChar w:fldCharType="end"/>
          </w:r>
        </w:sdtContent>
      </w:sdt>
      <w:r w:rsidR="002D1767">
        <w:rPr>
          <w:rFonts w:eastAsia="Times New Roman" w:cstheme="minorHAnsi"/>
          <w:lang w:eastAsia="en-GB"/>
        </w:rPr>
        <w:t xml:space="preserve"> </w:t>
      </w:r>
      <w:sdt>
        <w:sdtPr>
          <w:rPr>
            <w:rFonts w:eastAsia="Times New Roman" w:cstheme="minorHAnsi"/>
            <w:lang w:eastAsia="en-GB"/>
          </w:rPr>
          <w:id w:val="786708532"/>
          <w:citation/>
        </w:sdtPr>
        <w:sdtContent>
          <w:r w:rsidR="002D1767">
            <w:rPr>
              <w:rFonts w:eastAsia="Times New Roman" w:cstheme="minorHAnsi"/>
              <w:lang w:eastAsia="en-GB"/>
            </w:rPr>
            <w:fldChar w:fldCharType="begin"/>
          </w:r>
          <w:r w:rsidR="002D1767">
            <w:rPr>
              <w:rFonts w:eastAsia="Times New Roman" w:cstheme="minorHAnsi"/>
              <w:lang w:eastAsia="en-GB"/>
            </w:rPr>
            <w:instrText xml:space="preserve">CITATION Jus21 \l 2057 </w:instrText>
          </w:r>
          <w:r w:rsidR="002D1767">
            <w:rPr>
              <w:rFonts w:eastAsia="Times New Roman" w:cstheme="minorHAnsi"/>
              <w:lang w:eastAsia="en-GB"/>
            </w:rPr>
            <w:fldChar w:fldCharType="separate"/>
          </w:r>
          <w:r w:rsidR="002D1767" w:rsidRPr="002D1767">
            <w:rPr>
              <w:rFonts w:eastAsia="Times New Roman" w:cstheme="minorHAnsi"/>
              <w:noProof/>
              <w:lang w:eastAsia="en-GB"/>
            </w:rPr>
            <w:t>(Justice Inspectorates, 2021)</w:t>
          </w:r>
          <w:r w:rsidR="002D1767">
            <w:rPr>
              <w:rFonts w:eastAsia="Times New Roman" w:cstheme="minorHAnsi"/>
              <w:lang w:eastAsia="en-GB"/>
            </w:rPr>
            <w:fldChar w:fldCharType="end"/>
          </w:r>
        </w:sdtContent>
      </w:sdt>
      <w:r w:rsidR="002D1767">
        <w:rPr>
          <w:rFonts w:eastAsia="Times New Roman" w:cstheme="minorHAnsi"/>
          <w:lang w:eastAsia="en-GB"/>
        </w:rPr>
        <w:t xml:space="preserve"> </w:t>
      </w:r>
      <w:r>
        <w:rPr>
          <w:rFonts w:eastAsia="Times New Roman" w:cstheme="minorHAnsi"/>
          <w:lang w:eastAsia="en-GB"/>
        </w:rPr>
        <w:t xml:space="preserve">. </w:t>
      </w:r>
    </w:p>
    <w:p w14:paraId="45A2E78D" w14:textId="1599D8CE" w:rsidR="00481B24" w:rsidRDefault="00481B24" w:rsidP="00BE1F93">
      <w:pPr>
        <w:spacing w:after="0" w:line="276" w:lineRule="auto"/>
        <w:ind w:right="531"/>
        <w:rPr>
          <w:rFonts w:eastAsia="Times New Roman" w:cstheme="minorHAnsi"/>
          <w:lang w:eastAsia="en-GB"/>
        </w:rPr>
      </w:pPr>
    </w:p>
    <w:p w14:paraId="6C7BFA3B" w14:textId="4D6996A5" w:rsidR="00F06EBD" w:rsidRDefault="007A5021" w:rsidP="00BE1F93">
      <w:pPr>
        <w:spacing w:after="0" w:line="276" w:lineRule="auto"/>
        <w:ind w:right="531"/>
        <w:rPr>
          <w:rFonts w:eastAsia="Times New Roman" w:cstheme="minorHAnsi"/>
          <w:lang w:eastAsia="en-GB"/>
        </w:rPr>
      </w:pPr>
      <w:r>
        <w:rPr>
          <w:rFonts w:eastAsia="Times New Roman" w:cstheme="minorHAnsi"/>
          <w:lang w:eastAsia="en-GB"/>
        </w:rPr>
        <w:t>A separate national review of MAPPA was conducted by Anglia Ruskin University</w:t>
      </w:r>
      <w:r w:rsidR="00882763">
        <w:rPr>
          <w:rFonts w:eastAsia="Times New Roman" w:cstheme="minorHAnsi"/>
          <w:lang w:eastAsia="en-GB"/>
        </w:rPr>
        <w:t xml:space="preserve"> </w:t>
      </w:r>
      <w:sdt>
        <w:sdtPr>
          <w:rPr>
            <w:rFonts w:eastAsia="Times New Roman" w:cstheme="minorHAnsi"/>
            <w:lang w:eastAsia="en-GB"/>
          </w:rPr>
          <w:id w:val="936243971"/>
          <w:citation/>
        </w:sdtPr>
        <w:sdtContent>
          <w:r w:rsidR="00882763">
            <w:rPr>
              <w:rFonts w:eastAsia="Times New Roman" w:cstheme="minorHAnsi"/>
              <w:lang w:eastAsia="en-GB"/>
            </w:rPr>
            <w:fldChar w:fldCharType="begin"/>
          </w:r>
          <w:r w:rsidR="00882763">
            <w:rPr>
              <w:rFonts w:eastAsia="Times New Roman" w:cstheme="minorHAnsi"/>
              <w:lang w:eastAsia="en-GB"/>
            </w:rPr>
            <w:instrText xml:space="preserve"> CITATION Ang22 \l 2057 </w:instrText>
          </w:r>
          <w:r w:rsidR="00882763">
            <w:rPr>
              <w:rFonts w:eastAsia="Times New Roman" w:cstheme="minorHAnsi"/>
              <w:lang w:eastAsia="en-GB"/>
            </w:rPr>
            <w:fldChar w:fldCharType="separate"/>
          </w:r>
          <w:r w:rsidR="00882763" w:rsidRPr="00882763">
            <w:rPr>
              <w:rFonts w:eastAsia="Times New Roman" w:cstheme="minorHAnsi"/>
              <w:noProof/>
              <w:lang w:eastAsia="en-GB"/>
            </w:rPr>
            <w:t>(Anglia Ruskin University , 2022)</w:t>
          </w:r>
          <w:r w:rsidR="00882763">
            <w:rPr>
              <w:rFonts w:eastAsia="Times New Roman" w:cstheme="minorHAnsi"/>
              <w:lang w:eastAsia="en-GB"/>
            </w:rPr>
            <w:fldChar w:fldCharType="end"/>
          </w:r>
        </w:sdtContent>
      </w:sdt>
      <w:r>
        <w:rPr>
          <w:rFonts w:eastAsia="Times New Roman" w:cstheme="minorHAnsi"/>
          <w:lang w:eastAsia="en-GB"/>
        </w:rPr>
        <w:t>, in which they led an evidence-based review, on how effective MAPPA was. Following this they would use this to provide a robust evidence base to make decisions regarding the future of MAPPA in regards to its structure and operation. They found that there has been an annual increase in offenders under MAPPA since 2009. Even though there has been an increase in offenders there is a backdrop of substantial cuts to the public protection budget, brough on as a result of austerity programs run by the government. Due to the importance of a holistic, evidence-based understanding of the effectiveness of MAPPA</w:t>
      </w:r>
      <w:r w:rsidR="00882763">
        <w:rPr>
          <w:rFonts w:eastAsia="Times New Roman" w:cstheme="minorHAnsi"/>
          <w:lang w:eastAsia="en-GB"/>
        </w:rPr>
        <w:t>.</w:t>
      </w:r>
      <w:r>
        <w:rPr>
          <w:rFonts w:eastAsia="Times New Roman" w:cstheme="minorHAnsi"/>
          <w:lang w:eastAsia="en-GB"/>
        </w:rPr>
        <w:t xml:space="preserve"> </w:t>
      </w:r>
      <w:r w:rsidR="00882763">
        <w:rPr>
          <w:rFonts w:eastAsia="Times New Roman" w:cstheme="minorHAnsi"/>
          <w:lang w:eastAsia="en-GB"/>
        </w:rPr>
        <w:t>T</w:t>
      </w:r>
      <w:r>
        <w:rPr>
          <w:rFonts w:eastAsia="Times New Roman" w:cstheme="minorHAnsi"/>
          <w:lang w:eastAsia="en-GB"/>
        </w:rPr>
        <w:t>his directly undermines potential positive results and only increases the negative</w:t>
      </w:r>
      <w:r w:rsidR="006554A8">
        <w:rPr>
          <w:rFonts w:eastAsia="Times New Roman" w:cstheme="minorHAnsi"/>
          <w:lang w:eastAsia="en-GB"/>
        </w:rPr>
        <w:t xml:space="preserve"> </w:t>
      </w:r>
      <w:sdt>
        <w:sdtPr>
          <w:rPr>
            <w:rFonts w:eastAsia="Times New Roman" w:cstheme="minorHAnsi"/>
            <w:lang w:eastAsia="en-GB"/>
          </w:rPr>
          <w:id w:val="-1602409456"/>
          <w:citation/>
        </w:sdtPr>
        <w:sdtContent>
          <w:r w:rsidR="006554A8">
            <w:rPr>
              <w:rFonts w:eastAsia="Times New Roman" w:cstheme="minorHAnsi"/>
              <w:lang w:eastAsia="en-GB"/>
            </w:rPr>
            <w:fldChar w:fldCharType="begin"/>
          </w:r>
          <w:r w:rsidR="006554A8">
            <w:rPr>
              <w:rFonts w:eastAsia="Times New Roman" w:cstheme="minorHAnsi"/>
              <w:lang w:eastAsia="en-GB"/>
            </w:rPr>
            <w:instrText xml:space="preserve">CITATION Ang22 \l 2057 </w:instrText>
          </w:r>
          <w:r w:rsidR="006554A8">
            <w:rPr>
              <w:rFonts w:eastAsia="Times New Roman" w:cstheme="minorHAnsi"/>
              <w:lang w:eastAsia="en-GB"/>
            </w:rPr>
            <w:fldChar w:fldCharType="separate"/>
          </w:r>
          <w:r w:rsidR="006554A8" w:rsidRPr="006554A8">
            <w:rPr>
              <w:rFonts w:eastAsia="Times New Roman" w:cstheme="minorHAnsi"/>
              <w:noProof/>
              <w:lang w:eastAsia="en-GB"/>
            </w:rPr>
            <w:t>(Anglia Ruskin University , 2022)</w:t>
          </w:r>
          <w:r w:rsidR="006554A8">
            <w:rPr>
              <w:rFonts w:eastAsia="Times New Roman" w:cstheme="minorHAnsi"/>
              <w:lang w:eastAsia="en-GB"/>
            </w:rPr>
            <w:fldChar w:fldCharType="end"/>
          </w:r>
        </w:sdtContent>
      </w:sdt>
      <w:r>
        <w:rPr>
          <w:rFonts w:eastAsia="Times New Roman" w:cstheme="minorHAnsi"/>
          <w:lang w:eastAsia="en-GB"/>
        </w:rPr>
        <w:t xml:space="preserve">. </w:t>
      </w:r>
    </w:p>
    <w:p w14:paraId="12CBAF5C" w14:textId="57525AA7" w:rsidR="000F3A7E" w:rsidRDefault="000F3A7E" w:rsidP="00BE1F93">
      <w:pPr>
        <w:spacing w:after="0" w:line="276" w:lineRule="auto"/>
        <w:ind w:right="531"/>
        <w:rPr>
          <w:rFonts w:eastAsia="Times New Roman" w:cstheme="minorHAnsi"/>
          <w:lang w:eastAsia="en-GB"/>
        </w:rPr>
      </w:pPr>
    </w:p>
    <w:p w14:paraId="1B9BDB9D" w14:textId="77777777" w:rsidR="000F3A7E" w:rsidRDefault="000F3A7E" w:rsidP="000F3A7E">
      <w:pPr>
        <w:spacing w:after="0" w:line="276" w:lineRule="auto"/>
        <w:ind w:right="531"/>
        <w:rPr>
          <w:rFonts w:eastAsia="Times New Roman" w:cstheme="minorHAnsi"/>
          <w:lang w:eastAsia="en-GB"/>
        </w:rPr>
      </w:pPr>
      <w:r>
        <w:rPr>
          <w:rFonts w:eastAsia="Times New Roman" w:cstheme="minorHAnsi"/>
          <w:lang w:eastAsia="en-GB"/>
        </w:rPr>
        <w:t>In conclusion, the effectiveness of MAPPA as a way of managing offenders is a mix of positive and negative information which has been gathered by separate independent sources. Whilst MAPPA is seen as effective in managing high-risk offenders and generally reducing risk to members of the public through risk management, there are several concerns about the consistence and quality of the risk assessments carried out by partner agencies which can undermine the positive results and the overall safety of the members of the public, which is the main purpose of MAPPA.</w:t>
      </w:r>
    </w:p>
    <w:p w14:paraId="48BB87EA" w14:textId="056DEAFB" w:rsidR="005373E6" w:rsidRDefault="006554A8" w:rsidP="006554A8">
      <w:pPr>
        <w:spacing w:after="0" w:line="276" w:lineRule="auto"/>
        <w:ind w:right="531"/>
        <w:rPr>
          <w:rFonts w:eastAsia="Times New Roman" w:cstheme="minorHAnsi"/>
          <w:lang w:eastAsia="en-GB"/>
        </w:rPr>
      </w:pPr>
      <w:r>
        <w:rPr>
          <w:rFonts w:eastAsia="Times New Roman" w:cstheme="minorHAnsi"/>
          <w:lang w:eastAsia="en-GB"/>
        </w:rPr>
        <w:t>10</w:t>
      </w:r>
      <w:r w:rsidR="00882763">
        <w:rPr>
          <w:rFonts w:eastAsia="Times New Roman" w:cstheme="minorHAnsi"/>
          <w:lang w:eastAsia="en-GB"/>
        </w:rPr>
        <w:t>19</w:t>
      </w:r>
      <w:r w:rsidR="000F53B8">
        <w:rPr>
          <w:rFonts w:eastAsia="Times New Roman" w:cstheme="minorHAnsi"/>
          <w:lang w:eastAsia="en-GB"/>
        </w:rPr>
        <w:t xml:space="preserve"> Word</w:t>
      </w:r>
      <w:r>
        <w:rPr>
          <w:rFonts w:eastAsia="Times New Roman" w:cstheme="minorHAnsi"/>
          <w:lang w:eastAsia="en-GB"/>
        </w:rPr>
        <w:t>s</w:t>
      </w:r>
    </w:p>
    <w:p w14:paraId="6AC0746F" w14:textId="77777777" w:rsidR="00882763" w:rsidRPr="006554A8" w:rsidRDefault="00882763" w:rsidP="006554A8">
      <w:pPr>
        <w:spacing w:after="0" w:line="276" w:lineRule="auto"/>
        <w:ind w:right="531"/>
        <w:rPr>
          <w:rFonts w:eastAsia="Times New Roman" w:cstheme="minorHAnsi"/>
          <w:lang w:eastAsia="en-GB"/>
        </w:rPr>
      </w:pPr>
    </w:p>
    <w:p w14:paraId="479DBF1D" w14:textId="51BFDE2F" w:rsidR="005020C8" w:rsidRPr="006C3C20" w:rsidRDefault="005020C8" w:rsidP="005020C8">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four:</w:t>
      </w:r>
      <w:r w:rsidRPr="006C3C20">
        <w:rPr>
          <w:rFonts w:ascii="Arial" w:eastAsia="Times New Roman" w:hAnsi="Arial" w:cs="Arial"/>
          <w:lang w:eastAsia="en-GB"/>
        </w:rPr>
        <w:t xml:space="preserve"> </w:t>
      </w:r>
    </w:p>
    <w:p w14:paraId="09B99C92" w14:textId="77777777" w:rsidR="005020C8" w:rsidRPr="008808D6" w:rsidRDefault="005020C8" w:rsidP="005020C8">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Why is it necessary for independent bodies (i.e. IOPC) to hold police officers accountable?</w:t>
      </w:r>
    </w:p>
    <w:p w14:paraId="30B84922" w14:textId="77777777" w:rsidR="005020C8" w:rsidRPr="00E25D8A" w:rsidRDefault="005020C8" w:rsidP="005020C8">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 must use academic research to support your answer.</w:t>
      </w:r>
    </w:p>
    <w:p w14:paraId="28DA6AC1" w14:textId="77777777" w:rsidR="005020C8" w:rsidRPr="00FB6C83" w:rsidRDefault="005020C8" w:rsidP="005020C8">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7A08ED71" w14:textId="676599F4" w:rsidR="005020C8" w:rsidRDefault="005020C8"/>
    <w:p w14:paraId="6120DF8B" w14:textId="27B3A4BD" w:rsidR="00C92831" w:rsidRDefault="00C92831">
      <w:r>
        <w:t xml:space="preserve">When it comes to holding the police </w:t>
      </w:r>
      <w:r w:rsidR="006165E6">
        <w:t>accountable</w:t>
      </w:r>
      <w:r>
        <w:t xml:space="preserve">, independent bodies play a vital role in this. These bodies, for example the </w:t>
      </w:r>
      <w:r w:rsidR="005373E6">
        <w:t>independent</w:t>
      </w:r>
      <w:r>
        <w:t xml:space="preserve"> office for Police Conduct (IOPC) in the United Kingdom, are those responsible for investigating complaints made against the </w:t>
      </w:r>
      <w:r w:rsidR="006165E6">
        <w:t>police officers</w:t>
      </w:r>
      <w:r w:rsidR="005E32B7">
        <w:t>,</w:t>
      </w:r>
      <w:r w:rsidR="006165E6">
        <w:t xml:space="preserve"> and they then provide the public with faith</w:t>
      </w:r>
      <w:r w:rsidR="005E32B7">
        <w:t>,</w:t>
      </w:r>
      <w:r w:rsidR="006165E6">
        <w:t xml:space="preserve"> that the police are held accountable for any potential wrongdoings that they have done</w:t>
      </w:r>
      <w:r w:rsidR="005E32B7">
        <w:t>,</w:t>
      </w:r>
      <w:r w:rsidR="006165E6">
        <w:t xml:space="preserve"> whilst serving the public. This is a vital part of the police service</w:t>
      </w:r>
      <w:r w:rsidR="005E32B7">
        <w:t>,</w:t>
      </w:r>
      <w:r w:rsidR="006165E6">
        <w:t xml:space="preserve"> as it strives to maintain the public</w:t>
      </w:r>
      <w:r w:rsidR="005E32B7">
        <w:t>’</w:t>
      </w:r>
      <w:r w:rsidR="006165E6">
        <w:t>s trust in the criminal justice system</w:t>
      </w:r>
      <w:r w:rsidR="005E32B7">
        <w:t>,</w:t>
      </w:r>
      <w:r w:rsidR="006165E6">
        <w:t xml:space="preserve"> and in the police service. In this essay I will examine why is it necessary for independent bodies (IOPC) to hold police officers accountable for their actions</w:t>
      </w:r>
      <w:r w:rsidR="005E32B7">
        <w:t>,</w:t>
      </w:r>
      <w:r w:rsidR="006165E6">
        <w:t xml:space="preserve"> whilst serving the public.</w:t>
      </w:r>
    </w:p>
    <w:p w14:paraId="4307A18D" w14:textId="16CD7B36" w:rsidR="001E461E" w:rsidRDefault="001E461E"/>
    <w:p w14:paraId="63FC8A0D" w14:textId="0CDF94EA" w:rsidR="001E461E" w:rsidRDefault="001E461E">
      <w:pPr>
        <w:rPr>
          <w:rFonts w:cstheme="minorHAnsi"/>
          <w:shd w:val="clear" w:color="auto" w:fill="FAFAFA"/>
        </w:rPr>
      </w:pPr>
      <w:r>
        <w:t xml:space="preserve">The Independent office for Police Conduct (IOPC) are an </w:t>
      </w:r>
      <w:proofErr w:type="gramStart"/>
      <w:r>
        <w:t>independent bodies</w:t>
      </w:r>
      <w:proofErr w:type="gramEnd"/>
      <w:r>
        <w:t xml:space="preserve"> that investigates police misconduct, ensuring</w:t>
      </w:r>
      <w:r w:rsidR="005E32B7">
        <w:t xml:space="preserve"> that</w:t>
      </w:r>
      <w:r>
        <w:t xml:space="preserve"> police officers</w:t>
      </w:r>
      <w:r w:rsidR="005E32B7">
        <w:t>,</w:t>
      </w:r>
      <w:r>
        <w:t xml:space="preserve"> are held accountable for their actions when dealing with members of the public. IOPC state </w:t>
      </w:r>
      <w:r w:rsidRPr="001E461E">
        <w:rPr>
          <w:rFonts w:cstheme="minorHAnsi"/>
        </w:rPr>
        <w:t>‘</w:t>
      </w:r>
      <w:r w:rsidRPr="001E461E">
        <w:rPr>
          <w:rFonts w:cstheme="minorHAnsi"/>
          <w:shd w:val="clear" w:color="auto" w:fill="FAFAFA"/>
        </w:rPr>
        <w:t>Our role is to oversee the whole of the police complaints system</w:t>
      </w:r>
      <w:r w:rsidRPr="001E461E">
        <w:rPr>
          <w:rFonts w:cstheme="minorHAnsi"/>
          <w:shd w:val="clear" w:color="auto" w:fill="FAFAFA"/>
        </w:rPr>
        <w:t>’</w:t>
      </w:r>
      <w:r w:rsidR="00FA65DB">
        <w:rPr>
          <w:rFonts w:cstheme="minorHAnsi"/>
          <w:shd w:val="clear" w:color="auto" w:fill="FAFAFA"/>
        </w:rPr>
        <w:t xml:space="preserve"> </w:t>
      </w:r>
      <w:sdt>
        <w:sdtPr>
          <w:rPr>
            <w:rFonts w:cstheme="minorHAnsi"/>
            <w:shd w:val="clear" w:color="auto" w:fill="FAFAFA"/>
          </w:rPr>
          <w:id w:val="-98259163"/>
          <w:citation/>
        </w:sdtPr>
        <w:sdtContent>
          <w:r w:rsidR="00FA65DB">
            <w:rPr>
              <w:rFonts w:cstheme="minorHAnsi"/>
              <w:shd w:val="clear" w:color="auto" w:fill="FAFAFA"/>
            </w:rPr>
            <w:fldChar w:fldCharType="begin"/>
          </w:r>
          <w:r w:rsidR="00FA65DB">
            <w:rPr>
              <w:rFonts w:cstheme="minorHAnsi"/>
              <w:shd w:val="clear" w:color="auto" w:fill="FAFAFA"/>
            </w:rPr>
            <w:instrText xml:space="preserve">CITATION Ind20 \l 2057 </w:instrText>
          </w:r>
          <w:r w:rsidR="00FA65DB">
            <w:rPr>
              <w:rFonts w:cstheme="minorHAnsi"/>
              <w:shd w:val="clear" w:color="auto" w:fill="FAFAFA"/>
            </w:rPr>
            <w:fldChar w:fldCharType="separate"/>
          </w:r>
          <w:r w:rsidR="00FA65DB" w:rsidRPr="00FA65DB">
            <w:rPr>
              <w:rFonts w:cstheme="minorHAnsi"/>
              <w:noProof/>
              <w:shd w:val="clear" w:color="auto" w:fill="FAFAFA"/>
            </w:rPr>
            <w:t>(Conduct, Independent Office for Police, 2020)</w:t>
          </w:r>
          <w:r w:rsidR="00FA65DB">
            <w:rPr>
              <w:rFonts w:cstheme="minorHAnsi"/>
              <w:shd w:val="clear" w:color="auto" w:fill="FAFAFA"/>
            </w:rPr>
            <w:fldChar w:fldCharType="end"/>
          </w:r>
        </w:sdtContent>
      </w:sdt>
      <w:r w:rsidR="00FA65DB">
        <w:rPr>
          <w:rFonts w:cstheme="minorHAnsi"/>
          <w:shd w:val="clear" w:color="auto" w:fill="FAFAFA"/>
        </w:rPr>
        <w:t>.</w:t>
      </w:r>
    </w:p>
    <w:p w14:paraId="42FA3159" w14:textId="77777777" w:rsidR="00FA65DB" w:rsidRDefault="00FA65DB"/>
    <w:p w14:paraId="392DCBE2" w14:textId="2C0E02F6" w:rsidR="006772E9" w:rsidRDefault="005F4E32">
      <w:r>
        <w:t>The role of a Police Officer includes the use of significant powers, these powers include the ability to use reasonable force to detain a p</w:t>
      </w:r>
      <w:r w:rsidR="00FD34C9">
        <w:t>erson,</w:t>
      </w:r>
      <w:r>
        <w:t xml:space="preserve"> which essentially is taking away someone’s basic human rights. Due to these powers</w:t>
      </w:r>
      <w:r w:rsidR="005E32B7">
        <w:t>,</w:t>
      </w:r>
      <w:r>
        <w:t xml:space="preserve"> police need to be held accountable</w:t>
      </w:r>
      <w:r w:rsidR="00FD34C9">
        <w:t>,</w:t>
      </w:r>
      <w:r>
        <w:t xml:space="preserve"> should any wrongdoing </w:t>
      </w:r>
      <w:r w:rsidR="005E32B7">
        <w:t>in regards</w:t>
      </w:r>
      <w:r>
        <w:t xml:space="preserve"> to these powers arise, otherwise the public would scrutinise the police</w:t>
      </w:r>
      <w:r w:rsidR="00FD34C9">
        <w:t>,</w:t>
      </w:r>
      <w:r>
        <w:t xml:space="preserve"> causing a lack of public trust. It is vital that these independent bodies</w:t>
      </w:r>
      <w:r w:rsidR="00FD34C9">
        <w:t>,</w:t>
      </w:r>
      <w:r>
        <w:t xml:space="preserve"> hold Police Officers to the highest standards</w:t>
      </w:r>
      <w:r w:rsidR="005E32B7">
        <w:t>,</w:t>
      </w:r>
      <w:r>
        <w:t xml:space="preserve"> and accountable for every action that they take. Without the use of different </w:t>
      </w:r>
      <w:r w:rsidR="00F97A91">
        <w:t>intendant</w:t>
      </w:r>
      <w:r>
        <w:t xml:space="preserve"> bodies, Police Officers </w:t>
      </w:r>
      <w:r w:rsidR="00726504">
        <w:t>could</w:t>
      </w:r>
      <w:r>
        <w:t xml:space="preserve"> abuse their positions and powers that they are given. This could then lead to very </w:t>
      </w:r>
      <w:r w:rsidR="00726504">
        <w:t>serious</w:t>
      </w:r>
      <w:r>
        <w:t xml:space="preserve"> human rights</w:t>
      </w:r>
      <w:r w:rsidR="005E32B7">
        <w:t xml:space="preserve"> violations</w:t>
      </w:r>
      <w:r w:rsidR="00694272">
        <w:t xml:space="preserve"> </w:t>
      </w:r>
      <w:sdt>
        <w:sdtPr>
          <w:id w:val="2094198128"/>
          <w:citation/>
        </w:sdtPr>
        <w:sdtContent>
          <w:r w:rsidR="00694272">
            <w:fldChar w:fldCharType="begin"/>
          </w:r>
          <w:r w:rsidR="00694272">
            <w:instrText xml:space="preserve"> CITATION Equ18 \l 2057 </w:instrText>
          </w:r>
          <w:r w:rsidR="00694272">
            <w:fldChar w:fldCharType="separate"/>
          </w:r>
          <w:r w:rsidR="00694272" w:rsidRPr="00694272">
            <w:rPr>
              <w:noProof/>
            </w:rPr>
            <w:t>(Equality and Human Rights Commission, 2018)</w:t>
          </w:r>
          <w:r w:rsidR="00694272">
            <w:fldChar w:fldCharType="end"/>
          </w:r>
        </w:sdtContent>
      </w:sdt>
      <w:r w:rsidR="00694272">
        <w:t xml:space="preserve"> </w:t>
      </w:r>
      <w:r>
        <w:t xml:space="preserve">and </w:t>
      </w:r>
      <w:r w:rsidR="00A2293A">
        <w:t>undermine public confidence</w:t>
      </w:r>
      <w:r w:rsidR="00694272">
        <w:t>.</w:t>
      </w:r>
    </w:p>
    <w:p w14:paraId="5D15A750" w14:textId="47C7CE42" w:rsidR="00A2293A" w:rsidRDefault="00A2293A">
      <w:pPr>
        <w:rPr>
          <w:b/>
          <w:bCs/>
        </w:rPr>
      </w:pPr>
    </w:p>
    <w:p w14:paraId="57408DD2" w14:textId="3179402E" w:rsidR="005E32B7" w:rsidRPr="005E32B7" w:rsidRDefault="005E32B7"/>
    <w:p w14:paraId="6630F104" w14:textId="2146DF0F" w:rsidR="006772E9" w:rsidRDefault="00A2293A">
      <w:r>
        <w:t xml:space="preserve">Evidence has demonstrated that the public trust withing the police service is very firmly tied to </w:t>
      </w:r>
      <w:r w:rsidR="00F97010">
        <w:t>perceptions</w:t>
      </w:r>
      <w:r>
        <w:t xml:space="preserve"> of police accountability for their actions </w:t>
      </w:r>
      <w:sdt>
        <w:sdtPr>
          <w:id w:val="-2072189861"/>
          <w:citation/>
        </w:sdtPr>
        <w:sdtContent>
          <w:r w:rsidR="00FB37C0">
            <w:fldChar w:fldCharType="begin"/>
          </w:r>
          <w:r w:rsidR="00FB37C0">
            <w:instrText xml:space="preserve"> CITATION Dav04 \l 2057 </w:instrText>
          </w:r>
          <w:r w:rsidR="00FB37C0">
            <w:fldChar w:fldCharType="separate"/>
          </w:r>
          <w:r w:rsidR="00FB37C0" w:rsidRPr="00FB37C0">
            <w:rPr>
              <w:noProof/>
            </w:rPr>
            <w:t>(Weisburd, 2004)</w:t>
          </w:r>
          <w:r w:rsidR="00FB37C0">
            <w:fldChar w:fldCharType="end"/>
          </w:r>
        </w:sdtContent>
      </w:sdt>
      <w:r>
        <w:t xml:space="preserve">. When the public </w:t>
      </w:r>
      <w:r w:rsidR="00F97010">
        <w:t>recognise</w:t>
      </w:r>
      <w:r w:rsidR="00AA51C9">
        <w:t xml:space="preserve"> that police officers are not being held accountable for the actions that they take with members of the public, they are significantly less likely to trust the police. This is especially true in instances where police officers have been directly accused of serious misconduct, an example being using more than reasonable force or discriminating on a particular person within society </w:t>
      </w:r>
      <w:sdt>
        <w:sdtPr>
          <w:id w:val="-1007664207"/>
          <w:citation/>
        </w:sdtPr>
        <w:sdtContent>
          <w:r w:rsidR="00FB37C0">
            <w:fldChar w:fldCharType="begin"/>
          </w:r>
          <w:r w:rsidR="00FB37C0">
            <w:instrText xml:space="preserve">CITATION Ron04 \l 2057 </w:instrText>
          </w:r>
          <w:r w:rsidR="00FB37C0">
            <w:fldChar w:fldCharType="separate"/>
          </w:r>
          <w:r w:rsidR="00FB37C0" w:rsidRPr="00FB37C0">
            <w:rPr>
              <w:noProof/>
            </w:rPr>
            <w:t>(Weitzer &amp; Tuch, 2004)</w:t>
          </w:r>
          <w:r w:rsidR="00FB37C0">
            <w:fldChar w:fldCharType="end"/>
          </w:r>
        </w:sdtContent>
      </w:sdt>
      <w:r w:rsidR="00AA51C9">
        <w:t xml:space="preserve">. Ensuring that the public trust the police service is a vital part of </w:t>
      </w:r>
      <w:r w:rsidR="00F97010">
        <w:t>society. It not only aids in the reduction of crime but helps the criminal justice system as a whole</w:t>
      </w:r>
      <w:r w:rsidR="005E32B7">
        <w:t xml:space="preserve"> </w:t>
      </w:r>
      <w:sdt>
        <w:sdtPr>
          <w:id w:val="-1956241252"/>
          <w:citation/>
        </w:sdtPr>
        <w:sdtContent>
          <w:r w:rsidR="005E32B7">
            <w:fldChar w:fldCharType="begin"/>
          </w:r>
          <w:r w:rsidR="005E32B7">
            <w:instrText xml:space="preserve"> CITATION Dav04 \l 2057 </w:instrText>
          </w:r>
          <w:r w:rsidR="005E32B7">
            <w:fldChar w:fldCharType="separate"/>
          </w:r>
          <w:r w:rsidR="005E32B7" w:rsidRPr="005E32B7">
            <w:rPr>
              <w:noProof/>
            </w:rPr>
            <w:t>(Weisburd, 2004)</w:t>
          </w:r>
          <w:r w:rsidR="005E32B7">
            <w:fldChar w:fldCharType="end"/>
          </w:r>
        </w:sdtContent>
      </w:sdt>
      <w:r w:rsidR="00F97010">
        <w:t xml:space="preserve">. </w:t>
      </w:r>
    </w:p>
    <w:p w14:paraId="3CA0CC27" w14:textId="77777777" w:rsidR="005E32B7" w:rsidRDefault="005E32B7"/>
    <w:p w14:paraId="1CF69CF2" w14:textId="472D4348" w:rsidR="006772E9" w:rsidRDefault="006772E9"/>
    <w:p w14:paraId="573E5627" w14:textId="35E30665" w:rsidR="009B4142" w:rsidRDefault="006C0249" w:rsidP="009B4142">
      <w:r>
        <w:lastRenderedPageBreak/>
        <w:t>Independent bodies such as the IOPC do more than just hold police officers accountable for their actions.  They are a vital role in improving general policing practise</w:t>
      </w:r>
      <w:r w:rsidR="007777E9">
        <w:t>,</w:t>
      </w:r>
      <w:r>
        <w:t xml:space="preserve"> and aiding the reduction of police misconduct. </w:t>
      </w:r>
      <w:r w:rsidR="00850AB9">
        <w:t>When a complaint against police is made, independent bodies investigate this complaint</w:t>
      </w:r>
      <w:r w:rsidR="007777E9">
        <w:t>,</w:t>
      </w:r>
      <w:r w:rsidR="00850AB9">
        <w:t xml:space="preserve"> and if wrong-doings have been done then the police officer is held accountable for his actions, this makes officers much more likely to think about their actions with a lot more careful considerations prior to misconduct.  This helps the public to trust in the police by creating a culture of accountability, this will ultimately lead to improved policing practise and a reduction in the dereliction of police officers</w:t>
      </w:r>
      <w:r w:rsidR="007777E9">
        <w:t xml:space="preserve"> </w:t>
      </w:r>
      <w:sdt>
        <w:sdtPr>
          <w:id w:val="-1778557924"/>
          <w:citation/>
        </w:sdtPr>
        <w:sdtContent>
          <w:r w:rsidR="007777E9">
            <w:fldChar w:fldCharType="begin"/>
          </w:r>
          <w:r w:rsidR="007777E9">
            <w:instrText xml:space="preserve"> CITATION Dav041 \l 2057 </w:instrText>
          </w:r>
          <w:r w:rsidR="007777E9">
            <w:fldChar w:fldCharType="separate"/>
          </w:r>
          <w:r w:rsidR="007777E9" w:rsidRPr="007777E9">
            <w:rPr>
              <w:noProof/>
            </w:rPr>
            <w:t>(Weisburd &amp; Eck, 2004)</w:t>
          </w:r>
          <w:r w:rsidR="007777E9">
            <w:fldChar w:fldCharType="end"/>
          </w:r>
        </w:sdtContent>
      </w:sdt>
      <w:r w:rsidR="00850AB9">
        <w:t xml:space="preserve">. </w:t>
      </w:r>
    </w:p>
    <w:p w14:paraId="4A7AA3A8" w14:textId="6F5D8E76" w:rsidR="006C0249" w:rsidRDefault="002001D7">
      <w:r>
        <w:t xml:space="preserve">Accountability within policing is widely known as a pivotal aspect, without it, policing practise would crumble. British policing is focused on consent, meaning for police to be able to carry out their functions this resides on ‘public approval of their existence, actions and behaviour’ </w:t>
      </w:r>
      <w:sdt>
        <w:sdtPr>
          <w:id w:val="-447775580"/>
          <w:citation/>
        </w:sdtPr>
        <w:sdtContent>
          <w:r>
            <w:fldChar w:fldCharType="begin"/>
          </w:r>
          <w:r>
            <w:instrText xml:space="preserve"> CITATION Ins22 \l 2057 </w:instrText>
          </w:r>
          <w:r>
            <w:fldChar w:fldCharType="separate"/>
          </w:r>
          <w:r w:rsidRPr="002001D7">
            <w:rPr>
              <w:noProof/>
            </w:rPr>
            <w:t>(Institute for Government, 2022)</w:t>
          </w:r>
          <w:r>
            <w:fldChar w:fldCharType="end"/>
          </w:r>
        </w:sdtContent>
      </w:sdt>
      <w:r>
        <w:t xml:space="preserve">. Accountability is </w:t>
      </w:r>
      <w:r w:rsidR="00496E0B">
        <w:t>essentially, a</w:t>
      </w:r>
      <w:r>
        <w:t xml:space="preserve"> vital aspect to ensure the police’s responsiveness to members of the community that they serve. Recently there have been several </w:t>
      </w:r>
      <w:proofErr w:type="gramStart"/>
      <w:r>
        <w:t>high profile</w:t>
      </w:r>
      <w:proofErr w:type="gramEnd"/>
      <w:r>
        <w:t xml:space="preserve"> incidents that have put strain on the delicate relationship between the police and the public, highlighting the need for strengthened accountability between the police and the public </w:t>
      </w:r>
      <w:sdt>
        <w:sdtPr>
          <w:id w:val="1572161318"/>
          <w:citation/>
        </w:sdtPr>
        <w:sdtContent>
          <w:r>
            <w:fldChar w:fldCharType="begin"/>
          </w:r>
          <w:r>
            <w:instrText xml:space="preserve"> CITATION Ins22 \l 2057 </w:instrText>
          </w:r>
          <w:r>
            <w:fldChar w:fldCharType="separate"/>
          </w:r>
          <w:r w:rsidRPr="002001D7">
            <w:rPr>
              <w:noProof/>
            </w:rPr>
            <w:t>(Institute for Government, 2022)</w:t>
          </w:r>
          <w:r>
            <w:fldChar w:fldCharType="end"/>
          </w:r>
        </w:sdtContent>
      </w:sdt>
      <w:r>
        <w:t xml:space="preserve">. Showing the ever-growing need for independent bodies to help ensure accountability and transparency between the police and the communities that they serve. </w:t>
      </w:r>
    </w:p>
    <w:p w14:paraId="73B2411E" w14:textId="661255A3" w:rsidR="006772E9" w:rsidRDefault="006772E9"/>
    <w:p w14:paraId="7CCAB021" w14:textId="6BA2D12D" w:rsidR="0067688B" w:rsidRDefault="009B4142">
      <w:r>
        <w:t xml:space="preserve">The police service strives for lawfulness and legitimacy, these are in turn are essential aspects of gaining the trust of the public. Ultimately, they are both also essential for police, to achieve their goals of reducing crime and disorder, which subsequently will enhance the quality of life, to members of the public within the communities that they serve. </w:t>
      </w:r>
      <w:r w:rsidR="0067688B">
        <w:t>Lacking legitimacy</w:t>
      </w:r>
      <w:r w:rsidR="007777E9">
        <w:t>,</w:t>
      </w:r>
      <w:r w:rsidR="0067688B">
        <w:t xml:space="preserve"> within a government such as the police</w:t>
      </w:r>
      <w:r w:rsidR="007777E9">
        <w:t>,</w:t>
      </w:r>
      <w:r w:rsidR="0067688B">
        <w:t xml:space="preserve"> hinders the development of working partnerships which are a vital aspect in community policing as well as problem orientated policin</w:t>
      </w:r>
      <w:r w:rsidR="00457023">
        <w:t xml:space="preserve">g </w:t>
      </w:r>
      <w:sdt>
        <w:sdtPr>
          <w:id w:val="565760181"/>
          <w:citation/>
        </w:sdtPr>
        <w:sdtContent>
          <w:r w:rsidR="00457023">
            <w:fldChar w:fldCharType="begin"/>
          </w:r>
          <w:r w:rsidR="00457023">
            <w:instrText xml:space="preserve"> CITATION Her90 \l 2057 </w:instrText>
          </w:r>
          <w:r w:rsidR="00457023">
            <w:fldChar w:fldCharType="separate"/>
          </w:r>
          <w:r w:rsidR="00457023" w:rsidRPr="00457023">
            <w:rPr>
              <w:noProof/>
            </w:rPr>
            <w:t>(Goldstein, 1990)</w:t>
          </w:r>
          <w:r w:rsidR="00457023">
            <w:fldChar w:fldCharType="end"/>
          </w:r>
        </w:sdtContent>
      </w:sdt>
      <w:r w:rsidR="00457023">
        <w:t xml:space="preserve"> </w:t>
      </w:r>
      <w:sdt>
        <w:sdtPr>
          <w:id w:val="840202129"/>
          <w:citation/>
        </w:sdtPr>
        <w:sdtContent>
          <w:r w:rsidR="00457023">
            <w:fldChar w:fldCharType="begin"/>
          </w:r>
          <w:r w:rsidR="00457023">
            <w:instrText xml:space="preserve"> CITATION Mic00 \l 2057 </w:instrText>
          </w:r>
          <w:r w:rsidR="00457023">
            <w:fldChar w:fldCharType="separate"/>
          </w:r>
          <w:r w:rsidR="00457023" w:rsidRPr="00457023">
            <w:rPr>
              <w:noProof/>
            </w:rPr>
            <w:t>(Scott, 2000)</w:t>
          </w:r>
          <w:r w:rsidR="00457023">
            <w:fldChar w:fldCharType="end"/>
          </w:r>
        </w:sdtContent>
      </w:sdt>
      <w:r w:rsidR="00457023">
        <w:t>.</w:t>
      </w:r>
      <w:r w:rsidR="001E461E">
        <w:t xml:space="preserve"> Opposed to the widely believed principles</w:t>
      </w:r>
      <w:r w:rsidR="007777E9">
        <w:t>,</w:t>
      </w:r>
      <w:r w:rsidR="001E461E">
        <w:t xml:space="preserve"> that effective crime control and respect for statutory principles are competing values in policing </w:t>
      </w:r>
      <w:sdt>
        <w:sdtPr>
          <w:id w:val="-1819329877"/>
          <w:citation/>
        </w:sdtPr>
        <w:sdtContent>
          <w:r w:rsidR="001E461E">
            <w:fldChar w:fldCharType="begin"/>
          </w:r>
          <w:r w:rsidR="001E461E">
            <w:instrText xml:space="preserve"> CITATION Her68 \l 2057 </w:instrText>
          </w:r>
          <w:r w:rsidR="001E461E">
            <w:fldChar w:fldCharType="separate"/>
          </w:r>
          <w:r w:rsidR="001E461E" w:rsidRPr="001E461E">
            <w:rPr>
              <w:noProof/>
            </w:rPr>
            <w:t>(Packer, 1968)</w:t>
          </w:r>
          <w:r w:rsidR="001E461E">
            <w:fldChar w:fldCharType="end"/>
          </w:r>
        </w:sdtContent>
      </w:sdt>
      <w:r w:rsidR="001E461E">
        <w:t xml:space="preserve">. Well respected people adverse in this field recognise that lawful conduct and accountability are essential for crime fighting </w:t>
      </w:r>
      <w:sdt>
        <w:sdtPr>
          <w:id w:val="-1655436215"/>
          <w:citation/>
        </w:sdtPr>
        <w:sdtContent>
          <w:r w:rsidR="001E461E">
            <w:fldChar w:fldCharType="begin"/>
          </w:r>
          <w:r w:rsidR="001E461E">
            <w:instrText xml:space="preserve"> CITATION Bay02 \l 2057 </w:instrText>
          </w:r>
          <w:r w:rsidR="001E461E">
            <w:fldChar w:fldCharType="separate"/>
          </w:r>
          <w:r w:rsidR="001E461E" w:rsidRPr="001E461E">
            <w:rPr>
              <w:noProof/>
            </w:rPr>
            <w:t>(Bayley, 2002)</w:t>
          </w:r>
          <w:r w:rsidR="001E461E">
            <w:fldChar w:fldCharType="end"/>
          </w:r>
        </w:sdtContent>
      </w:sdt>
      <w:r w:rsidR="001E461E">
        <w:t>.</w:t>
      </w:r>
    </w:p>
    <w:p w14:paraId="0C6F0FCB" w14:textId="1BBDA7E1" w:rsidR="009B4142" w:rsidRDefault="009B4142"/>
    <w:p w14:paraId="55DE2101" w14:textId="77777777" w:rsidR="009B4142" w:rsidRDefault="009B4142"/>
    <w:p w14:paraId="677B0E97" w14:textId="281981D3" w:rsidR="001E461E" w:rsidRDefault="006772E9">
      <w:r>
        <w:t>In conclusion, it is a vital part of accountable within the police service that independent bodies hold them accountable for their actions. This is vital to help maintain public trust within the police service</w:t>
      </w:r>
      <w:r w:rsidR="00605E43">
        <w:t xml:space="preserve">. It </w:t>
      </w:r>
      <w:r w:rsidR="007777E9">
        <w:t>also</w:t>
      </w:r>
      <w:r w:rsidR="00605E43">
        <w:t xml:space="preserve"> helps to reduce the number of incidents involving police misconduct, which leads to better policing practice for the communities that they serve. These independent bodies</w:t>
      </w:r>
      <w:r w:rsidR="007777E9">
        <w:t>,</w:t>
      </w:r>
      <w:r w:rsidR="00605E43">
        <w:t xml:space="preserve"> ensure that police officers across the country are held to high standards of conduct, ensuring that the police code </w:t>
      </w:r>
      <w:r w:rsidR="007777E9">
        <w:t xml:space="preserve">of ethics </w:t>
      </w:r>
      <w:sdt>
        <w:sdtPr>
          <w:id w:val="-1679881516"/>
          <w:citation/>
        </w:sdtPr>
        <w:sdtContent>
          <w:r w:rsidR="007777E9">
            <w:fldChar w:fldCharType="begin"/>
          </w:r>
          <w:r w:rsidR="007777E9">
            <w:instrText xml:space="preserve"> CITATION Col14 \l 2057 </w:instrText>
          </w:r>
          <w:r w:rsidR="007777E9">
            <w:fldChar w:fldCharType="separate"/>
          </w:r>
          <w:r w:rsidR="007777E9" w:rsidRPr="007777E9">
            <w:rPr>
              <w:noProof/>
            </w:rPr>
            <w:t>(College of Policing, 2014)</w:t>
          </w:r>
          <w:r w:rsidR="007777E9">
            <w:fldChar w:fldCharType="end"/>
          </w:r>
        </w:sdtContent>
      </w:sdt>
      <w:r w:rsidR="00605E43">
        <w:t xml:space="preserve"> of transparency are upheld at all times.</w:t>
      </w:r>
      <w:r w:rsidR="009B4142">
        <w:t xml:space="preserve"> Not only are independent bodies beneficial to members of the public</w:t>
      </w:r>
      <w:r w:rsidR="007777E9">
        <w:t>;</w:t>
      </w:r>
      <w:r w:rsidR="009B4142">
        <w:t xml:space="preserve"> but they in turn, also aid the police but ensuring prestigious policing practice is being carried out force wide, ultimately leading to public satisfaction and the improvement of the widened criminal justice system. </w:t>
      </w:r>
    </w:p>
    <w:p w14:paraId="75964082" w14:textId="238B469D" w:rsidR="00496E0B" w:rsidRDefault="00496E0B">
      <w:r>
        <w:t>942 words</w:t>
      </w:r>
    </w:p>
    <w:p w14:paraId="3120B147" w14:textId="4E3DCC21" w:rsidR="004A480F" w:rsidRDefault="004A480F"/>
    <w:p w14:paraId="33CCF7F0" w14:textId="595085E2" w:rsidR="004A480F" w:rsidRDefault="004A480F"/>
    <w:p w14:paraId="012D04D3" w14:textId="371EBE56" w:rsidR="004A480F" w:rsidRDefault="004A480F"/>
    <w:p w14:paraId="56CC51FA" w14:textId="66C1EAFC" w:rsidR="005013BA" w:rsidRDefault="005013BA"/>
    <w:sdt>
      <w:sdtPr>
        <w:id w:val="18088964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771B590" w14:textId="3C842E17" w:rsidR="005013BA" w:rsidRDefault="005013BA">
          <w:pPr>
            <w:pStyle w:val="Heading1"/>
          </w:pPr>
          <w:r>
            <w:t>Bibliography</w:t>
          </w:r>
        </w:p>
        <w:sdt>
          <w:sdtPr>
            <w:id w:val="111145805"/>
            <w:bibliography/>
          </w:sdtPr>
          <w:sdtContent>
            <w:p w14:paraId="15557BCF" w14:textId="77777777" w:rsidR="005013BA" w:rsidRDefault="005013BA" w:rsidP="005013BA">
              <w:pPr>
                <w:pStyle w:val="Bibliography"/>
                <w:rPr>
                  <w:noProof/>
                  <w:sz w:val="24"/>
                  <w:szCs w:val="24"/>
                  <w:lang w:val="en-US"/>
                </w:rPr>
              </w:pPr>
              <w:r>
                <w:fldChar w:fldCharType="begin"/>
              </w:r>
              <w:r>
                <w:instrText xml:space="preserve"> BIBLIOGRAPHY </w:instrText>
              </w:r>
              <w:r>
                <w:fldChar w:fldCharType="separate"/>
              </w:r>
              <w:r>
                <w:rPr>
                  <w:noProof/>
                  <w:lang w:val="en-US"/>
                </w:rPr>
                <w:t xml:space="preserve">Anglia Ruskin University , 2022. </w:t>
              </w:r>
              <w:r>
                <w:rPr>
                  <w:i/>
                  <w:iCs/>
                  <w:noProof/>
                  <w:lang w:val="en-US"/>
                </w:rPr>
                <w:t xml:space="preserve">National Review of the Multi Agency Public Protection Arrangements. </w:t>
              </w:r>
              <w:r>
                <w:rPr>
                  <w:noProof/>
                  <w:lang w:val="en-US"/>
                </w:rPr>
                <w:t xml:space="preserve">[Online] </w:t>
              </w:r>
              <w:r>
                <w:rPr>
                  <w:noProof/>
                  <w:lang w:val="en-US"/>
                </w:rPr>
                <w:br/>
                <w:t xml:space="preserve">Available at: </w:t>
              </w:r>
              <w:r>
                <w:rPr>
                  <w:noProof/>
                  <w:u w:val="single"/>
                  <w:lang w:val="en-US"/>
                </w:rPr>
                <w:t>https://aru.ac.uk/policing-institute/research/mappa#</w:t>
              </w:r>
              <w:r>
                <w:rPr>
                  <w:noProof/>
                  <w:lang w:val="en-US"/>
                </w:rPr>
                <w:br/>
                <w:t>[Accessed 27 January 2023].</w:t>
              </w:r>
            </w:p>
            <w:p w14:paraId="0B7B7564" w14:textId="77777777" w:rsidR="005013BA" w:rsidRDefault="005013BA" w:rsidP="005013BA">
              <w:pPr>
                <w:pStyle w:val="Bibliography"/>
                <w:rPr>
                  <w:noProof/>
                  <w:lang w:val="en-US"/>
                </w:rPr>
              </w:pPr>
              <w:r>
                <w:rPr>
                  <w:noProof/>
                  <w:lang w:val="en-US"/>
                </w:rPr>
                <w:t xml:space="preserve">Bayley, D., 2002. Law Enforcement and the Rule of Law. </w:t>
              </w:r>
              <w:r>
                <w:rPr>
                  <w:i/>
                  <w:iCs/>
                  <w:noProof/>
                  <w:lang w:val="en-US"/>
                </w:rPr>
                <w:t>Criminology and Public Policy 2</w:t>
              </w:r>
              <w:r>
                <w:rPr>
                  <w:noProof/>
                  <w:lang w:val="en-US"/>
                </w:rPr>
                <w:t>, 1 November, pp. 133-154.</w:t>
              </w:r>
            </w:p>
            <w:p w14:paraId="1A5331DB" w14:textId="77777777" w:rsidR="005013BA" w:rsidRDefault="005013BA" w:rsidP="005013BA">
              <w:pPr>
                <w:pStyle w:val="Bibliography"/>
                <w:rPr>
                  <w:noProof/>
                  <w:lang w:val="en-US"/>
                </w:rPr>
              </w:pPr>
              <w:r>
                <w:rPr>
                  <w:noProof/>
                  <w:lang w:val="en-US"/>
                </w:rPr>
                <w:t xml:space="preserve">Childrens Commisioner, 2021. </w:t>
              </w:r>
              <w:r>
                <w:rPr>
                  <w:i/>
                  <w:iCs/>
                  <w:noProof/>
                  <w:lang w:val="en-US"/>
                </w:rPr>
                <w:t xml:space="preserve">Children will keep dying on our streets until there is a joined up public health response to gangs. </w:t>
              </w:r>
              <w:r>
                <w:rPr>
                  <w:noProof/>
                  <w:lang w:val="en-US"/>
                </w:rPr>
                <w:t xml:space="preserve">[Online] </w:t>
              </w:r>
              <w:r>
                <w:rPr>
                  <w:noProof/>
                  <w:lang w:val="en-US"/>
                </w:rPr>
                <w:br/>
                <w:t xml:space="preserve">Available at: </w:t>
              </w:r>
              <w:r>
                <w:rPr>
                  <w:noProof/>
                  <w:u w:val="single"/>
                  <w:lang w:val="en-US"/>
                </w:rPr>
                <w:t>https://www.childrenscommissioner.gov.uk/2021/02/06/children-will-keep-dying-on-our-streets-until-there-is-a-joined-up-public-health-response-to-gangs/</w:t>
              </w:r>
              <w:r>
                <w:rPr>
                  <w:noProof/>
                  <w:lang w:val="en-US"/>
                </w:rPr>
                <w:br/>
                <w:t>[Accessed 21 January 2023].</w:t>
              </w:r>
            </w:p>
            <w:p w14:paraId="04AC5EB3" w14:textId="77777777" w:rsidR="005013BA" w:rsidRDefault="005013BA" w:rsidP="005013BA">
              <w:pPr>
                <w:pStyle w:val="Bibliography"/>
                <w:rPr>
                  <w:noProof/>
                  <w:lang w:val="en-US"/>
                </w:rPr>
              </w:pPr>
              <w:r>
                <w:rPr>
                  <w:noProof/>
                  <w:lang w:val="en-US"/>
                </w:rPr>
                <w:t xml:space="preserve">Childrens Commissioner, 2019. </w:t>
              </w:r>
              <w:r>
                <w:rPr>
                  <w:i/>
                  <w:iCs/>
                  <w:noProof/>
                  <w:lang w:val="en-US"/>
                </w:rPr>
                <w:t xml:space="preserve">The same mistakes that led to child sexual exploitation are being repeated with gangs. </w:t>
              </w:r>
              <w:r>
                <w:rPr>
                  <w:noProof/>
                  <w:lang w:val="en-US"/>
                </w:rPr>
                <w:t xml:space="preserve">[Online] </w:t>
              </w:r>
              <w:r>
                <w:rPr>
                  <w:noProof/>
                  <w:lang w:val="en-US"/>
                </w:rPr>
                <w:br/>
                <w:t xml:space="preserve">Available at: </w:t>
              </w:r>
              <w:r>
                <w:rPr>
                  <w:noProof/>
                  <w:u w:val="single"/>
                  <w:lang w:val="en-US"/>
                </w:rPr>
                <w:t>https://www.childrenscommissioner.gov.uk/2019/02/28/childrens-commissioner-for-england-warns-the-same-mistakes-that-led-to-child-sexual-exploitation-failings-are-being-repeated-with-gangs/</w:t>
              </w:r>
              <w:r>
                <w:rPr>
                  <w:noProof/>
                  <w:lang w:val="en-US"/>
                </w:rPr>
                <w:br/>
                <w:t>[Accessed 20 January 2023].</w:t>
              </w:r>
            </w:p>
            <w:p w14:paraId="63B9BF15" w14:textId="77777777" w:rsidR="005013BA" w:rsidRDefault="005013BA" w:rsidP="005013BA">
              <w:pPr>
                <w:pStyle w:val="Bibliography"/>
                <w:rPr>
                  <w:noProof/>
                  <w:lang w:val="en-US"/>
                </w:rPr>
              </w:pPr>
              <w:r>
                <w:rPr>
                  <w:noProof/>
                  <w:lang w:val="en-US"/>
                </w:rPr>
                <w:t xml:space="preserve">Childrens Commissioner, 2019. </w:t>
              </w:r>
              <w:r>
                <w:rPr>
                  <w:i/>
                  <w:iCs/>
                  <w:noProof/>
                  <w:lang w:val="en-US"/>
                </w:rPr>
                <w:t xml:space="preserve">The same mistakes that led to child sexual exploitation are being repeated with gangs. </w:t>
              </w:r>
              <w:r>
                <w:rPr>
                  <w:noProof/>
                  <w:lang w:val="en-US"/>
                </w:rPr>
                <w:t xml:space="preserve">[Online] </w:t>
              </w:r>
              <w:r>
                <w:rPr>
                  <w:noProof/>
                  <w:lang w:val="en-US"/>
                </w:rPr>
                <w:br/>
                <w:t xml:space="preserve">Available at: </w:t>
              </w:r>
              <w:r>
                <w:rPr>
                  <w:noProof/>
                  <w:u w:val="single"/>
                  <w:lang w:val="en-US"/>
                </w:rPr>
                <w:t>https://www.childrenscommissioner.gov.uk/2019/02/28/childrens-commissioner-for-england-warns-the-same-mistakes-that-led-to-child-sexual-exploitation-failings-are-being-repeated-with-gangs/</w:t>
              </w:r>
              <w:r>
                <w:rPr>
                  <w:noProof/>
                  <w:lang w:val="en-US"/>
                </w:rPr>
                <w:br/>
                <w:t>[Accessed 25 January 2023].</w:t>
              </w:r>
            </w:p>
            <w:p w14:paraId="67E48276" w14:textId="77777777" w:rsidR="005013BA" w:rsidRDefault="005013BA" w:rsidP="005013BA">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18 January 2023].</w:t>
              </w:r>
            </w:p>
            <w:p w14:paraId="446DD00B" w14:textId="77777777" w:rsidR="005013BA" w:rsidRDefault="005013BA" w:rsidP="005013BA">
              <w:pPr>
                <w:pStyle w:val="Bibliography"/>
                <w:rPr>
                  <w:noProof/>
                  <w:lang w:val="en-US"/>
                </w:rPr>
              </w:pPr>
              <w:r>
                <w:rPr>
                  <w:noProof/>
                  <w:lang w:val="en-US"/>
                </w:rPr>
                <w:t xml:space="preserve">Conduct, Independent Office for Police, 2020. </w:t>
              </w:r>
              <w:r>
                <w:rPr>
                  <w:i/>
                  <w:iCs/>
                  <w:noProof/>
                  <w:lang w:val="en-US"/>
                </w:rPr>
                <w:t xml:space="preserve">Accountability and performance. </w:t>
              </w:r>
              <w:r>
                <w:rPr>
                  <w:noProof/>
                  <w:lang w:val="en-US"/>
                </w:rPr>
                <w:t xml:space="preserve">[Online] </w:t>
              </w:r>
              <w:r>
                <w:rPr>
                  <w:noProof/>
                  <w:lang w:val="en-US"/>
                </w:rPr>
                <w:br/>
                <w:t xml:space="preserve">Available at: </w:t>
              </w:r>
              <w:r>
                <w:rPr>
                  <w:noProof/>
                  <w:u w:val="single"/>
                  <w:lang w:val="en-US"/>
                </w:rPr>
                <w:t>https://www.policeconduct.gov.uk/who-we-are/accountability-and-performance</w:t>
              </w:r>
              <w:r>
                <w:rPr>
                  <w:noProof/>
                  <w:lang w:val="en-US"/>
                </w:rPr>
                <w:br/>
                <w:t>[Accessed 4 Febuary 2023].</w:t>
              </w:r>
            </w:p>
            <w:p w14:paraId="43D31468" w14:textId="77777777" w:rsidR="005013BA" w:rsidRDefault="005013BA" w:rsidP="005013BA">
              <w:pPr>
                <w:pStyle w:val="Bibliography"/>
                <w:rPr>
                  <w:noProof/>
                  <w:lang w:val="en-US"/>
                </w:rPr>
              </w:pPr>
              <w:r>
                <w:rPr>
                  <w:noProof/>
                  <w:lang w:val="en-US"/>
                </w:rPr>
                <w:t xml:space="preserve">Crime and Investigation, 2023. </w:t>
              </w:r>
              <w:r>
                <w:rPr>
                  <w:i/>
                  <w:iCs/>
                  <w:noProof/>
                  <w:lang w:val="en-US"/>
                </w:rPr>
                <w:t xml:space="preserve">The murder of Stephen Lawrence. </w:t>
              </w:r>
              <w:r>
                <w:rPr>
                  <w:noProof/>
                  <w:lang w:val="en-US"/>
                </w:rPr>
                <w:t xml:space="preserve">[Online] </w:t>
              </w:r>
              <w:r>
                <w:rPr>
                  <w:noProof/>
                  <w:lang w:val="en-US"/>
                </w:rPr>
                <w:br/>
                <w:t xml:space="preserve">Available at: </w:t>
              </w:r>
              <w:r>
                <w:rPr>
                  <w:noProof/>
                  <w:u w:val="single"/>
                  <w:lang w:val="en-US"/>
                </w:rPr>
                <w:t>https://www.crimeandinvestigation.co.uk/article/the-murder-of-stephen-lawrence</w:t>
              </w:r>
              <w:r>
                <w:rPr>
                  <w:noProof/>
                  <w:lang w:val="en-US"/>
                </w:rPr>
                <w:br/>
                <w:t>[Accessed 5 Febuary 2023].</w:t>
              </w:r>
            </w:p>
            <w:p w14:paraId="13C2AE87" w14:textId="77777777" w:rsidR="005013BA" w:rsidRDefault="005013BA" w:rsidP="005013BA">
              <w:pPr>
                <w:pStyle w:val="Bibliography"/>
                <w:rPr>
                  <w:noProof/>
                  <w:lang w:val="en-US"/>
                </w:rPr>
              </w:pPr>
              <w:r>
                <w:rPr>
                  <w:noProof/>
                  <w:lang w:val="en-US"/>
                </w:rPr>
                <w:t xml:space="preserve">DeGeneste, H., 1997. Policing a Multicultural Community. </w:t>
              </w:r>
              <w:r>
                <w:rPr>
                  <w:i/>
                  <w:iCs/>
                  <w:noProof/>
                  <w:lang w:val="en-US"/>
                </w:rPr>
                <w:t xml:space="preserve">Fresh Perspectives, </w:t>
              </w:r>
              <w:r>
                <w:rPr>
                  <w:noProof/>
                  <w:lang w:val="en-US"/>
                </w:rPr>
                <w:t>p. 25.</w:t>
              </w:r>
            </w:p>
            <w:p w14:paraId="2EAE353B" w14:textId="77777777" w:rsidR="005013BA" w:rsidRDefault="005013BA" w:rsidP="005013BA">
              <w:pPr>
                <w:pStyle w:val="Bibliography"/>
                <w:rPr>
                  <w:noProof/>
                  <w:lang w:val="en-US"/>
                </w:rPr>
              </w:pPr>
              <w:r>
                <w:rPr>
                  <w:noProof/>
                  <w:lang w:val="en-US"/>
                </w:rPr>
                <w:t xml:space="preserve">Equality and Human Rights Commission, 2018. </w:t>
              </w:r>
              <w:r>
                <w:rPr>
                  <w:i/>
                  <w:iCs/>
                  <w:noProof/>
                  <w:lang w:val="en-US"/>
                </w:rPr>
                <w:t xml:space="preserve">The Human Rights Act. </w:t>
              </w:r>
              <w:r>
                <w:rPr>
                  <w:noProof/>
                  <w:lang w:val="en-US"/>
                </w:rPr>
                <w:t xml:space="preserve">[Online] </w:t>
              </w:r>
              <w:r>
                <w:rPr>
                  <w:noProof/>
                  <w:lang w:val="en-US"/>
                </w:rPr>
                <w:br/>
                <w:t xml:space="preserve">Available at: </w:t>
              </w:r>
              <w:r>
                <w:rPr>
                  <w:noProof/>
                  <w:u w:val="single"/>
                  <w:lang w:val="en-US"/>
                </w:rPr>
                <w:t>https://www.equalityhumanrights.com/en/human-rights/human-rights-act</w:t>
              </w:r>
              <w:r>
                <w:rPr>
                  <w:noProof/>
                  <w:lang w:val="en-US"/>
                </w:rPr>
                <w:br/>
                <w:t>[Accessed 4 Febuary 2023].</w:t>
              </w:r>
            </w:p>
            <w:p w14:paraId="6C3CD725" w14:textId="77777777" w:rsidR="005013BA" w:rsidRDefault="005013BA" w:rsidP="005013BA">
              <w:pPr>
                <w:pStyle w:val="Bibliography"/>
                <w:rPr>
                  <w:noProof/>
                  <w:lang w:val="en-US"/>
                </w:rPr>
              </w:pPr>
              <w:r>
                <w:rPr>
                  <w:noProof/>
                  <w:lang w:val="en-US"/>
                </w:rPr>
                <w:t>Freeman, R., 1991. CRIME AND THE EMPLOYMENT OF DISADVANTAGED YOUTHS. 1 October, pp. 1-40.</w:t>
              </w:r>
            </w:p>
            <w:p w14:paraId="7516A7EA" w14:textId="77777777" w:rsidR="005013BA" w:rsidRDefault="005013BA" w:rsidP="005013BA">
              <w:pPr>
                <w:pStyle w:val="Bibliography"/>
                <w:rPr>
                  <w:noProof/>
                  <w:lang w:val="en-US"/>
                </w:rPr>
              </w:pPr>
              <w:r>
                <w:rPr>
                  <w:noProof/>
                  <w:lang w:val="en-US"/>
                </w:rPr>
                <w:lastRenderedPageBreak/>
                <w:t xml:space="preserve">Goldstein, H., 1990. </w:t>
              </w:r>
              <w:r>
                <w:rPr>
                  <w:i/>
                  <w:iCs/>
                  <w:noProof/>
                  <w:lang w:val="en-US"/>
                </w:rPr>
                <w:t xml:space="preserve">Problem-Orentated Policing, </w:t>
              </w:r>
              <w:r>
                <w:rPr>
                  <w:noProof/>
                  <w:lang w:val="en-US"/>
                </w:rPr>
                <w:t>New York: McGraw-Hill.</w:t>
              </w:r>
            </w:p>
            <w:p w14:paraId="0134B76B" w14:textId="77777777" w:rsidR="005013BA" w:rsidRDefault="005013BA" w:rsidP="005013BA">
              <w:pPr>
                <w:pStyle w:val="Bibliography"/>
                <w:rPr>
                  <w:noProof/>
                  <w:lang w:val="en-US"/>
                </w:rPr>
              </w:pPr>
              <w:r>
                <w:rPr>
                  <w:noProof/>
                  <w:lang w:val="en-US"/>
                </w:rPr>
                <w:t xml:space="preserve">Greaves, G., 1984. The Brixton disorders. In: J. Benyon, ed. </w:t>
              </w:r>
              <w:r>
                <w:rPr>
                  <w:i/>
                  <w:iCs/>
                  <w:noProof/>
                  <w:lang w:val="en-US"/>
                </w:rPr>
                <w:t xml:space="preserve">Lord Scarman's Report, the Riots and their Aftermath. </w:t>
              </w:r>
              <w:r>
                <w:rPr>
                  <w:noProof/>
                  <w:lang w:val="en-US"/>
                </w:rPr>
                <w:t>Brixton: Elsevier Ltd, pp. 63-72.</w:t>
              </w:r>
            </w:p>
            <w:p w14:paraId="5E6D3DA4" w14:textId="77777777" w:rsidR="005013BA" w:rsidRDefault="005013BA" w:rsidP="005013BA">
              <w:pPr>
                <w:pStyle w:val="Bibliography"/>
                <w:rPr>
                  <w:noProof/>
                  <w:lang w:val="en-US"/>
                </w:rPr>
              </w:pPr>
              <w:r>
                <w:rPr>
                  <w:noProof/>
                  <w:lang w:val="en-US"/>
                </w:rPr>
                <w:t xml:space="preserve">Home Office, 2018. </w:t>
              </w:r>
              <w:r>
                <w:rPr>
                  <w:i/>
                  <w:iCs/>
                  <w:noProof/>
                  <w:lang w:val="en-US"/>
                </w:rPr>
                <w:t xml:space="preserve">Criminal Exploitation of children and vulnerable adults: County Lines guidance.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https://assets.publishing.service.gov.uk/government/uploads/system/uploads/attachment_data/file/863323/HOCountyLinesGuidance_-_Sept2018.pdf</w:t>
              </w:r>
              <w:r>
                <w:rPr>
                  <w:noProof/>
                  <w:lang w:val="en-US"/>
                </w:rPr>
                <w:br/>
                <w:t>[Accessed 22 January 2023].</w:t>
              </w:r>
            </w:p>
            <w:p w14:paraId="1FE29825" w14:textId="77777777" w:rsidR="005013BA" w:rsidRDefault="005013BA" w:rsidP="005013BA">
              <w:pPr>
                <w:pStyle w:val="Bibliography"/>
                <w:rPr>
                  <w:noProof/>
                  <w:lang w:val="en-US"/>
                </w:rPr>
              </w:pPr>
              <w:r>
                <w:rPr>
                  <w:noProof/>
                  <w:lang w:val="en-US"/>
                </w:rPr>
                <w:t xml:space="preserve">Institute for Government, 2022. </w:t>
              </w:r>
              <w:r>
                <w:rPr>
                  <w:i/>
                  <w:iCs/>
                  <w:noProof/>
                  <w:lang w:val="en-US"/>
                </w:rPr>
                <w:t xml:space="preserve">Police Accountability. </w:t>
              </w:r>
              <w:r>
                <w:rPr>
                  <w:noProof/>
                  <w:lang w:val="en-US"/>
                </w:rPr>
                <w:t xml:space="preserve">[Online] </w:t>
              </w:r>
              <w:r>
                <w:rPr>
                  <w:noProof/>
                  <w:lang w:val="en-US"/>
                </w:rPr>
                <w:br/>
                <w:t xml:space="preserve">Available at: </w:t>
              </w:r>
              <w:r>
                <w:rPr>
                  <w:noProof/>
                  <w:u w:val="single"/>
                  <w:lang w:val="en-US"/>
                </w:rPr>
                <w:t>https://www.instituteforgovernment.org.uk/article/explainer/police-accountability#:~:text=Accountability%20is%20therefore%20essential%20to,the%20need%20for%20strengthened%20accountability.</w:t>
              </w:r>
              <w:r>
                <w:rPr>
                  <w:noProof/>
                  <w:lang w:val="en-US"/>
                </w:rPr>
                <w:br/>
                <w:t>[Accessed 5 Febuary 2023].</w:t>
              </w:r>
            </w:p>
            <w:p w14:paraId="52F38108" w14:textId="77777777" w:rsidR="005013BA" w:rsidRDefault="005013BA" w:rsidP="005013BA">
              <w:pPr>
                <w:pStyle w:val="Bibliography"/>
                <w:rPr>
                  <w:noProof/>
                  <w:lang w:val="en-US"/>
                </w:rPr>
              </w:pPr>
              <w:r>
                <w:rPr>
                  <w:noProof/>
                  <w:lang w:val="en-US"/>
                </w:rPr>
                <w:t xml:space="preserve">Justice Inspectorates, 2021. </w:t>
              </w:r>
              <w:r>
                <w:rPr>
                  <w:i/>
                  <w:iCs/>
                  <w:noProof/>
                  <w:lang w:val="en-US"/>
                </w:rPr>
                <w:t xml:space="preserve">Multi-agency public protection arrangements. </w:t>
              </w:r>
              <w:r>
                <w:rPr>
                  <w:noProof/>
                  <w:lang w:val="en-US"/>
                </w:rPr>
                <w:t xml:space="preserve">[Online] </w:t>
              </w:r>
              <w:r>
                <w:rPr>
                  <w:noProof/>
                  <w:lang w:val="en-US"/>
                </w:rPr>
                <w:br/>
                <w:t xml:space="preserve">Available at: </w:t>
              </w:r>
              <w:r>
                <w:rPr>
                  <w:noProof/>
                  <w:u w:val="single"/>
                  <w:lang w:val="en-US"/>
                </w:rPr>
                <w:t>https://www.justiceinspectorates.gov.uk/hmiprobation/research/the-evidence-base-probation/specific-types-of-delivery/mappa/</w:t>
              </w:r>
              <w:r>
                <w:rPr>
                  <w:noProof/>
                  <w:lang w:val="en-US"/>
                </w:rPr>
                <w:br/>
                <w:t>[Accessed 28 January 2023].</w:t>
              </w:r>
            </w:p>
            <w:p w14:paraId="62A9F595" w14:textId="77777777" w:rsidR="005013BA" w:rsidRDefault="005013BA" w:rsidP="005013BA">
              <w:pPr>
                <w:pStyle w:val="Bibliography"/>
                <w:rPr>
                  <w:noProof/>
                  <w:lang w:val="en-US"/>
                </w:rPr>
              </w:pPr>
              <w:r>
                <w:rPr>
                  <w:noProof/>
                  <w:lang w:val="en-US"/>
                </w:rPr>
                <w:t xml:space="preserve">Justice Inspectorates, 2022. </w:t>
              </w:r>
              <w:r>
                <w:rPr>
                  <w:i/>
                  <w:iCs/>
                  <w:noProof/>
                  <w:lang w:val="en-US"/>
                </w:rPr>
                <w:t xml:space="preserve">Effective practice guide. </w:t>
              </w:r>
              <w:r>
                <w:rPr>
                  <w:noProof/>
                  <w:lang w:val="en-US"/>
                </w:rPr>
                <w:t xml:space="preserve">[Online] </w:t>
              </w:r>
              <w:r>
                <w:rPr>
                  <w:noProof/>
                  <w:lang w:val="en-US"/>
                </w:rPr>
                <w:br/>
                <w:t xml:space="preserve">Available at: </w:t>
              </w:r>
              <w:r>
                <w:rPr>
                  <w:noProof/>
                  <w:u w:val="single"/>
                  <w:lang w:val="en-US"/>
                </w:rPr>
                <w:t>https://www.justiceinspectorates.gov.uk/hmiprobation/wp-content/uploads/sites/5/2022/07/MAPPA-EP-Guide-design-v1.0.pdf</w:t>
              </w:r>
              <w:r>
                <w:rPr>
                  <w:noProof/>
                  <w:lang w:val="en-US"/>
                </w:rPr>
                <w:br/>
                <w:t>[Accessed 28 January 2023].</w:t>
              </w:r>
            </w:p>
            <w:p w14:paraId="2D3F41A0" w14:textId="77777777" w:rsidR="005013BA" w:rsidRDefault="005013BA" w:rsidP="005013BA">
              <w:pPr>
                <w:pStyle w:val="Bibliography"/>
                <w:rPr>
                  <w:noProof/>
                  <w:lang w:val="en-US"/>
                </w:rPr>
              </w:pPr>
              <w:r>
                <w:rPr>
                  <w:noProof/>
                  <w:lang w:val="en-US"/>
                </w:rPr>
                <w:t xml:space="preserve">Keeling, P., 2017. </w:t>
              </w:r>
              <w:r>
                <w:rPr>
                  <w:i/>
                  <w:iCs/>
                  <w:noProof/>
                  <w:lang w:val="en-US"/>
                </w:rPr>
                <w:t xml:space="preserve">No respect: Young BAME men, the police and stop and search. </w:t>
              </w:r>
              <w:r>
                <w:rPr>
                  <w:noProof/>
                  <w:lang w:val="en-US"/>
                </w:rPr>
                <w:t xml:space="preserve">[Online] </w:t>
              </w:r>
              <w:r>
                <w:rPr>
                  <w:noProof/>
                  <w:lang w:val="en-US"/>
                </w:rPr>
                <w:br/>
                <w:t xml:space="preserve">Available at: </w:t>
              </w:r>
              <w:r>
                <w:rPr>
                  <w:noProof/>
                  <w:u w:val="single"/>
                  <w:lang w:val="en-US"/>
                </w:rPr>
                <w:t>https://www.criminaljusticealliance.org/wp-content/uploads/No-Respect-Young-BAME-men.pdf</w:t>
              </w:r>
              <w:r>
                <w:rPr>
                  <w:noProof/>
                  <w:lang w:val="en-US"/>
                </w:rPr>
                <w:br/>
                <w:t>[Accessed 28 January 2023].</w:t>
              </w:r>
            </w:p>
            <w:p w14:paraId="6EC57190" w14:textId="77777777" w:rsidR="005013BA" w:rsidRDefault="005013BA" w:rsidP="005013BA">
              <w:pPr>
                <w:pStyle w:val="Bibliography"/>
                <w:rPr>
                  <w:noProof/>
                  <w:lang w:val="en-US"/>
                </w:rPr>
              </w:pPr>
              <w:r>
                <w:rPr>
                  <w:noProof/>
                  <w:lang w:val="en-US"/>
                </w:rPr>
                <w:t xml:space="preserve">Ministry of Justice, 2021. </w:t>
              </w:r>
              <w:r>
                <w:rPr>
                  <w:i/>
                  <w:iCs/>
                  <w:noProof/>
                  <w:lang w:val="en-US"/>
                </w:rPr>
                <w:t xml:space="preserve">Multi-Agency Public Protection Arrangements Annual Report 2020/21.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https://assets.publishing.service.gov.uk/government/uploads/system/uploads/attachment_data/file/1029349/MAPPA_Annual_Report_2020-21.pdf</w:t>
              </w:r>
              <w:r>
                <w:rPr>
                  <w:noProof/>
                  <w:lang w:val="en-US"/>
                </w:rPr>
                <w:br/>
                <w:t>[Accessed 26 January 2023].</w:t>
              </w:r>
            </w:p>
            <w:p w14:paraId="27A2845F" w14:textId="77777777" w:rsidR="005013BA" w:rsidRDefault="005013BA" w:rsidP="005013BA">
              <w:pPr>
                <w:pStyle w:val="Bibliography"/>
                <w:rPr>
                  <w:noProof/>
                  <w:lang w:val="en-US"/>
                </w:rPr>
              </w:pPr>
              <w:r>
                <w:rPr>
                  <w:noProof/>
                  <w:lang w:val="en-US"/>
                </w:rPr>
                <w:t xml:space="preserve">Murphy, M., 2017. </w:t>
              </w:r>
              <w:r>
                <w:rPr>
                  <w:i/>
                  <w:iCs/>
                  <w:noProof/>
                  <w:lang w:val="en-US"/>
                </w:rPr>
                <w:t xml:space="preserve">History of PACE. </w:t>
              </w:r>
              <w:r>
                <w:rPr>
                  <w:noProof/>
                  <w:lang w:val="en-US"/>
                </w:rPr>
                <w:t xml:space="preserve">[Online] </w:t>
              </w:r>
              <w:r>
                <w:rPr>
                  <w:noProof/>
                  <w:lang w:val="en-US"/>
                </w:rPr>
                <w:br/>
                <w:t xml:space="preserve">Available at: </w:t>
              </w:r>
              <w:r>
                <w:rPr>
                  <w:noProof/>
                  <w:u w:val="single"/>
                  <w:lang w:val="en-US"/>
                </w:rPr>
                <w:t>https://krw-law.ie/wp-content/uploads/2017/05/The-Role-of-a-Solicitor-in-the-Police-Station-PACE-IPLS-8.3.17.pdf</w:t>
              </w:r>
              <w:r>
                <w:rPr>
                  <w:noProof/>
                  <w:lang w:val="en-US"/>
                </w:rPr>
                <w:br/>
                <w:t>[Accessed 28 January 2023].</w:t>
              </w:r>
            </w:p>
            <w:p w14:paraId="20BCE916" w14:textId="77777777" w:rsidR="005013BA" w:rsidRDefault="005013BA" w:rsidP="005013BA">
              <w:pPr>
                <w:pStyle w:val="Bibliography"/>
                <w:rPr>
                  <w:noProof/>
                  <w:lang w:val="en-US"/>
                </w:rPr>
              </w:pPr>
              <w:r>
                <w:rPr>
                  <w:noProof/>
                  <w:lang w:val="en-US"/>
                </w:rPr>
                <w:t xml:space="preserve">National Audit Office, 2017. </w:t>
              </w:r>
              <w:r>
                <w:rPr>
                  <w:i/>
                  <w:iCs/>
                  <w:noProof/>
                  <w:lang w:val="en-US"/>
                </w:rPr>
                <w:t xml:space="preserve">Multi-Agency Public Protection Arrangements: A progress report. </w:t>
              </w:r>
              <w:r>
                <w:rPr>
                  <w:noProof/>
                  <w:lang w:val="en-US"/>
                </w:rPr>
                <w:t xml:space="preserve">[Online] </w:t>
              </w:r>
              <w:r>
                <w:rPr>
                  <w:noProof/>
                  <w:lang w:val="en-US"/>
                </w:rPr>
                <w:br/>
                <w:t xml:space="preserve">Available at: </w:t>
              </w:r>
              <w:r>
                <w:rPr>
                  <w:noProof/>
                  <w:u w:val="single"/>
                  <w:lang w:val="en-US"/>
                </w:rPr>
                <w:t>https://www.nao.org.uk/wp-content/uploads/2017/11/Multi-Agency-Public-Protection-Arrangements.pdf</w:t>
              </w:r>
              <w:r>
                <w:rPr>
                  <w:noProof/>
                  <w:lang w:val="en-US"/>
                </w:rPr>
                <w:br/>
                <w:t>[Accessed 27 January 2023].</w:t>
              </w:r>
            </w:p>
            <w:p w14:paraId="0A46A9CB" w14:textId="77777777" w:rsidR="005013BA" w:rsidRDefault="005013BA" w:rsidP="005013BA">
              <w:pPr>
                <w:pStyle w:val="Bibliography"/>
                <w:rPr>
                  <w:noProof/>
                  <w:lang w:val="en-US"/>
                </w:rPr>
              </w:pPr>
              <w:r>
                <w:rPr>
                  <w:noProof/>
                  <w:lang w:val="en-US"/>
                </w:rPr>
                <w:lastRenderedPageBreak/>
                <w:t xml:space="preserve">O'Neill, M., 2015. The Case for the Acceptable 'Other'. </w:t>
              </w:r>
              <w:r>
                <w:rPr>
                  <w:i/>
                  <w:iCs/>
                  <w:noProof/>
                  <w:lang w:val="en-US"/>
                </w:rPr>
                <w:t xml:space="preserve">The Impact of Partnerships, PCSO's, and Neighbourhood Policing on Diversity in Policing, </w:t>
              </w:r>
              <w:r>
                <w:rPr>
                  <w:noProof/>
                  <w:lang w:val="en-US"/>
                </w:rPr>
                <w:t>9(1), pp. 77-88.</w:t>
              </w:r>
            </w:p>
            <w:p w14:paraId="53EC7815" w14:textId="77777777" w:rsidR="005013BA" w:rsidRDefault="005013BA" w:rsidP="005013BA">
              <w:pPr>
                <w:pStyle w:val="Bibliography"/>
                <w:rPr>
                  <w:noProof/>
                  <w:lang w:val="en-US"/>
                </w:rPr>
              </w:pPr>
              <w:r>
                <w:rPr>
                  <w:noProof/>
                  <w:lang w:val="en-US"/>
                </w:rPr>
                <w:t xml:space="preserve">Packer, H., 1968. </w:t>
              </w:r>
              <w:r>
                <w:rPr>
                  <w:i/>
                  <w:iCs/>
                  <w:noProof/>
                  <w:lang w:val="en-US"/>
                </w:rPr>
                <w:t xml:space="preserve">The limits of criminal sanction, </w:t>
              </w:r>
              <w:r>
                <w:rPr>
                  <w:noProof/>
                  <w:lang w:val="en-US"/>
                </w:rPr>
                <w:t>Stanford: Stanford University Press.</w:t>
              </w:r>
            </w:p>
            <w:p w14:paraId="31C7A555" w14:textId="77777777" w:rsidR="005013BA" w:rsidRDefault="005013BA" w:rsidP="005013BA">
              <w:pPr>
                <w:pStyle w:val="Bibliography"/>
                <w:rPr>
                  <w:noProof/>
                  <w:lang w:val="en-US"/>
                </w:rPr>
              </w:pPr>
              <w:r>
                <w:rPr>
                  <w:noProof/>
                  <w:lang w:val="en-US"/>
                </w:rPr>
                <w:t xml:space="preserve">Scott, M. S., 2000. </w:t>
              </w:r>
              <w:r>
                <w:rPr>
                  <w:i/>
                  <w:iCs/>
                  <w:noProof/>
                  <w:lang w:val="en-US"/>
                </w:rPr>
                <w:t xml:space="preserve">Problem-Oriented Policing: Reflections on the first 20 years, </w:t>
              </w:r>
              <w:r>
                <w:rPr>
                  <w:noProof/>
                  <w:lang w:val="en-US"/>
                </w:rPr>
                <w:t>Washington DC: U.S Department of Justice.</w:t>
              </w:r>
            </w:p>
            <w:p w14:paraId="531E7057" w14:textId="77777777" w:rsidR="005013BA" w:rsidRDefault="005013BA" w:rsidP="005013BA">
              <w:pPr>
                <w:pStyle w:val="Bibliography"/>
                <w:rPr>
                  <w:noProof/>
                  <w:lang w:val="en-US"/>
                </w:rPr>
              </w:pPr>
              <w:r>
                <w:rPr>
                  <w:noProof/>
                  <w:lang w:val="en-US"/>
                </w:rPr>
                <w:t xml:space="preserve">Weisburd, D., 2004. What can Police Do to Reduce Cime, Disorder, and Fear?. </w:t>
              </w:r>
              <w:r>
                <w:rPr>
                  <w:i/>
                  <w:iCs/>
                  <w:noProof/>
                  <w:lang w:val="en-US"/>
                </w:rPr>
                <w:t xml:space="preserve">The ANNALS of the American Academy of Political and Social Science, </w:t>
              </w:r>
              <w:r>
                <w:rPr>
                  <w:noProof/>
                  <w:lang w:val="en-US"/>
                </w:rPr>
                <w:t>1(593), pp. 42-65.</w:t>
              </w:r>
            </w:p>
            <w:p w14:paraId="51C897DD" w14:textId="77777777" w:rsidR="005013BA" w:rsidRDefault="005013BA" w:rsidP="005013BA">
              <w:pPr>
                <w:pStyle w:val="Bibliography"/>
                <w:rPr>
                  <w:noProof/>
                  <w:lang w:val="en-US"/>
                </w:rPr>
              </w:pPr>
              <w:r>
                <w:rPr>
                  <w:noProof/>
                  <w:lang w:val="en-US"/>
                </w:rPr>
                <w:t xml:space="preserve">Weisburd, D. &amp; Eck, J., 2004. What Can Police Do to Reduce Crime, Disorder and Fear?. </w:t>
              </w:r>
              <w:r>
                <w:rPr>
                  <w:i/>
                  <w:iCs/>
                  <w:noProof/>
                  <w:lang w:val="en-US"/>
                </w:rPr>
                <w:t xml:space="preserve">The ANNALS of the American Academy of Political and Socail Science, </w:t>
              </w:r>
              <w:r>
                <w:rPr>
                  <w:noProof/>
                  <w:lang w:val="en-US"/>
                </w:rPr>
                <w:t>1(593), pp. 42-65.</w:t>
              </w:r>
            </w:p>
            <w:p w14:paraId="1776E675" w14:textId="77777777" w:rsidR="005013BA" w:rsidRDefault="005013BA" w:rsidP="005013BA">
              <w:pPr>
                <w:pStyle w:val="Bibliography"/>
                <w:rPr>
                  <w:noProof/>
                  <w:lang w:val="en-US"/>
                </w:rPr>
              </w:pPr>
              <w:r>
                <w:rPr>
                  <w:noProof/>
                  <w:lang w:val="en-US"/>
                </w:rPr>
                <w:t xml:space="preserve">Weitzer, R. &amp; Tuch, S., 2004. Perceptions of Police Misconduct. </w:t>
              </w:r>
              <w:r>
                <w:rPr>
                  <w:i/>
                  <w:iCs/>
                  <w:noProof/>
                  <w:lang w:val="en-US"/>
                </w:rPr>
                <w:t xml:space="preserve">Social Problems, </w:t>
              </w:r>
              <w:r>
                <w:rPr>
                  <w:noProof/>
                  <w:lang w:val="en-US"/>
                </w:rPr>
                <w:t>51(3), pp. 305-325.</w:t>
              </w:r>
            </w:p>
            <w:p w14:paraId="4773E2EE" w14:textId="77777777" w:rsidR="005013BA" w:rsidRDefault="005013BA" w:rsidP="005013BA">
              <w:pPr>
                <w:pStyle w:val="Bibliography"/>
                <w:rPr>
                  <w:noProof/>
                  <w:lang w:val="en-US"/>
                </w:rPr>
              </w:pPr>
              <w:r>
                <w:rPr>
                  <w:noProof/>
                  <w:lang w:val="en-US"/>
                </w:rPr>
                <w:t xml:space="preserve">Whittle, H., Hamilton-Giachritsis, C., Beech, A. &amp; Guy Collings, 2013. A review of young people's vulnerabilities to online grooming. </w:t>
              </w:r>
              <w:r>
                <w:rPr>
                  <w:i/>
                  <w:iCs/>
                  <w:noProof/>
                  <w:lang w:val="en-US"/>
                </w:rPr>
                <w:t xml:space="preserve">Aggression and Violent Behavior, </w:t>
              </w:r>
              <w:r>
                <w:rPr>
                  <w:noProof/>
                  <w:lang w:val="en-US"/>
                </w:rPr>
                <w:t>18(1), pp. 135-146.</w:t>
              </w:r>
            </w:p>
            <w:p w14:paraId="43D5A8CA" w14:textId="77777777" w:rsidR="005013BA" w:rsidRDefault="005013BA" w:rsidP="005013BA">
              <w:pPr>
                <w:pStyle w:val="Bibliography"/>
                <w:rPr>
                  <w:noProof/>
                  <w:lang w:val="en-US"/>
                </w:rPr>
              </w:pPr>
              <w:r>
                <w:rPr>
                  <w:noProof/>
                  <w:lang w:val="en-US"/>
                </w:rPr>
                <w:t xml:space="preserve">Young, E. C. &amp;. R., 2008. </w:t>
              </w:r>
              <w:r>
                <w:rPr>
                  <w:i/>
                  <w:iCs/>
                  <w:noProof/>
                  <w:lang w:val="en-US"/>
                </w:rPr>
                <w:t xml:space="preserve">Regulating Policing. </w:t>
              </w:r>
              <w:r>
                <w:rPr>
                  <w:noProof/>
                  <w:lang w:val="en-US"/>
                </w:rPr>
                <w:t>1st ed. Oregon: Hart Publishing.</w:t>
              </w:r>
            </w:p>
            <w:p w14:paraId="604F5C08" w14:textId="70385790" w:rsidR="005013BA" w:rsidRDefault="005013BA" w:rsidP="005013BA">
              <w:r>
                <w:rPr>
                  <w:b/>
                  <w:bCs/>
                  <w:noProof/>
                </w:rPr>
                <w:fldChar w:fldCharType="end"/>
              </w:r>
            </w:p>
          </w:sdtContent>
        </w:sdt>
      </w:sdtContent>
    </w:sdt>
    <w:p w14:paraId="3178BF1D" w14:textId="0BE1216F" w:rsidR="004A480F" w:rsidRDefault="004A480F"/>
    <w:sectPr w:rsidR="004A48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F12FC"/>
    <w:multiLevelType w:val="multilevel"/>
    <w:tmpl w:val="F0E8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0984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234"/>
    <w:rsid w:val="00003185"/>
    <w:rsid w:val="00040B4C"/>
    <w:rsid w:val="00060DA8"/>
    <w:rsid w:val="0006621D"/>
    <w:rsid w:val="000A7527"/>
    <w:rsid w:val="000E372A"/>
    <w:rsid w:val="000F3A7E"/>
    <w:rsid w:val="000F53B8"/>
    <w:rsid w:val="001107F8"/>
    <w:rsid w:val="00114FDB"/>
    <w:rsid w:val="0012257D"/>
    <w:rsid w:val="00122FC5"/>
    <w:rsid w:val="00141AD4"/>
    <w:rsid w:val="001A741E"/>
    <w:rsid w:val="001B48A0"/>
    <w:rsid w:val="001B7469"/>
    <w:rsid w:val="001E461E"/>
    <w:rsid w:val="001E7921"/>
    <w:rsid w:val="002001D7"/>
    <w:rsid w:val="00233437"/>
    <w:rsid w:val="00257772"/>
    <w:rsid w:val="002C09AE"/>
    <w:rsid w:val="002C7C5F"/>
    <w:rsid w:val="002D1767"/>
    <w:rsid w:val="002E1B81"/>
    <w:rsid w:val="00327697"/>
    <w:rsid w:val="0034022D"/>
    <w:rsid w:val="003A510A"/>
    <w:rsid w:val="003D7007"/>
    <w:rsid w:val="00452D51"/>
    <w:rsid w:val="00457023"/>
    <w:rsid w:val="00481B24"/>
    <w:rsid w:val="00482C3A"/>
    <w:rsid w:val="00496E0B"/>
    <w:rsid w:val="004A480F"/>
    <w:rsid w:val="005013BA"/>
    <w:rsid w:val="005020C8"/>
    <w:rsid w:val="0053516B"/>
    <w:rsid w:val="005373E6"/>
    <w:rsid w:val="005501F8"/>
    <w:rsid w:val="005621D2"/>
    <w:rsid w:val="005658B3"/>
    <w:rsid w:val="005E32B7"/>
    <w:rsid w:val="005E7553"/>
    <w:rsid w:val="005F4E32"/>
    <w:rsid w:val="00602AD7"/>
    <w:rsid w:val="00605E43"/>
    <w:rsid w:val="00612E48"/>
    <w:rsid w:val="006165E6"/>
    <w:rsid w:val="006554A8"/>
    <w:rsid w:val="0067688B"/>
    <w:rsid w:val="006772E9"/>
    <w:rsid w:val="00694272"/>
    <w:rsid w:val="006A4C57"/>
    <w:rsid w:val="006B23C2"/>
    <w:rsid w:val="006B33BA"/>
    <w:rsid w:val="006C0249"/>
    <w:rsid w:val="0070102B"/>
    <w:rsid w:val="00703C49"/>
    <w:rsid w:val="00721A6A"/>
    <w:rsid w:val="00726504"/>
    <w:rsid w:val="0074122C"/>
    <w:rsid w:val="00766247"/>
    <w:rsid w:val="007712BC"/>
    <w:rsid w:val="007777E9"/>
    <w:rsid w:val="00790C72"/>
    <w:rsid w:val="007A5021"/>
    <w:rsid w:val="007B288E"/>
    <w:rsid w:val="007D7997"/>
    <w:rsid w:val="008341FE"/>
    <w:rsid w:val="00836321"/>
    <w:rsid w:val="00836F0A"/>
    <w:rsid w:val="00837A9D"/>
    <w:rsid w:val="00845036"/>
    <w:rsid w:val="00850AB9"/>
    <w:rsid w:val="00851BA4"/>
    <w:rsid w:val="00861E22"/>
    <w:rsid w:val="00882763"/>
    <w:rsid w:val="008A739F"/>
    <w:rsid w:val="008B6BFE"/>
    <w:rsid w:val="008B780A"/>
    <w:rsid w:val="00971DA4"/>
    <w:rsid w:val="009B4142"/>
    <w:rsid w:val="009B467D"/>
    <w:rsid w:val="009C0234"/>
    <w:rsid w:val="009E2DB0"/>
    <w:rsid w:val="00A02F46"/>
    <w:rsid w:val="00A2293A"/>
    <w:rsid w:val="00A50DB8"/>
    <w:rsid w:val="00A87DAD"/>
    <w:rsid w:val="00AA51C9"/>
    <w:rsid w:val="00B312DA"/>
    <w:rsid w:val="00B509CF"/>
    <w:rsid w:val="00B56DE5"/>
    <w:rsid w:val="00B65157"/>
    <w:rsid w:val="00B92664"/>
    <w:rsid w:val="00BA42FD"/>
    <w:rsid w:val="00BC504F"/>
    <w:rsid w:val="00BE1F93"/>
    <w:rsid w:val="00C07469"/>
    <w:rsid w:val="00C212B3"/>
    <w:rsid w:val="00C416B6"/>
    <w:rsid w:val="00C92831"/>
    <w:rsid w:val="00CE18D1"/>
    <w:rsid w:val="00CF4091"/>
    <w:rsid w:val="00D31364"/>
    <w:rsid w:val="00D6400F"/>
    <w:rsid w:val="00D727EE"/>
    <w:rsid w:val="00DF3B7F"/>
    <w:rsid w:val="00DF3C99"/>
    <w:rsid w:val="00E23022"/>
    <w:rsid w:val="00E520B1"/>
    <w:rsid w:val="00E73415"/>
    <w:rsid w:val="00E85E06"/>
    <w:rsid w:val="00EB014B"/>
    <w:rsid w:val="00EB15B2"/>
    <w:rsid w:val="00EB559D"/>
    <w:rsid w:val="00ED71FE"/>
    <w:rsid w:val="00EE675D"/>
    <w:rsid w:val="00F06EBD"/>
    <w:rsid w:val="00F40E3A"/>
    <w:rsid w:val="00F47792"/>
    <w:rsid w:val="00F65C91"/>
    <w:rsid w:val="00F679B9"/>
    <w:rsid w:val="00F97010"/>
    <w:rsid w:val="00F97A91"/>
    <w:rsid w:val="00FA2E74"/>
    <w:rsid w:val="00FA65DB"/>
    <w:rsid w:val="00FB37C0"/>
    <w:rsid w:val="00FB43FE"/>
    <w:rsid w:val="00FD34C9"/>
    <w:rsid w:val="00FF2852"/>
    <w:rsid w:val="00FF3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67F9"/>
  <w15:chartTrackingRefBased/>
  <w15:docId w15:val="{8281A0A7-B231-4AC8-A665-9B6E0BAE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3B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2FD"/>
    <w:rPr>
      <w:color w:val="0563C1" w:themeColor="hyperlink"/>
      <w:u w:val="single"/>
    </w:rPr>
  </w:style>
  <w:style w:type="character" w:styleId="UnresolvedMention">
    <w:name w:val="Unresolved Mention"/>
    <w:basedOn w:val="DefaultParagraphFont"/>
    <w:uiPriority w:val="99"/>
    <w:semiHidden/>
    <w:unhideWhenUsed/>
    <w:rsid w:val="005020C8"/>
    <w:rPr>
      <w:color w:val="605E5C"/>
      <w:shd w:val="clear" w:color="auto" w:fill="E1DFDD"/>
    </w:rPr>
  </w:style>
  <w:style w:type="paragraph" w:styleId="NormalWeb">
    <w:name w:val="Normal (Web)"/>
    <w:basedOn w:val="Normal"/>
    <w:uiPriority w:val="99"/>
    <w:unhideWhenUsed/>
    <w:rsid w:val="00482C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013B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01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3623">
      <w:bodyDiv w:val="1"/>
      <w:marLeft w:val="0"/>
      <w:marRight w:val="0"/>
      <w:marTop w:val="0"/>
      <w:marBottom w:val="0"/>
      <w:divBdr>
        <w:top w:val="none" w:sz="0" w:space="0" w:color="auto"/>
        <w:left w:val="none" w:sz="0" w:space="0" w:color="auto"/>
        <w:bottom w:val="none" w:sz="0" w:space="0" w:color="auto"/>
        <w:right w:val="none" w:sz="0" w:space="0" w:color="auto"/>
      </w:divBdr>
    </w:div>
    <w:div w:id="42562275">
      <w:bodyDiv w:val="1"/>
      <w:marLeft w:val="0"/>
      <w:marRight w:val="0"/>
      <w:marTop w:val="0"/>
      <w:marBottom w:val="0"/>
      <w:divBdr>
        <w:top w:val="none" w:sz="0" w:space="0" w:color="auto"/>
        <w:left w:val="none" w:sz="0" w:space="0" w:color="auto"/>
        <w:bottom w:val="none" w:sz="0" w:space="0" w:color="auto"/>
        <w:right w:val="none" w:sz="0" w:space="0" w:color="auto"/>
      </w:divBdr>
    </w:div>
    <w:div w:id="93257882">
      <w:bodyDiv w:val="1"/>
      <w:marLeft w:val="0"/>
      <w:marRight w:val="0"/>
      <w:marTop w:val="0"/>
      <w:marBottom w:val="0"/>
      <w:divBdr>
        <w:top w:val="none" w:sz="0" w:space="0" w:color="auto"/>
        <w:left w:val="none" w:sz="0" w:space="0" w:color="auto"/>
        <w:bottom w:val="none" w:sz="0" w:space="0" w:color="auto"/>
        <w:right w:val="none" w:sz="0" w:space="0" w:color="auto"/>
      </w:divBdr>
    </w:div>
    <w:div w:id="95905521">
      <w:bodyDiv w:val="1"/>
      <w:marLeft w:val="0"/>
      <w:marRight w:val="0"/>
      <w:marTop w:val="0"/>
      <w:marBottom w:val="0"/>
      <w:divBdr>
        <w:top w:val="none" w:sz="0" w:space="0" w:color="auto"/>
        <w:left w:val="none" w:sz="0" w:space="0" w:color="auto"/>
        <w:bottom w:val="none" w:sz="0" w:space="0" w:color="auto"/>
        <w:right w:val="none" w:sz="0" w:space="0" w:color="auto"/>
      </w:divBdr>
    </w:div>
    <w:div w:id="127746578">
      <w:bodyDiv w:val="1"/>
      <w:marLeft w:val="0"/>
      <w:marRight w:val="0"/>
      <w:marTop w:val="0"/>
      <w:marBottom w:val="0"/>
      <w:divBdr>
        <w:top w:val="none" w:sz="0" w:space="0" w:color="auto"/>
        <w:left w:val="none" w:sz="0" w:space="0" w:color="auto"/>
        <w:bottom w:val="none" w:sz="0" w:space="0" w:color="auto"/>
        <w:right w:val="none" w:sz="0" w:space="0" w:color="auto"/>
      </w:divBdr>
    </w:div>
    <w:div w:id="168524234">
      <w:bodyDiv w:val="1"/>
      <w:marLeft w:val="0"/>
      <w:marRight w:val="0"/>
      <w:marTop w:val="0"/>
      <w:marBottom w:val="0"/>
      <w:divBdr>
        <w:top w:val="none" w:sz="0" w:space="0" w:color="auto"/>
        <w:left w:val="none" w:sz="0" w:space="0" w:color="auto"/>
        <w:bottom w:val="none" w:sz="0" w:space="0" w:color="auto"/>
        <w:right w:val="none" w:sz="0" w:space="0" w:color="auto"/>
      </w:divBdr>
    </w:div>
    <w:div w:id="184292289">
      <w:bodyDiv w:val="1"/>
      <w:marLeft w:val="0"/>
      <w:marRight w:val="0"/>
      <w:marTop w:val="0"/>
      <w:marBottom w:val="0"/>
      <w:divBdr>
        <w:top w:val="none" w:sz="0" w:space="0" w:color="auto"/>
        <w:left w:val="none" w:sz="0" w:space="0" w:color="auto"/>
        <w:bottom w:val="none" w:sz="0" w:space="0" w:color="auto"/>
        <w:right w:val="none" w:sz="0" w:space="0" w:color="auto"/>
      </w:divBdr>
    </w:div>
    <w:div w:id="188302598">
      <w:bodyDiv w:val="1"/>
      <w:marLeft w:val="0"/>
      <w:marRight w:val="0"/>
      <w:marTop w:val="0"/>
      <w:marBottom w:val="0"/>
      <w:divBdr>
        <w:top w:val="none" w:sz="0" w:space="0" w:color="auto"/>
        <w:left w:val="none" w:sz="0" w:space="0" w:color="auto"/>
        <w:bottom w:val="none" w:sz="0" w:space="0" w:color="auto"/>
        <w:right w:val="none" w:sz="0" w:space="0" w:color="auto"/>
      </w:divBdr>
    </w:div>
    <w:div w:id="195120828">
      <w:bodyDiv w:val="1"/>
      <w:marLeft w:val="0"/>
      <w:marRight w:val="0"/>
      <w:marTop w:val="0"/>
      <w:marBottom w:val="0"/>
      <w:divBdr>
        <w:top w:val="none" w:sz="0" w:space="0" w:color="auto"/>
        <w:left w:val="none" w:sz="0" w:space="0" w:color="auto"/>
        <w:bottom w:val="none" w:sz="0" w:space="0" w:color="auto"/>
        <w:right w:val="none" w:sz="0" w:space="0" w:color="auto"/>
      </w:divBdr>
    </w:div>
    <w:div w:id="205997281">
      <w:bodyDiv w:val="1"/>
      <w:marLeft w:val="0"/>
      <w:marRight w:val="0"/>
      <w:marTop w:val="0"/>
      <w:marBottom w:val="0"/>
      <w:divBdr>
        <w:top w:val="none" w:sz="0" w:space="0" w:color="auto"/>
        <w:left w:val="none" w:sz="0" w:space="0" w:color="auto"/>
        <w:bottom w:val="none" w:sz="0" w:space="0" w:color="auto"/>
        <w:right w:val="none" w:sz="0" w:space="0" w:color="auto"/>
      </w:divBdr>
    </w:div>
    <w:div w:id="216819738">
      <w:bodyDiv w:val="1"/>
      <w:marLeft w:val="0"/>
      <w:marRight w:val="0"/>
      <w:marTop w:val="0"/>
      <w:marBottom w:val="0"/>
      <w:divBdr>
        <w:top w:val="none" w:sz="0" w:space="0" w:color="auto"/>
        <w:left w:val="none" w:sz="0" w:space="0" w:color="auto"/>
        <w:bottom w:val="none" w:sz="0" w:space="0" w:color="auto"/>
        <w:right w:val="none" w:sz="0" w:space="0" w:color="auto"/>
      </w:divBdr>
    </w:div>
    <w:div w:id="226765768">
      <w:bodyDiv w:val="1"/>
      <w:marLeft w:val="0"/>
      <w:marRight w:val="0"/>
      <w:marTop w:val="0"/>
      <w:marBottom w:val="0"/>
      <w:divBdr>
        <w:top w:val="none" w:sz="0" w:space="0" w:color="auto"/>
        <w:left w:val="none" w:sz="0" w:space="0" w:color="auto"/>
        <w:bottom w:val="none" w:sz="0" w:space="0" w:color="auto"/>
        <w:right w:val="none" w:sz="0" w:space="0" w:color="auto"/>
      </w:divBdr>
    </w:div>
    <w:div w:id="229734710">
      <w:bodyDiv w:val="1"/>
      <w:marLeft w:val="0"/>
      <w:marRight w:val="0"/>
      <w:marTop w:val="0"/>
      <w:marBottom w:val="0"/>
      <w:divBdr>
        <w:top w:val="none" w:sz="0" w:space="0" w:color="auto"/>
        <w:left w:val="none" w:sz="0" w:space="0" w:color="auto"/>
        <w:bottom w:val="none" w:sz="0" w:space="0" w:color="auto"/>
        <w:right w:val="none" w:sz="0" w:space="0" w:color="auto"/>
      </w:divBdr>
    </w:div>
    <w:div w:id="234752275">
      <w:bodyDiv w:val="1"/>
      <w:marLeft w:val="0"/>
      <w:marRight w:val="0"/>
      <w:marTop w:val="0"/>
      <w:marBottom w:val="0"/>
      <w:divBdr>
        <w:top w:val="none" w:sz="0" w:space="0" w:color="auto"/>
        <w:left w:val="none" w:sz="0" w:space="0" w:color="auto"/>
        <w:bottom w:val="none" w:sz="0" w:space="0" w:color="auto"/>
        <w:right w:val="none" w:sz="0" w:space="0" w:color="auto"/>
      </w:divBdr>
    </w:div>
    <w:div w:id="256913124">
      <w:bodyDiv w:val="1"/>
      <w:marLeft w:val="0"/>
      <w:marRight w:val="0"/>
      <w:marTop w:val="0"/>
      <w:marBottom w:val="0"/>
      <w:divBdr>
        <w:top w:val="none" w:sz="0" w:space="0" w:color="auto"/>
        <w:left w:val="none" w:sz="0" w:space="0" w:color="auto"/>
        <w:bottom w:val="none" w:sz="0" w:space="0" w:color="auto"/>
        <w:right w:val="none" w:sz="0" w:space="0" w:color="auto"/>
      </w:divBdr>
    </w:div>
    <w:div w:id="284897379">
      <w:bodyDiv w:val="1"/>
      <w:marLeft w:val="0"/>
      <w:marRight w:val="0"/>
      <w:marTop w:val="0"/>
      <w:marBottom w:val="0"/>
      <w:divBdr>
        <w:top w:val="none" w:sz="0" w:space="0" w:color="auto"/>
        <w:left w:val="none" w:sz="0" w:space="0" w:color="auto"/>
        <w:bottom w:val="none" w:sz="0" w:space="0" w:color="auto"/>
        <w:right w:val="none" w:sz="0" w:space="0" w:color="auto"/>
      </w:divBdr>
    </w:div>
    <w:div w:id="295567836">
      <w:bodyDiv w:val="1"/>
      <w:marLeft w:val="0"/>
      <w:marRight w:val="0"/>
      <w:marTop w:val="0"/>
      <w:marBottom w:val="0"/>
      <w:divBdr>
        <w:top w:val="none" w:sz="0" w:space="0" w:color="auto"/>
        <w:left w:val="none" w:sz="0" w:space="0" w:color="auto"/>
        <w:bottom w:val="none" w:sz="0" w:space="0" w:color="auto"/>
        <w:right w:val="none" w:sz="0" w:space="0" w:color="auto"/>
      </w:divBdr>
    </w:div>
    <w:div w:id="305863854">
      <w:bodyDiv w:val="1"/>
      <w:marLeft w:val="0"/>
      <w:marRight w:val="0"/>
      <w:marTop w:val="0"/>
      <w:marBottom w:val="0"/>
      <w:divBdr>
        <w:top w:val="none" w:sz="0" w:space="0" w:color="auto"/>
        <w:left w:val="none" w:sz="0" w:space="0" w:color="auto"/>
        <w:bottom w:val="none" w:sz="0" w:space="0" w:color="auto"/>
        <w:right w:val="none" w:sz="0" w:space="0" w:color="auto"/>
      </w:divBdr>
    </w:div>
    <w:div w:id="307251088">
      <w:bodyDiv w:val="1"/>
      <w:marLeft w:val="0"/>
      <w:marRight w:val="0"/>
      <w:marTop w:val="0"/>
      <w:marBottom w:val="0"/>
      <w:divBdr>
        <w:top w:val="none" w:sz="0" w:space="0" w:color="auto"/>
        <w:left w:val="none" w:sz="0" w:space="0" w:color="auto"/>
        <w:bottom w:val="none" w:sz="0" w:space="0" w:color="auto"/>
        <w:right w:val="none" w:sz="0" w:space="0" w:color="auto"/>
      </w:divBdr>
    </w:div>
    <w:div w:id="324282664">
      <w:bodyDiv w:val="1"/>
      <w:marLeft w:val="0"/>
      <w:marRight w:val="0"/>
      <w:marTop w:val="0"/>
      <w:marBottom w:val="0"/>
      <w:divBdr>
        <w:top w:val="none" w:sz="0" w:space="0" w:color="auto"/>
        <w:left w:val="none" w:sz="0" w:space="0" w:color="auto"/>
        <w:bottom w:val="none" w:sz="0" w:space="0" w:color="auto"/>
        <w:right w:val="none" w:sz="0" w:space="0" w:color="auto"/>
      </w:divBdr>
    </w:div>
    <w:div w:id="328144912">
      <w:bodyDiv w:val="1"/>
      <w:marLeft w:val="0"/>
      <w:marRight w:val="0"/>
      <w:marTop w:val="0"/>
      <w:marBottom w:val="0"/>
      <w:divBdr>
        <w:top w:val="none" w:sz="0" w:space="0" w:color="auto"/>
        <w:left w:val="none" w:sz="0" w:space="0" w:color="auto"/>
        <w:bottom w:val="none" w:sz="0" w:space="0" w:color="auto"/>
        <w:right w:val="none" w:sz="0" w:space="0" w:color="auto"/>
      </w:divBdr>
    </w:div>
    <w:div w:id="328993079">
      <w:bodyDiv w:val="1"/>
      <w:marLeft w:val="0"/>
      <w:marRight w:val="0"/>
      <w:marTop w:val="0"/>
      <w:marBottom w:val="0"/>
      <w:divBdr>
        <w:top w:val="none" w:sz="0" w:space="0" w:color="auto"/>
        <w:left w:val="none" w:sz="0" w:space="0" w:color="auto"/>
        <w:bottom w:val="none" w:sz="0" w:space="0" w:color="auto"/>
        <w:right w:val="none" w:sz="0" w:space="0" w:color="auto"/>
      </w:divBdr>
    </w:div>
    <w:div w:id="346255961">
      <w:bodyDiv w:val="1"/>
      <w:marLeft w:val="0"/>
      <w:marRight w:val="0"/>
      <w:marTop w:val="0"/>
      <w:marBottom w:val="0"/>
      <w:divBdr>
        <w:top w:val="none" w:sz="0" w:space="0" w:color="auto"/>
        <w:left w:val="none" w:sz="0" w:space="0" w:color="auto"/>
        <w:bottom w:val="none" w:sz="0" w:space="0" w:color="auto"/>
        <w:right w:val="none" w:sz="0" w:space="0" w:color="auto"/>
      </w:divBdr>
    </w:div>
    <w:div w:id="458914382">
      <w:bodyDiv w:val="1"/>
      <w:marLeft w:val="0"/>
      <w:marRight w:val="0"/>
      <w:marTop w:val="0"/>
      <w:marBottom w:val="0"/>
      <w:divBdr>
        <w:top w:val="none" w:sz="0" w:space="0" w:color="auto"/>
        <w:left w:val="none" w:sz="0" w:space="0" w:color="auto"/>
        <w:bottom w:val="none" w:sz="0" w:space="0" w:color="auto"/>
        <w:right w:val="none" w:sz="0" w:space="0" w:color="auto"/>
      </w:divBdr>
    </w:div>
    <w:div w:id="468206466">
      <w:bodyDiv w:val="1"/>
      <w:marLeft w:val="0"/>
      <w:marRight w:val="0"/>
      <w:marTop w:val="0"/>
      <w:marBottom w:val="0"/>
      <w:divBdr>
        <w:top w:val="none" w:sz="0" w:space="0" w:color="auto"/>
        <w:left w:val="none" w:sz="0" w:space="0" w:color="auto"/>
        <w:bottom w:val="none" w:sz="0" w:space="0" w:color="auto"/>
        <w:right w:val="none" w:sz="0" w:space="0" w:color="auto"/>
      </w:divBdr>
    </w:div>
    <w:div w:id="487019474">
      <w:bodyDiv w:val="1"/>
      <w:marLeft w:val="0"/>
      <w:marRight w:val="0"/>
      <w:marTop w:val="0"/>
      <w:marBottom w:val="0"/>
      <w:divBdr>
        <w:top w:val="none" w:sz="0" w:space="0" w:color="auto"/>
        <w:left w:val="none" w:sz="0" w:space="0" w:color="auto"/>
        <w:bottom w:val="none" w:sz="0" w:space="0" w:color="auto"/>
        <w:right w:val="none" w:sz="0" w:space="0" w:color="auto"/>
      </w:divBdr>
    </w:div>
    <w:div w:id="534730115">
      <w:bodyDiv w:val="1"/>
      <w:marLeft w:val="0"/>
      <w:marRight w:val="0"/>
      <w:marTop w:val="0"/>
      <w:marBottom w:val="0"/>
      <w:divBdr>
        <w:top w:val="none" w:sz="0" w:space="0" w:color="auto"/>
        <w:left w:val="none" w:sz="0" w:space="0" w:color="auto"/>
        <w:bottom w:val="none" w:sz="0" w:space="0" w:color="auto"/>
        <w:right w:val="none" w:sz="0" w:space="0" w:color="auto"/>
      </w:divBdr>
    </w:div>
    <w:div w:id="563177580">
      <w:bodyDiv w:val="1"/>
      <w:marLeft w:val="0"/>
      <w:marRight w:val="0"/>
      <w:marTop w:val="0"/>
      <w:marBottom w:val="0"/>
      <w:divBdr>
        <w:top w:val="none" w:sz="0" w:space="0" w:color="auto"/>
        <w:left w:val="none" w:sz="0" w:space="0" w:color="auto"/>
        <w:bottom w:val="none" w:sz="0" w:space="0" w:color="auto"/>
        <w:right w:val="none" w:sz="0" w:space="0" w:color="auto"/>
      </w:divBdr>
    </w:div>
    <w:div w:id="577986010">
      <w:bodyDiv w:val="1"/>
      <w:marLeft w:val="0"/>
      <w:marRight w:val="0"/>
      <w:marTop w:val="0"/>
      <w:marBottom w:val="0"/>
      <w:divBdr>
        <w:top w:val="none" w:sz="0" w:space="0" w:color="auto"/>
        <w:left w:val="none" w:sz="0" w:space="0" w:color="auto"/>
        <w:bottom w:val="none" w:sz="0" w:space="0" w:color="auto"/>
        <w:right w:val="none" w:sz="0" w:space="0" w:color="auto"/>
      </w:divBdr>
    </w:div>
    <w:div w:id="603340531">
      <w:bodyDiv w:val="1"/>
      <w:marLeft w:val="0"/>
      <w:marRight w:val="0"/>
      <w:marTop w:val="0"/>
      <w:marBottom w:val="0"/>
      <w:divBdr>
        <w:top w:val="none" w:sz="0" w:space="0" w:color="auto"/>
        <w:left w:val="none" w:sz="0" w:space="0" w:color="auto"/>
        <w:bottom w:val="none" w:sz="0" w:space="0" w:color="auto"/>
        <w:right w:val="none" w:sz="0" w:space="0" w:color="auto"/>
      </w:divBdr>
    </w:div>
    <w:div w:id="626620834">
      <w:bodyDiv w:val="1"/>
      <w:marLeft w:val="0"/>
      <w:marRight w:val="0"/>
      <w:marTop w:val="0"/>
      <w:marBottom w:val="0"/>
      <w:divBdr>
        <w:top w:val="none" w:sz="0" w:space="0" w:color="auto"/>
        <w:left w:val="none" w:sz="0" w:space="0" w:color="auto"/>
        <w:bottom w:val="none" w:sz="0" w:space="0" w:color="auto"/>
        <w:right w:val="none" w:sz="0" w:space="0" w:color="auto"/>
      </w:divBdr>
    </w:div>
    <w:div w:id="647714025">
      <w:bodyDiv w:val="1"/>
      <w:marLeft w:val="0"/>
      <w:marRight w:val="0"/>
      <w:marTop w:val="0"/>
      <w:marBottom w:val="0"/>
      <w:divBdr>
        <w:top w:val="none" w:sz="0" w:space="0" w:color="auto"/>
        <w:left w:val="none" w:sz="0" w:space="0" w:color="auto"/>
        <w:bottom w:val="none" w:sz="0" w:space="0" w:color="auto"/>
        <w:right w:val="none" w:sz="0" w:space="0" w:color="auto"/>
      </w:divBdr>
    </w:div>
    <w:div w:id="673609859">
      <w:bodyDiv w:val="1"/>
      <w:marLeft w:val="0"/>
      <w:marRight w:val="0"/>
      <w:marTop w:val="0"/>
      <w:marBottom w:val="0"/>
      <w:divBdr>
        <w:top w:val="none" w:sz="0" w:space="0" w:color="auto"/>
        <w:left w:val="none" w:sz="0" w:space="0" w:color="auto"/>
        <w:bottom w:val="none" w:sz="0" w:space="0" w:color="auto"/>
        <w:right w:val="none" w:sz="0" w:space="0" w:color="auto"/>
      </w:divBdr>
    </w:div>
    <w:div w:id="688531397">
      <w:bodyDiv w:val="1"/>
      <w:marLeft w:val="0"/>
      <w:marRight w:val="0"/>
      <w:marTop w:val="0"/>
      <w:marBottom w:val="0"/>
      <w:divBdr>
        <w:top w:val="none" w:sz="0" w:space="0" w:color="auto"/>
        <w:left w:val="none" w:sz="0" w:space="0" w:color="auto"/>
        <w:bottom w:val="none" w:sz="0" w:space="0" w:color="auto"/>
        <w:right w:val="none" w:sz="0" w:space="0" w:color="auto"/>
      </w:divBdr>
    </w:div>
    <w:div w:id="706104683">
      <w:bodyDiv w:val="1"/>
      <w:marLeft w:val="0"/>
      <w:marRight w:val="0"/>
      <w:marTop w:val="0"/>
      <w:marBottom w:val="0"/>
      <w:divBdr>
        <w:top w:val="none" w:sz="0" w:space="0" w:color="auto"/>
        <w:left w:val="none" w:sz="0" w:space="0" w:color="auto"/>
        <w:bottom w:val="none" w:sz="0" w:space="0" w:color="auto"/>
        <w:right w:val="none" w:sz="0" w:space="0" w:color="auto"/>
      </w:divBdr>
    </w:div>
    <w:div w:id="708646295">
      <w:bodyDiv w:val="1"/>
      <w:marLeft w:val="0"/>
      <w:marRight w:val="0"/>
      <w:marTop w:val="0"/>
      <w:marBottom w:val="0"/>
      <w:divBdr>
        <w:top w:val="none" w:sz="0" w:space="0" w:color="auto"/>
        <w:left w:val="none" w:sz="0" w:space="0" w:color="auto"/>
        <w:bottom w:val="none" w:sz="0" w:space="0" w:color="auto"/>
        <w:right w:val="none" w:sz="0" w:space="0" w:color="auto"/>
      </w:divBdr>
    </w:div>
    <w:div w:id="719287117">
      <w:bodyDiv w:val="1"/>
      <w:marLeft w:val="0"/>
      <w:marRight w:val="0"/>
      <w:marTop w:val="0"/>
      <w:marBottom w:val="0"/>
      <w:divBdr>
        <w:top w:val="none" w:sz="0" w:space="0" w:color="auto"/>
        <w:left w:val="none" w:sz="0" w:space="0" w:color="auto"/>
        <w:bottom w:val="none" w:sz="0" w:space="0" w:color="auto"/>
        <w:right w:val="none" w:sz="0" w:space="0" w:color="auto"/>
      </w:divBdr>
    </w:div>
    <w:div w:id="731779581">
      <w:bodyDiv w:val="1"/>
      <w:marLeft w:val="0"/>
      <w:marRight w:val="0"/>
      <w:marTop w:val="0"/>
      <w:marBottom w:val="0"/>
      <w:divBdr>
        <w:top w:val="none" w:sz="0" w:space="0" w:color="auto"/>
        <w:left w:val="none" w:sz="0" w:space="0" w:color="auto"/>
        <w:bottom w:val="none" w:sz="0" w:space="0" w:color="auto"/>
        <w:right w:val="none" w:sz="0" w:space="0" w:color="auto"/>
      </w:divBdr>
    </w:div>
    <w:div w:id="777673897">
      <w:bodyDiv w:val="1"/>
      <w:marLeft w:val="0"/>
      <w:marRight w:val="0"/>
      <w:marTop w:val="0"/>
      <w:marBottom w:val="0"/>
      <w:divBdr>
        <w:top w:val="none" w:sz="0" w:space="0" w:color="auto"/>
        <w:left w:val="none" w:sz="0" w:space="0" w:color="auto"/>
        <w:bottom w:val="none" w:sz="0" w:space="0" w:color="auto"/>
        <w:right w:val="none" w:sz="0" w:space="0" w:color="auto"/>
      </w:divBdr>
    </w:div>
    <w:div w:id="819424517">
      <w:bodyDiv w:val="1"/>
      <w:marLeft w:val="0"/>
      <w:marRight w:val="0"/>
      <w:marTop w:val="0"/>
      <w:marBottom w:val="0"/>
      <w:divBdr>
        <w:top w:val="none" w:sz="0" w:space="0" w:color="auto"/>
        <w:left w:val="none" w:sz="0" w:space="0" w:color="auto"/>
        <w:bottom w:val="none" w:sz="0" w:space="0" w:color="auto"/>
        <w:right w:val="none" w:sz="0" w:space="0" w:color="auto"/>
      </w:divBdr>
    </w:div>
    <w:div w:id="840701993">
      <w:bodyDiv w:val="1"/>
      <w:marLeft w:val="0"/>
      <w:marRight w:val="0"/>
      <w:marTop w:val="0"/>
      <w:marBottom w:val="0"/>
      <w:divBdr>
        <w:top w:val="none" w:sz="0" w:space="0" w:color="auto"/>
        <w:left w:val="none" w:sz="0" w:space="0" w:color="auto"/>
        <w:bottom w:val="none" w:sz="0" w:space="0" w:color="auto"/>
        <w:right w:val="none" w:sz="0" w:space="0" w:color="auto"/>
      </w:divBdr>
    </w:div>
    <w:div w:id="870415087">
      <w:bodyDiv w:val="1"/>
      <w:marLeft w:val="0"/>
      <w:marRight w:val="0"/>
      <w:marTop w:val="0"/>
      <w:marBottom w:val="0"/>
      <w:divBdr>
        <w:top w:val="none" w:sz="0" w:space="0" w:color="auto"/>
        <w:left w:val="none" w:sz="0" w:space="0" w:color="auto"/>
        <w:bottom w:val="none" w:sz="0" w:space="0" w:color="auto"/>
        <w:right w:val="none" w:sz="0" w:space="0" w:color="auto"/>
      </w:divBdr>
    </w:div>
    <w:div w:id="885873767">
      <w:bodyDiv w:val="1"/>
      <w:marLeft w:val="0"/>
      <w:marRight w:val="0"/>
      <w:marTop w:val="0"/>
      <w:marBottom w:val="0"/>
      <w:divBdr>
        <w:top w:val="none" w:sz="0" w:space="0" w:color="auto"/>
        <w:left w:val="none" w:sz="0" w:space="0" w:color="auto"/>
        <w:bottom w:val="none" w:sz="0" w:space="0" w:color="auto"/>
        <w:right w:val="none" w:sz="0" w:space="0" w:color="auto"/>
      </w:divBdr>
    </w:div>
    <w:div w:id="910046355">
      <w:bodyDiv w:val="1"/>
      <w:marLeft w:val="0"/>
      <w:marRight w:val="0"/>
      <w:marTop w:val="0"/>
      <w:marBottom w:val="0"/>
      <w:divBdr>
        <w:top w:val="none" w:sz="0" w:space="0" w:color="auto"/>
        <w:left w:val="none" w:sz="0" w:space="0" w:color="auto"/>
        <w:bottom w:val="none" w:sz="0" w:space="0" w:color="auto"/>
        <w:right w:val="none" w:sz="0" w:space="0" w:color="auto"/>
      </w:divBdr>
    </w:div>
    <w:div w:id="918949330">
      <w:bodyDiv w:val="1"/>
      <w:marLeft w:val="0"/>
      <w:marRight w:val="0"/>
      <w:marTop w:val="0"/>
      <w:marBottom w:val="0"/>
      <w:divBdr>
        <w:top w:val="none" w:sz="0" w:space="0" w:color="auto"/>
        <w:left w:val="none" w:sz="0" w:space="0" w:color="auto"/>
        <w:bottom w:val="none" w:sz="0" w:space="0" w:color="auto"/>
        <w:right w:val="none" w:sz="0" w:space="0" w:color="auto"/>
      </w:divBdr>
    </w:div>
    <w:div w:id="925379648">
      <w:bodyDiv w:val="1"/>
      <w:marLeft w:val="0"/>
      <w:marRight w:val="0"/>
      <w:marTop w:val="0"/>
      <w:marBottom w:val="0"/>
      <w:divBdr>
        <w:top w:val="none" w:sz="0" w:space="0" w:color="auto"/>
        <w:left w:val="none" w:sz="0" w:space="0" w:color="auto"/>
        <w:bottom w:val="none" w:sz="0" w:space="0" w:color="auto"/>
        <w:right w:val="none" w:sz="0" w:space="0" w:color="auto"/>
      </w:divBdr>
    </w:div>
    <w:div w:id="940406792">
      <w:bodyDiv w:val="1"/>
      <w:marLeft w:val="0"/>
      <w:marRight w:val="0"/>
      <w:marTop w:val="0"/>
      <w:marBottom w:val="0"/>
      <w:divBdr>
        <w:top w:val="none" w:sz="0" w:space="0" w:color="auto"/>
        <w:left w:val="none" w:sz="0" w:space="0" w:color="auto"/>
        <w:bottom w:val="none" w:sz="0" w:space="0" w:color="auto"/>
        <w:right w:val="none" w:sz="0" w:space="0" w:color="auto"/>
      </w:divBdr>
    </w:div>
    <w:div w:id="967471155">
      <w:bodyDiv w:val="1"/>
      <w:marLeft w:val="0"/>
      <w:marRight w:val="0"/>
      <w:marTop w:val="0"/>
      <w:marBottom w:val="0"/>
      <w:divBdr>
        <w:top w:val="none" w:sz="0" w:space="0" w:color="auto"/>
        <w:left w:val="none" w:sz="0" w:space="0" w:color="auto"/>
        <w:bottom w:val="none" w:sz="0" w:space="0" w:color="auto"/>
        <w:right w:val="none" w:sz="0" w:space="0" w:color="auto"/>
      </w:divBdr>
    </w:div>
    <w:div w:id="1056705130">
      <w:bodyDiv w:val="1"/>
      <w:marLeft w:val="0"/>
      <w:marRight w:val="0"/>
      <w:marTop w:val="0"/>
      <w:marBottom w:val="0"/>
      <w:divBdr>
        <w:top w:val="none" w:sz="0" w:space="0" w:color="auto"/>
        <w:left w:val="none" w:sz="0" w:space="0" w:color="auto"/>
        <w:bottom w:val="none" w:sz="0" w:space="0" w:color="auto"/>
        <w:right w:val="none" w:sz="0" w:space="0" w:color="auto"/>
      </w:divBdr>
    </w:div>
    <w:div w:id="1059671315">
      <w:bodyDiv w:val="1"/>
      <w:marLeft w:val="0"/>
      <w:marRight w:val="0"/>
      <w:marTop w:val="0"/>
      <w:marBottom w:val="0"/>
      <w:divBdr>
        <w:top w:val="none" w:sz="0" w:space="0" w:color="auto"/>
        <w:left w:val="none" w:sz="0" w:space="0" w:color="auto"/>
        <w:bottom w:val="none" w:sz="0" w:space="0" w:color="auto"/>
        <w:right w:val="none" w:sz="0" w:space="0" w:color="auto"/>
      </w:divBdr>
    </w:div>
    <w:div w:id="1064715456">
      <w:bodyDiv w:val="1"/>
      <w:marLeft w:val="0"/>
      <w:marRight w:val="0"/>
      <w:marTop w:val="0"/>
      <w:marBottom w:val="0"/>
      <w:divBdr>
        <w:top w:val="none" w:sz="0" w:space="0" w:color="auto"/>
        <w:left w:val="none" w:sz="0" w:space="0" w:color="auto"/>
        <w:bottom w:val="none" w:sz="0" w:space="0" w:color="auto"/>
        <w:right w:val="none" w:sz="0" w:space="0" w:color="auto"/>
      </w:divBdr>
    </w:div>
    <w:div w:id="1079597524">
      <w:bodyDiv w:val="1"/>
      <w:marLeft w:val="0"/>
      <w:marRight w:val="0"/>
      <w:marTop w:val="0"/>
      <w:marBottom w:val="0"/>
      <w:divBdr>
        <w:top w:val="none" w:sz="0" w:space="0" w:color="auto"/>
        <w:left w:val="none" w:sz="0" w:space="0" w:color="auto"/>
        <w:bottom w:val="none" w:sz="0" w:space="0" w:color="auto"/>
        <w:right w:val="none" w:sz="0" w:space="0" w:color="auto"/>
      </w:divBdr>
    </w:div>
    <w:div w:id="1092161794">
      <w:bodyDiv w:val="1"/>
      <w:marLeft w:val="0"/>
      <w:marRight w:val="0"/>
      <w:marTop w:val="0"/>
      <w:marBottom w:val="0"/>
      <w:divBdr>
        <w:top w:val="none" w:sz="0" w:space="0" w:color="auto"/>
        <w:left w:val="none" w:sz="0" w:space="0" w:color="auto"/>
        <w:bottom w:val="none" w:sz="0" w:space="0" w:color="auto"/>
        <w:right w:val="none" w:sz="0" w:space="0" w:color="auto"/>
      </w:divBdr>
    </w:div>
    <w:div w:id="1115103774">
      <w:bodyDiv w:val="1"/>
      <w:marLeft w:val="0"/>
      <w:marRight w:val="0"/>
      <w:marTop w:val="0"/>
      <w:marBottom w:val="0"/>
      <w:divBdr>
        <w:top w:val="none" w:sz="0" w:space="0" w:color="auto"/>
        <w:left w:val="none" w:sz="0" w:space="0" w:color="auto"/>
        <w:bottom w:val="none" w:sz="0" w:space="0" w:color="auto"/>
        <w:right w:val="none" w:sz="0" w:space="0" w:color="auto"/>
      </w:divBdr>
    </w:div>
    <w:div w:id="1128742927">
      <w:bodyDiv w:val="1"/>
      <w:marLeft w:val="0"/>
      <w:marRight w:val="0"/>
      <w:marTop w:val="0"/>
      <w:marBottom w:val="0"/>
      <w:divBdr>
        <w:top w:val="none" w:sz="0" w:space="0" w:color="auto"/>
        <w:left w:val="none" w:sz="0" w:space="0" w:color="auto"/>
        <w:bottom w:val="none" w:sz="0" w:space="0" w:color="auto"/>
        <w:right w:val="none" w:sz="0" w:space="0" w:color="auto"/>
      </w:divBdr>
    </w:div>
    <w:div w:id="1137183716">
      <w:bodyDiv w:val="1"/>
      <w:marLeft w:val="0"/>
      <w:marRight w:val="0"/>
      <w:marTop w:val="0"/>
      <w:marBottom w:val="0"/>
      <w:divBdr>
        <w:top w:val="none" w:sz="0" w:space="0" w:color="auto"/>
        <w:left w:val="none" w:sz="0" w:space="0" w:color="auto"/>
        <w:bottom w:val="none" w:sz="0" w:space="0" w:color="auto"/>
        <w:right w:val="none" w:sz="0" w:space="0" w:color="auto"/>
      </w:divBdr>
    </w:div>
    <w:div w:id="1152866264">
      <w:bodyDiv w:val="1"/>
      <w:marLeft w:val="0"/>
      <w:marRight w:val="0"/>
      <w:marTop w:val="0"/>
      <w:marBottom w:val="0"/>
      <w:divBdr>
        <w:top w:val="none" w:sz="0" w:space="0" w:color="auto"/>
        <w:left w:val="none" w:sz="0" w:space="0" w:color="auto"/>
        <w:bottom w:val="none" w:sz="0" w:space="0" w:color="auto"/>
        <w:right w:val="none" w:sz="0" w:space="0" w:color="auto"/>
      </w:divBdr>
    </w:div>
    <w:div w:id="1175918748">
      <w:bodyDiv w:val="1"/>
      <w:marLeft w:val="0"/>
      <w:marRight w:val="0"/>
      <w:marTop w:val="0"/>
      <w:marBottom w:val="0"/>
      <w:divBdr>
        <w:top w:val="none" w:sz="0" w:space="0" w:color="auto"/>
        <w:left w:val="none" w:sz="0" w:space="0" w:color="auto"/>
        <w:bottom w:val="none" w:sz="0" w:space="0" w:color="auto"/>
        <w:right w:val="none" w:sz="0" w:space="0" w:color="auto"/>
      </w:divBdr>
    </w:div>
    <w:div w:id="1212111595">
      <w:bodyDiv w:val="1"/>
      <w:marLeft w:val="0"/>
      <w:marRight w:val="0"/>
      <w:marTop w:val="0"/>
      <w:marBottom w:val="0"/>
      <w:divBdr>
        <w:top w:val="none" w:sz="0" w:space="0" w:color="auto"/>
        <w:left w:val="none" w:sz="0" w:space="0" w:color="auto"/>
        <w:bottom w:val="none" w:sz="0" w:space="0" w:color="auto"/>
        <w:right w:val="none" w:sz="0" w:space="0" w:color="auto"/>
      </w:divBdr>
    </w:div>
    <w:div w:id="1234317638">
      <w:bodyDiv w:val="1"/>
      <w:marLeft w:val="0"/>
      <w:marRight w:val="0"/>
      <w:marTop w:val="0"/>
      <w:marBottom w:val="0"/>
      <w:divBdr>
        <w:top w:val="none" w:sz="0" w:space="0" w:color="auto"/>
        <w:left w:val="none" w:sz="0" w:space="0" w:color="auto"/>
        <w:bottom w:val="none" w:sz="0" w:space="0" w:color="auto"/>
        <w:right w:val="none" w:sz="0" w:space="0" w:color="auto"/>
      </w:divBdr>
    </w:div>
    <w:div w:id="1241792851">
      <w:bodyDiv w:val="1"/>
      <w:marLeft w:val="0"/>
      <w:marRight w:val="0"/>
      <w:marTop w:val="0"/>
      <w:marBottom w:val="0"/>
      <w:divBdr>
        <w:top w:val="none" w:sz="0" w:space="0" w:color="auto"/>
        <w:left w:val="none" w:sz="0" w:space="0" w:color="auto"/>
        <w:bottom w:val="none" w:sz="0" w:space="0" w:color="auto"/>
        <w:right w:val="none" w:sz="0" w:space="0" w:color="auto"/>
      </w:divBdr>
    </w:div>
    <w:div w:id="1259362900">
      <w:bodyDiv w:val="1"/>
      <w:marLeft w:val="0"/>
      <w:marRight w:val="0"/>
      <w:marTop w:val="0"/>
      <w:marBottom w:val="0"/>
      <w:divBdr>
        <w:top w:val="none" w:sz="0" w:space="0" w:color="auto"/>
        <w:left w:val="none" w:sz="0" w:space="0" w:color="auto"/>
        <w:bottom w:val="none" w:sz="0" w:space="0" w:color="auto"/>
        <w:right w:val="none" w:sz="0" w:space="0" w:color="auto"/>
      </w:divBdr>
    </w:div>
    <w:div w:id="1267732218">
      <w:bodyDiv w:val="1"/>
      <w:marLeft w:val="0"/>
      <w:marRight w:val="0"/>
      <w:marTop w:val="0"/>
      <w:marBottom w:val="0"/>
      <w:divBdr>
        <w:top w:val="none" w:sz="0" w:space="0" w:color="auto"/>
        <w:left w:val="none" w:sz="0" w:space="0" w:color="auto"/>
        <w:bottom w:val="none" w:sz="0" w:space="0" w:color="auto"/>
        <w:right w:val="none" w:sz="0" w:space="0" w:color="auto"/>
      </w:divBdr>
    </w:div>
    <w:div w:id="1280065398">
      <w:bodyDiv w:val="1"/>
      <w:marLeft w:val="0"/>
      <w:marRight w:val="0"/>
      <w:marTop w:val="0"/>
      <w:marBottom w:val="0"/>
      <w:divBdr>
        <w:top w:val="none" w:sz="0" w:space="0" w:color="auto"/>
        <w:left w:val="none" w:sz="0" w:space="0" w:color="auto"/>
        <w:bottom w:val="none" w:sz="0" w:space="0" w:color="auto"/>
        <w:right w:val="none" w:sz="0" w:space="0" w:color="auto"/>
      </w:divBdr>
    </w:div>
    <w:div w:id="1284458404">
      <w:bodyDiv w:val="1"/>
      <w:marLeft w:val="0"/>
      <w:marRight w:val="0"/>
      <w:marTop w:val="0"/>
      <w:marBottom w:val="0"/>
      <w:divBdr>
        <w:top w:val="none" w:sz="0" w:space="0" w:color="auto"/>
        <w:left w:val="none" w:sz="0" w:space="0" w:color="auto"/>
        <w:bottom w:val="none" w:sz="0" w:space="0" w:color="auto"/>
        <w:right w:val="none" w:sz="0" w:space="0" w:color="auto"/>
      </w:divBdr>
    </w:div>
    <w:div w:id="1311908095">
      <w:bodyDiv w:val="1"/>
      <w:marLeft w:val="0"/>
      <w:marRight w:val="0"/>
      <w:marTop w:val="0"/>
      <w:marBottom w:val="0"/>
      <w:divBdr>
        <w:top w:val="none" w:sz="0" w:space="0" w:color="auto"/>
        <w:left w:val="none" w:sz="0" w:space="0" w:color="auto"/>
        <w:bottom w:val="none" w:sz="0" w:space="0" w:color="auto"/>
        <w:right w:val="none" w:sz="0" w:space="0" w:color="auto"/>
      </w:divBdr>
    </w:div>
    <w:div w:id="1375887131">
      <w:bodyDiv w:val="1"/>
      <w:marLeft w:val="0"/>
      <w:marRight w:val="0"/>
      <w:marTop w:val="0"/>
      <w:marBottom w:val="0"/>
      <w:divBdr>
        <w:top w:val="none" w:sz="0" w:space="0" w:color="auto"/>
        <w:left w:val="none" w:sz="0" w:space="0" w:color="auto"/>
        <w:bottom w:val="none" w:sz="0" w:space="0" w:color="auto"/>
        <w:right w:val="none" w:sz="0" w:space="0" w:color="auto"/>
      </w:divBdr>
    </w:div>
    <w:div w:id="1383555524">
      <w:bodyDiv w:val="1"/>
      <w:marLeft w:val="0"/>
      <w:marRight w:val="0"/>
      <w:marTop w:val="0"/>
      <w:marBottom w:val="0"/>
      <w:divBdr>
        <w:top w:val="none" w:sz="0" w:space="0" w:color="auto"/>
        <w:left w:val="none" w:sz="0" w:space="0" w:color="auto"/>
        <w:bottom w:val="none" w:sz="0" w:space="0" w:color="auto"/>
        <w:right w:val="none" w:sz="0" w:space="0" w:color="auto"/>
      </w:divBdr>
    </w:div>
    <w:div w:id="1408503798">
      <w:bodyDiv w:val="1"/>
      <w:marLeft w:val="0"/>
      <w:marRight w:val="0"/>
      <w:marTop w:val="0"/>
      <w:marBottom w:val="0"/>
      <w:divBdr>
        <w:top w:val="none" w:sz="0" w:space="0" w:color="auto"/>
        <w:left w:val="none" w:sz="0" w:space="0" w:color="auto"/>
        <w:bottom w:val="none" w:sz="0" w:space="0" w:color="auto"/>
        <w:right w:val="none" w:sz="0" w:space="0" w:color="auto"/>
      </w:divBdr>
    </w:div>
    <w:div w:id="1418134052">
      <w:bodyDiv w:val="1"/>
      <w:marLeft w:val="0"/>
      <w:marRight w:val="0"/>
      <w:marTop w:val="0"/>
      <w:marBottom w:val="0"/>
      <w:divBdr>
        <w:top w:val="none" w:sz="0" w:space="0" w:color="auto"/>
        <w:left w:val="none" w:sz="0" w:space="0" w:color="auto"/>
        <w:bottom w:val="none" w:sz="0" w:space="0" w:color="auto"/>
        <w:right w:val="none" w:sz="0" w:space="0" w:color="auto"/>
      </w:divBdr>
    </w:div>
    <w:div w:id="1419598862">
      <w:bodyDiv w:val="1"/>
      <w:marLeft w:val="0"/>
      <w:marRight w:val="0"/>
      <w:marTop w:val="0"/>
      <w:marBottom w:val="0"/>
      <w:divBdr>
        <w:top w:val="none" w:sz="0" w:space="0" w:color="auto"/>
        <w:left w:val="none" w:sz="0" w:space="0" w:color="auto"/>
        <w:bottom w:val="none" w:sz="0" w:space="0" w:color="auto"/>
        <w:right w:val="none" w:sz="0" w:space="0" w:color="auto"/>
      </w:divBdr>
    </w:div>
    <w:div w:id="1458138911">
      <w:bodyDiv w:val="1"/>
      <w:marLeft w:val="0"/>
      <w:marRight w:val="0"/>
      <w:marTop w:val="0"/>
      <w:marBottom w:val="0"/>
      <w:divBdr>
        <w:top w:val="none" w:sz="0" w:space="0" w:color="auto"/>
        <w:left w:val="none" w:sz="0" w:space="0" w:color="auto"/>
        <w:bottom w:val="none" w:sz="0" w:space="0" w:color="auto"/>
        <w:right w:val="none" w:sz="0" w:space="0" w:color="auto"/>
      </w:divBdr>
    </w:div>
    <w:div w:id="1505590077">
      <w:bodyDiv w:val="1"/>
      <w:marLeft w:val="0"/>
      <w:marRight w:val="0"/>
      <w:marTop w:val="0"/>
      <w:marBottom w:val="0"/>
      <w:divBdr>
        <w:top w:val="none" w:sz="0" w:space="0" w:color="auto"/>
        <w:left w:val="none" w:sz="0" w:space="0" w:color="auto"/>
        <w:bottom w:val="none" w:sz="0" w:space="0" w:color="auto"/>
        <w:right w:val="none" w:sz="0" w:space="0" w:color="auto"/>
      </w:divBdr>
    </w:div>
    <w:div w:id="1506821699">
      <w:bodyDiv w:val="1"/>
      <w:marLeft w:val="0"/>
      <w:marRight w:val="0"/>
      <w:marTop w:val="0"/>
      <w:marBottom w:val="0"/>
      <w:divBdr>
        <w:top w:val="none" w:sz="0" w:space="0" w:color="auto"/>
        <w:left w:val="none" w:sz="0" w:space="0" w:color="auto"/>
        <w:bottom w:val="none" w:sz="0" w:space="0" w:color="auto"/>
        <w:right w:val="none" w:sz="0" w:space="0" w:color="auto"/>
      </w:divBdr>
    </w:div>
    <w:div w:id="1506896741">
      <w:bodyDiv w:val="1"/>
      <w:marLeft w:val="0"/>
      <w:marRight w:val="0"/>
      <w:marTop w:val="0"/>
      <w:marBottom w:val="0"/>
      <w:divBdr>
        <w:top w:val="none" w:sz="0" w:space="0" w:color="auto"/>
        <w:left w:val="none" w:sz="0" w:space="0" w:color="auto"/>
        <w:bottom w:val="none" w:sz="0" w:space="0" w:color="auto"/>
        <w:right w:val="none" w:sz="0" w:space="0" w:color="auto"/>
      </w:divBdr>
    </w:div>
    <w:div w:id="1541745703">
      <w:bodyDiv w:val="1"/>
      <w:marLeft w:val="0"/>
      <w:marRight w:val="0"/>
      <w:marTop w:val="0"/>
      <w:marBottom w:val="0"/>
      <w:divBdr>
        <w:top w:val="none" w:sz="0" w:space="0" w:color="auto"/>
        <w:left w:val="none" w:sz="0" w:space="0" w:color="auto"/>
        <w:bottom w:val="none" w:sz="0" w:space="0" w:color="auto"/>
        <w:right w:val="none" w:sz="0" w:space="0" w:color="auto"/>
      </w:divBdr>
    </w:div>
    <w:div w:id="1577201578">
      <w:bodyDiv w:val="1"/>
      <w:marLeft w:val="0"/>
      <w:marRight w:val="0"/>
      <w:marTop w:val="0"/>
      <w:marBottom w:val="0"/>
      <w:divBdr>
        <w:top w:val="none" w:sz="0" w:space="0" w:color="auto"/>
        <w:left w:val="none" w:sz="0" w:space="0" w:color="auto"/>
        <w:bottom w:val="none" w:sz="0" w:space="0" w:color="auto"/>
        <w:right w:val="none" w:sz="0" w:space="0" w:color="auto"/>
      </w:divBdr>
    </w:div>
    <w:div w:id="1617566843">
      <w:bodyDiv w:val="1"/>
      <w:marLeft w:val="0"/>
      <w:marRight w:val="0"/>
      <w:marTop w:val="0"/>
      <w:marBottom w:val="0"/>
      <w:divBdr>
        <w:top w:val="none" w:sz="0" w:space="0" w:color="auto"/>
        <w:left w:val="none" w:sz="0" w:space="0" w:color="auto"/>
        <w:bottom w:val="none" w:sz="0" w:space="0" w:color="auto"/>
        <w:right w:val="none" w:sz="0" w:space="0" w:color="auto"/>
      </w:divBdr>
    </w:div>
    <w:div w:id="1667787538">
      <w:bodyDiv w:val="1"/>
      <w:marLeft w:val="0"/>
      <w:marRight w:val="0"/>
      <w:marTop w:val="0"/>
      <w:marBottom w:val="0"/>
      <w:divBdr>
        <w:top w:val="none" w:sz="0" w:space="0" w:color="auto"/>
        <w:left w:val="none" w:sz="0" w:space="0" w:color="auto"/>
        <w:bottom w:val="none" w:sz="0" w:space="0" w:color="auto"/>
        <w:right w:val="none" w:sz="0" w:space="0" w:color="auto"/>
      </w:divBdr>
    </w:div>
    <w:div w:id="1726947195">
      <w:bodyDiv w:val="1"/>
      <w:marLeft w:val="0"/>
      <w:marRight w:val="0"/>
      <w:marTop w:val="0"/>
      <w:marBottom w:val="0"/>
      <w:divBdr>
        <w:top w:val="none" w:sz="0" w:space="0" w:color="auto"/>
        <w:left w:val="none" w:sz="0" w:space="0" w:color="auto"/>
        <w:bottom w:val="none" w:sz="0" w:space="0" w:color="auto"/>
        <w:right w:val="none" w:sz="0" w:space="0" w:color="auto"/>
      </w:divBdr>
    </w:div>
    <w:div w:id="1767380157">
      <w:bodyDiv w:val="1"/>
      <w:marLeft w:val="0"/>
      <w:marRight w:val="0"/>
      <w:marTop w:val="0"/>
      <w:marBottom w:val="0"/>
      <w:divBdr>
        <w:top w:val="none" w:sz="0" w:space="0" w:color="auto"/>
        <w:left w:val="none" w:sz="0" w:space="0" w:color="auto"/>
        <w:bottom w:val="none" w:sz="0" w:space="0" w:color="auto"/>
        <w:right w:val="none" w:sz="0" w:space="0" w:color="auto"/>
      </w:divBdr>
    </w:div>
    <w:div w:id="1826122239">
      <w:bodyDiv w:val="1"/>
      <w:marLeft w:val="0"/>
      <w:marRight w:val="0"/>
      <w:marTop w:val="0"/>
      <w:marBottom w:val="0"/>
      <w:divBdr>
        <w:top w:val="none" w:sz="0" w:space="0" w:color="auto"/>
        <w:left w:val="none" w:sz="0" w:space="0" w:color="auto"/>
        <w:bottom w:val="none" w:sz="0" w:space="0" w:color="auto"/>
        <w:right w:val="none" w:sz="0" w:space="0" w:color="auto"/>
      </w:divBdr>
    </w:div>
    <w:div w:id="1852182302">
      <w:bodyDiv w:val="1"/>
      <w:marLeft w:val="0"/>
      <w:marRight w:val="0"/>
      <w:marTop w:val="0"/>
      <w:marBottom w:val="0"/>
      <w:divBdr>
        <w:top w:val="none" w:sz="0" w:space="0" w:color="auto"/>
        <w:left w:val="none" w:sz="0" w:space="0" w:color="auto"/>
        <w:bottom w:val="none" w:sz="0" w:space="0" w:color="auto"/>
        <w:right w:val="none" w:sz="0" w:space="0" w:color="auto"/>
      </w:divBdr>
    </w:div>
    <w:div w:id="1874878958">
      <w:bodyDiv w:val="1"/>
      <w:marLeft w:val="0"/>
      <w:marRight w:val="0"/>
      <w:marTop w:val="0"/>
      <w:marBottom w:val="0"/>
      <w:divBdr>
        <w:top w:val="none" w:sz="0" w:space="0" w:color="auto"/>
        <w:left w:val="none" w:sz="0" w:space="0" w:color="auto"/>
        <w:bottom w:val="none" w:sz="0" w:space="0" w:color="auto"/>
        <w:right w:val="none" w:sz="0" w:space="0" w:color="auto"/>
      </w:divBdr>
    </w:div>
    <w:div w:id="1905409474">
      <w:bodyDiv w:val="1"/>
      <w:marLeft w:val="0"/>
      <w:marRight w:val="0"/>
      <w:marTop w:val="0"/>
      <w:marBottom w:val="0"/>
      <w:divBdr>
        <w:top w:val="none" w:sz="0" w:space="0" w:color="auto"/>
        <w:left w:val="none" w:sz="0" w:space="0" w:color="auto"/>
        <w:bottom w:val="none" w:sz="0" w:space="0" w:color="auto"/>
        <w:right w:val="none" w:sz="0" w:space="0" w:color="auto"/>
      </w:divBdr>
    </w:div>
    <w:div w:id="1924366317">
      <w:bodyDiv w:val="1"/>
      <w:marLeft w:val="0"/>
      <w:marRight w:val="0"/>
      <w:marTop w:val="0"/>
      <w:marBottom w:val="0"/>
      <w:divBdr>
        <w:top w:val="none" w:sz="0" w:space="0" w:color="auto"/>
        <w:left w:val="none" w:sz="0" w:space="0" w:color="auto"/>
        <w:bottom w:val="none" w:sz="0" w:space="0" w:color="auto"/>
        <w:right w:val="none" w:sz="0" w:space="0" w:color="auto"/>
      </w:divBdr>
    </w:div>
    <w:div w:id="1943341921">
      <w:bodyDiv w:val="1"/>
      <w:marLeft w:val="0"/>
      <w:marRight w:val="0"/>
      <w:marTop w:val="0"/>
      <w:marBottom w:val="0"/>
      <w:divBdr>
        <w:top w:val="none" w:sz="0" w:space="0" w:color="auto"/>
        <w:left w:val="none" w:sz="0" w:space="0" w:color="auto"/>
        <w:bottom w:val="none" w:sz="0" w:space="0" w:color="auto"/>
        <w:right w:val="none" w:sz="0" w:space="0" w:color="auto"/>
      </w:divBdr>
    </w:div>
    <w:div w:id="1949041706">
      <w:bodyDiv w:val="1"/>
      <w:marLeft w:val="0"/>
      <w:marRight w:val="0"/>
      <w:marTop w:val="0"/>
      <w:marBottom w:val="0"/>
      <w:divBdr>
        <w:top w:val="none" w:sz="0" w:space="0" w:color="auto"/>
        <w:left w:val="none" w:sz="0" w:space="0" w:color="auto"/>
        <w:bottom w:val="none" w:sz="0" w:space="0" w:color="auto"/>
        <w:right w:val="none" w:sz="0" w:space="0" w:color="auto"/>
      </w:divBdr>
    </w:div>
    <w:div w:id="1951475570">
      <w:bodyDiv w:val="1"/>
      <w:marLeft w:val="0"/>
      <w:marRight w:val="0"/>
      <w:marTop w:val="0"/>
      <w:marBottom w:val="0"/>
      <w:divBdr>
        <w:top w:val="none" w:sz="0" w:space="0" w:color="auto"/>
        <w:left w:val="none" w:sz="0" w:space="0" w:color="auto"/>
        <w:bottom w:val="none" w:sz="0" w:space="0" w:color="auto"/>
        <w:right w:val="none" w:sz="0" w:space="0" w:color="auto"/>
      </w:divBdr>
    </w:div>
    <w:div w:id="1990746527">
      <w:bodyDiv w:val="1"/>
      <w:marLeft w:val="0"/>
      <w:marRight w:val="0"/>
      <w:marTop w:val="0"/>
      <w:marBottom w:val="0"/>
      <w:divBdr>
        <w:top w:val="none" w:sz="0" w:space="0" w:color="auto"/>
        <w:left w:val="none" w:sz="0" w:space="0" w:color="auto"/>
        <w:bottom w:val="none" w:sz="0" w:space="0" w:color="auto"/>
        <w:right w:val="none" w:sz="0" w:space="0" w:color="auto"/>
      </w:divBdr>
    </w:div>
    <w:div w:id="1990748862">
      <w:bodyDiv w:val="1"/>
      <w:marLeft w:val="0"/>
      <w:marRight w:val="0"/>
      <w:marTop w:val="0"/>
      <w:marBottom w:val="0"/>
      <w:divBdr>
        <w:top w:val="none" w:sz="0" w:space="0" w:color="auto"/>
        <w:left w:val="none" w:sz="0" w:space="0" w:color="auto"/>
        <w:bottom w:val="none" w:sz="0" w:space="0" w:color="auto"/>
        <w:right w:val="none" w:sz="0" w:space="0" w:color="auto"/>
      </w:divBdr>
    </w:div>
    <w:div w:id="2062440751">
      <w:bodyDiv w:val="1"/>
      <w:marLeft w:val="0"/>
      <w:marRight w:val="0"/>
      <w:marTop w:val="0"/>
      <w:marBottom w:val="0"/>
      <w:divBdr>
        <w:top w:val="none" w:sz="0" w:space="0" w:color="auto"/>
        <w:left w:val="none" w:sz="0" w:space="0" w:color="auto"/>
        <w:bottom w:val="none" w:sz="0" w:space="0" w:color="auto"/>
        <w:right w:val="none" w:sz="0" w:space="0" w:color="auto"/>
      </w:divBdr>
    </w:div>
    <w:div w:id="212299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DeG97</b:Tag>
    <b:SourceType>JournalArticle</b:SourceType>
    <b:Guid>{C69FBB45-5305-4D6A-BE7C-F417D9A547AE}</b:Guid>
    <b:Author>
      <b:Author>
        <b:NameList>
          <b:Person>
            <b:Last>DeGeneste</b:Last>
            <b:First>Henry</b:First>
          </b:Person>
        </b:NameList>
      </b:Author>
    </b:Author>
    <b:Title>Policing a Multicultural Community</b:Title>
    <b:Year>1997</b:Year>
    <b:JournalName>Fresh Perspectives</b:JournalName>
    <b:Pages>25</b:Pages>
    <b:RefOrder>1</b:RefOrder>
  </b:Source>
  <b:Source>
    <b:Tag>Pet17</b:Tag>
    <b:SourceType>DocumentFromInternetSite</b:SourceType>
    <b:Guid>{241F30F2-1219-43AD-9428-046A87DEBBE7}</b:Guid>
    <b:Title>No respect: Young BAME men, the police and stop and search</b:Title>
    <b:Year>2017</b:Year>
    <b:Author>
      <b:Author>
        <b:NameList>
          <b:Person>
            <b:Last>Keeling</b:Last>
            <b:First>Peter</b:First>
          </b:Person>
        </b:NameList>
      </b:Author>
    </b:Author>
    <b:InternetSiteTitle>Criminal justice allicane</b:InternetSiteTitle>
    <b:Month>January</b:Month>
    <b:Day>1</b:Day>
    <b:URL>https://www.criminaljusticealliance.org/wp-content/uploads/No-Respect-Young-BAME-men.pdf</b:URL>
    <b:YearAccessed>2023</b:YearAccessed>
    <b:MonthAccessed>January</b:MonthAccessed>
    <b:DayAccessed>28</b:DayAccessed>
    <b:RefOrder>6</b:RefOrder>
  </b:Source>
  <b:Source>
    <b:Tag>Col14</b:Tag>
    <b:SourceType>DocumentFromInternetSite</b:SourceType>
    <b:Guid>{9A6C5344-A30B-484C-8D5C-577B074110E1}</b:Guid>
    <b:Title>Code of Ethics</b:Title>
    <b:Year>2014</b:Year>
    <b:Author>
      <b:Author>
        <b:Corporate>College of Policing</b:Corporate>
      </b:Author>
    </b:Author>
    <b:InternetSiteTitle>College of Policing</b:InternetSiteTitle>
    <b:Month>July</b:Month>
    <b:Day>1</b:Day>
    <b:URL>https://assets.college.police.uk/s3fs-public/2021-02/code_of_ethics.pdf</b:URL>
    <b:YearAccessed>2023</b:YearAccessed>
    <b:MonthAccessed>January</b:MonthAccessed>
    <b:DayAccessed>18</b:DayAccessed>
    <b:RefOrder>5</b:RefOrder>
  </b:Source>
  <b:Source>
    <b:Tag>EdC08</b:Tag>
    <b:SourceType>Book</b:SourceType>
    <b:Guid>{6AAA1848-FCB6-4854-BA78-C4302B813857}</b:Guid>
    <b:Title>Regulating Policing</b:Title>
    <b:Year>2008</b:Year>
    <b:City>Oregon</b:City>
    <b:Publisher>Hart Publishing</b:Publisher>
    <b:Author>
      <b:Author>
        <b:NameList>
          <b:Person>
            <b:Last>Young</b:Last>
            <b:First>Ed</b:First>
            <b:Middle>Cape &amp; Richard</b:Middle>
          </b:Person>
        </b:NameList>
      </b:Author>
    </b:Author>
    <b:Edition>1st</b:Edition>
    <b:RefOrder>3</b:RefOrder>
  </b:Source>
  <b:Source>
    <b:Tag>Geo84</b:Tag>
    <b:SourceType>BookSection</b:SourceType>
    <b:Guid>{1688633C-A189-42A5-BD22-4A2C6ACF4740}</b:Guid>
    <b:Title>The Brixton disorders</b:Title>
    <b:Year>1984</b:Year>
    <b:Pages>63-72</b:Pages>
    <b:Author>
      <b:Author>
        <b:NameList>
          <b:Person>
            <b:Last>Greaves</b:Last>
            <b:First>George</b:First>
          </b:Person>
        </b:NameList>
      </b:Author>
      <b:BookAuthor>
        <b:NameList>
          <b:Person>
            <b:Last>Benyon</b:Last>
            <b:First>John</b:First>
          </b:Person>
        </b:NameList>
      </b:BookAuthor>
      <b:Editor>
        <b:NameList>
          <b:Person>
            <b:Last>Benyon</b:Last>
            <b:First>John</b:First>
          </b:Person>
        </b:NameList>
      </b:Editor>
    </b:Author>
    <b:BookTitle>Lord Scarman's Report, the Riots and their Aftermath</b:BookTitle>
    <b:City>Brixton</b:City>
    <b:Publisher>Elsevier Ltd</b:Publisher>
    <b:RefOrder>2</b:RefOrder>
  </b:Source>
  <b:Source>
    <b:Tag>Mia17</b:Tag>
    <b:SourceType>DocumentFromInternetSite</b:SourceType>
    <b:Guid>{B10EA3FB-700A-4ED6-8D35-E5B676C0F454}</b:Guid>
    <b:Author>
      <b:Author>
        <b:NameList>
          <b:Person>
            <b:Last>Murphy</b:Last>
            <b:First>Miall</b:First>
          </b:Person>
        </b:NameList>
      </b:Author>
    </b:Author>
    <b:Title>History of PACE</b:Title>
    <b:Year>2017</b:Year>
    <b:Month>March</b:Month>
    <b:Day>8</b:Day>
    <b:YearAccessed>2023</b:YearAccessed>
    <b:MonthAccessed>January</b:MonthAccessed>
    <b:DayAccessed>28</b:DayAccessed>
    <b:URL>https://krw-law.ie/wp-content/uploads/2017/05/The-Role-of-a-Solicitor-in-the-Police-Station-PACE-IPLS-8.3.17.pdf</b:URL>
    <b:RefOrder>4</b:RefOrder>
  </b:Source>
  <b:Source>
    <b:Tag>Bay02</b:Tag>
    <b:SourceType>ArticleInAPeriodical</b:SourceType>
    <b:Guid>{15BF7A89-CD47-4ED6-AC49-486EDB3C9CB9}</b:Guid>
    <b:Title>Law Enforcement and the Rule of Law</b:Title>
    <b:Year>2002</b:Year>
    <b:Month>November</b:Month>
    <b:Day>1</b:Day>
    <b:Author>
      <b:Author>
        <b:NameList>
          <b:Person>
            <b:Last>Bayley</b:Last>
            <b:First>David</b:First>
          </b:Person>
        </b:NameList>
      </b:Author>
    </b:Author>
    <b:BookTitle>Criminology and Public Policy 2</b:BookTitle>
    <b:Pages>133-154</b:Pages>
    <b:Publisher>Wiley</b:Publisher>
    <b:PeriodicalTitle>Criminology and Public Policy 2</b:PeriodicalTitle>
    <b:RefOrder>29</b:RefOrder>
  </b:Source>
  <b:Source>
    <b:Tag>Her90</b:Tag>
    <b:SourceType>Report</b:SourceType>
    <b:Guid>{334F01DF-4D7C-43E1-8AA1-C4BCF93EC027}</b:Guid>
    <b:Title>Problem-Orentated Policing</b:Title>
    <b:Year>1990</b:Year>
    <b:Author>
      <b:Author>
        <b:NameList>
          <b:Person>
            <b:Last>Goldstein</b:Last>
            <b:First>Herman</b:First>
          </b:Person>
        </b:NameList>
      </b:Author>
    </b:Author>
    <b:Publisher>McGraw-Hill</b:Publisher>
    <b:City>New York</b:City>
    <b:RefOrder>26</b:RefOrder>
  </b:Source>
  <b:Source>
    <b:Tag>Mic00</b:Tag>
    <b:SourceType>Report</b:SourceType>
    <b:Guid>{E4353786-477B-44E2-BB5C-1DD274CCC38D}</b:Guid>
    <b:Author>
      <b:Author>
        <b:NameList>
          <b:Person>
            <b:Last>Scott</b:Last>
            <b:First>Michael</b:First>
            <b:Middle>S</b:Middle>
          </b:Person>
        </b:NameList>
      </b:Author>
    </b:Author>
    <b:Title>Problem-Oriented Policing: Reflections on the first 20 years</b:Title>
    <b:Year>2000</b:Year>
    <b:Publisher>U.S Department of Justice</b:Publisher>
    <b:City>Washington DC</b:City>
    <b:RefOrder>27</b:RefOrder>
  </b:Source>
  <b:Source>
    <b:Tag>Her68</b:Tag>
    <b:SourceType>Report</b:SourceType>
    <b:Guid>{9EEB0FDB-C8EB-42B9-B53F-D9D13B81EECB}</b:Guid>
    <b:Author>
      <b:Author>
        <b:NameList>
          <b:Person>
            <b:Last>Packer</b:Last>
            <b:First>Herbert</b:First>
          </b:Person>
        </b:NameList>
      </b:Author>
    </b:Author>
    <b:Title>The limits of criminal sanction</b:Title>
    <b:Year>1968</b:Year>
    <b:Publisher>Stanford University Press</b:Publisher>
    <b:City>Stanford</b:City>
    <b:RefOrder>28</b:RefOrder>
  </b:Source>
  <b:Source>
    <b:Tag>Ind20</b:Tag>
    <b:SourceType>InternetSite</b:SourceType>
    <b:Guid>{B097A432-1A98-445D-A74F-68B22AB78B6C}</b:Guid>
    <b:Title>Accountability and performance</b:Title>
    <b:Year>2020</b:Year>
    <b:Author>
      <b:Author>
        <b:Corporate>Conduct, Independent Office for Police</b:Corporate>
      </b:Author>
    </b:Author>
    <b:YearAccessed>2023</b:YearAccessed>
    <b:MonthAccessed>Febuary</b:MonthAccessed>
    <b:DayAccessed>4</b:DayAccessed>
    <b:URL>https://www.policeconduct.gov.uk/who-we-are/accountability-and-performance</b:URL>
    <b:RefOrder>20</b:RefOrder>
  </b:Source>
  <b:Source>
    <b:Tag>Dav04</b:Tag>
    <b:SourceType>JournalArticle</b:SourceType>
    <b:Guid>{A2A58339-042A-4F0E-B7F0-FC03BE3804AF}</b:Guid>
    <b:Title>What can Police Do to Reduce Cime, Disorder, and Fear?</b:Title>
    <b:Year>2004</b:Year>
    <b:Author>
      <b:Author>
        <b:NameList>
          <b:Person>
            <b:Last>Weisburd</b:Last>
            <b:First>David</b:First>
          </b:Person>
        </b:NameList>
      </b:Author>
    </b:Author>
    <b:JournalName>The ANNALS of the American Academy of Political and Social Science</b:JournalName>
    <b:Pages>42-65</b:Pages>
    <b:Volume>1</b:Volume>
    <b:Issue>593</b:Issue>
    <b:RefOrder>22</b:RefOrder>
  </b:Source>
  <b:Source>
    <b:Tag>Ron04</b:Tag>
    <b:SourceType>JournalArticle</b:SourceType>
    <b:Guid>{D21E00AB-6B18-4175-BE40-66DE9514AFE4}</b:Guid>
    <b:Author>
      <b:Author>
        <b:NameList>
          <b:Person>
            <b:Last>Weitzer</b:Last>
            <b:First>Ronald</b:First>
          </b:Person>
          <b:Person>
            <b:Last>Tuch</b:Last>
            <b:First>Steven</b:First>
          </b:Person>
        </b:NameList>
      </b:Author>
    </b:Author>
    <b:Title>Perceptions of Police Misconduct</b:Title>
    <b:JournalName>Social Problems</b:JournalName>
    <b:Year>2004</b:Year>
    <b:Pages>305-325</b:Pages>
    <b:Volume>51</b:Volume>
    <b:Issue>3</b:Issue>
    <b:RefOrder>23</b:RefOrder>
  </b:Source>
  <b:Source>
    <b:Tag>Equ18</b:Tag>
    <b:SourceType>InternetSite</b:SourceType>
    <b:Guid>{081EFC07-07BB-456F-8500-ABA03D6614FB}</b:Guid>
    <b:Title>The Human Rights Act</b:Title>
    <b:Year>2018</b:Year>
    <b:Author>
      <b:Author>
        <b:Corporate>Equality and Human Rights Commission</b:Corporate>
      </b:Author>
    </b:Author>
    <b:YearAccessed>2023</b:YearAccessed>
    <b:MonthAccessed>Febuary</b:MonthAccessed>
    <b:DayAccessed>4</b:DayAccessed>
    <b:URL>https://www.equalityhumanrights.com/en/human-rights/human-rights-act</b:URL>
    <b:RefOrder>21</b:RefOrder>
  </b:Source>
  <b:Source>
    <b:Tag>Ins22</b:Tag>
    <b:SourceType>InternetSite</b:SourceType>
    <b:Guid>{458C049C-55CB-426E-A4BE-BF50FDE2AF83}</b:Guid>
    <b:Author>
      <b:Author>
        <b:Corporate>Institute for Government</b:Corporate>
      </b:Author>
    </b:Author>
    <b:Title>Police Accountability</b:Title>
    <b:Year>2022</b:Year>
    <b:YearAccessed>2023</b:YearAccessed>
    <b:MonthAccessed>Febuary</b:MonthAccessed>
    <b:DayAccessed>5</b:DayAccessed>
    <b:URL>https://www.instituteforgovernment.org.uk/article/explainer/police-accountability#:~:text=Accountability%20is%20therefore%20essential%20to,the%20need%20for%20strengthened%20accountability.</b:URL>
    <b:RefOrder>25</b:RefOrder>
  </b:Source>
  <b:Source>
    <b:Tag>Dav041</b:Tag>
    <b:SourceType>JournalArticle</b:SourceType>
    <b:Guid>{86303824-F02B-4B10-97AE-A37BC6D9FE3E}</b:Guid>
    <b:Title>What Can Police Do to Reduce Crime, Disorder and Fear?</b:Title>
    <b:Year>2004</b:Year>
    <b:Author>
      <b:Author>
        <b:NameList>
          <b:Person>
            <b:Last>Weisburd</b:Last>
            <b:First>David</b:First>
          </b:Person>
          <b:Person>
            <b:Last>Eck</b:Last>
            <b:First>John</b:First>
          </b:Person>
        </b:NameList>
      </b:Author>
    </b:Author>
    <b:JournalName>The ANNALS of the American Academy of Political and Socail Science</b:JournalName>
    <b:Pages>42-65</b:Pages>
    <b:Volume>1</b:Volume>
    <b:Issue>593</b:Issue>
    <b:RefOrder>24</b:RefOrder>
  </b:Source>
  <b:Source>
    <b:Tag>Meg15</b:Tag>
    <b:SourceType>JournalArticle</b:SourceType>
    <b:Guid>{D49A0B1F-6F3E-4566-AB55-AF53FA1BE7C8}</b:Guid>
    <b:Author>
      <b:Author>
        <b:NameList>
          <b:Person>
            <b:Last>O'Neill</b:Last>
            <b:First>Megan</b:First>
          </b:Person>
        </b:NameList>
      </b:Author>
    </b:Author>
    <b:Title>The Case for the Acceptable 'Other'</b:Title>
    <b:JournalName>The Impact of Partnerships, PCSO's, and Neighbourhood Policing on Diversity in Policing</b:JournalName>
    <b:Year>2015</b:Year>
    <b:Pages>77-88</b:Pages>
    <b:Volume>9</b:Volume>
    <b:Issue>1</b:Issue>
    <b:RefOrder>7</b:RefOrder>
  </b:Source>
  <b:Source>
    <b:Tag>Cri23</b:Tag>
    <b:SourceType>InternetSite</b:SourceType>
    <b:Guid>{5D2B7261-4E28-4998-9FB5-FF6329618283}</b:Guid>
    <b:Title>The murder of Stephen Lawrence</b:Title>
    <b:Year>2023</b:Year>
    <b:Author>
      <b:Author>
        <b:Corporate>Crime and Investigation</b:Corporate>
      </b:Author>
    </b:Author>
    <b:YearAccessed>2023</b:YearAccessed>
    <b:MonthAccessed>Febuary</b:MonthAccessed>
    <b:DayAccessed>5</b:DayAccessed>
    <b:URL>https://www.crimeandinvestigation.co.uk/article/the-murder-of-stephen-lawrence</b:URL>
    <b:RefOrder>8</b:RefOrder>
  </b:Source>
  <b:Source>
    <b:Tag>Chi19</b:Tag>
    <b:SourceType>InternetSite</b:SourceType>
    <b:Guid>{9E4918C3-05FB-4CED-9ECF-D3E0139E4424}</b:Guid>
    <b:Author>
      <b:Author>
        <b:Corporate>Childrens Commissioner</b:Corporate>
      </b:Author>
    </b:Author>
    <b:Title>The same mistakes that led to child sexual exploitation are being repeated with gangs</b:Title>
    <b:Year>2019</b:Year>
    <b:YearAccessed>2023</b:YearAccessed>
    <b:MonthAccessed>January</b:MonthAccessed>
    <b:DayAccessed>20</b:DayAccessed>
    <b:URL>https://www.childrenscommissioner.gov.uk/2019/02/28/childrens-commissioner-for-england-warns-the-same-mistakes-that-led-to-child-sexual-exploitation-failings-are-being-repeated-with-gangs/</b:URL>
    <b:RefOrder>9</b:RefOrder>
  </b:Source>
  <b:Source>
    <b:Tag>Chi21</b:Tag>
    <b:SourceType>InternetSite</b:SourceType>
    <b:Guid>{0AA1C218-6EED-4BBF-9F1D-8B12FB2C824D}</b:Guid>
    <b:Author>
      <b:Author>
        <b:Corporate>Childrens Commisioner</b:Corporate>
      </b:Author>
    </b:Author>
    <b:Title>Children will keep dying on our streets until there is a joined up public health response to gangs</b:Title>
    <b:Year>2021</b:Year>
    <b:YearAccessed>2023</b:YearAccessed>
    <b:MonthAccessed>January</b:MonthAccessed>
    <b:DayAccessed>21</b:DayAccessed>
    <b:URL>https://www.childrenscommissioner.gov.uk/2021/02/06/children-will-keep-dying-on-our-streets-until-there-is-a-joined-up-public-health-response-to-gangs/</b:URL>
    <b:RefOrder>10</b:RefOrder>
  </b:Source>
  <b:Source>
    <b:Tag>Ric91</b:Tag>
    <b:SourceType>ArticleInAPeriodical</b:SourceType>
    <b:Guid>{9336DDF3-DBF2-47EC-BDB0-3AAD081BEA49}</b:Guid>
    <b:Title>CRIME AND THE EMPLOYMENT OF DISADVANTAGED YOUTHS</b:Title>
    <b:Year>1991</b:Year>
    <b:Pages>1-40</b:Pages>
    <b:Author>
      <b:Author>
        <b:NameList>
          <b:Person>
            <b:Last>Freeman</b:Last>
            <b:First>Richard</b:First>
          </b:Person>
        </b:NameList>
      </b:Author>
    </b:Author>
    <b:Month>October</b:Month>
    <b:Day>1</b:Day>
    <b:RefOrder>11</b:RefOrder>
  </b:Source>
  <b:Source>
    <b:Tag>Hel13</b:Tag>
    <b:SourceType>JournalArticle</b:SourceType>
    <b:Guid>{FE433DDF-B0B9-4BB9-A74B-C1C69DD76FF7}</b:Guid>
    <b:Title>A review of young people's vulnerabilities to online grooming</b:Title>
    <b:Year>2013</b:Year>
    <b:Pages>135-146</b:Pages>
    <b:Author>
      <b:Author>
        <b:NameList>
          <b:Person>
            <b:Last>Whittle</b:Last>
            <b:First>Helen</b:First>
          </b:Person>
          <b:Person>
            <b:Last>Hamilton-Giachritsis</b:Last>
            <b:First>Catherine</b:First>
          </b:Person>
          <b:Person>
            <b:Last>Beech</b:Last>
            <b:First>Anthony</b:First>
          </b:Person>
          <b:Person>
            <b:Last>Guy Collings</b:Last>
          </b:Person>
        </b:NameList>
      </b:Author>
    </b:Author>
    <b:BookTitle>Aggression and Violent Behavior</b:BookTitle>
    <b:JournalName>Aggression and Violent Behavior</b:JournalName>
    <b:Volume>18</b:Volume>
    <b:Issue>1</b:Issue>
    <b:RefOrder>12</b:RefOrder>
  </b:Source>
  <b:Source>
    <b:Tag>Hom18</b:Tag>
    <b:SourceType>DocumentFromInternetSite</b:SourceType>
    <b:Guid>{26A4CD84-BD8A-441C-9125-049D52D50CB9}</b:Guid>
    <b:Title>Criminal Exploitation of children and vulnerable adults: County Lines guidance</b:Title>
    <b:Year>2018</b:Year>
    <b:Month>September</b:Month>
    <b:Day>1</b:Day>
    <b:Author>
      <b:Author>
        <b:Corporate>Home Office</b:Corporate>
      </b:Author>
    </b:Author>
    <b:YearAccessed>2023</b:YearAccessed>
    <b:MonthAccessed>January </b:MonthAccessed>
    <b:DayAccessed>22</b:DayAccessed>
    <b:URL>https://assets.publishing.service.gov.uk/government/uploads/system/uploads/attachment_data/file/863323/HOCountyLinesGuidance_-_Sept2018.pdf</b:URL>
    <b:RefOrder>13</b:RefOrder>
  </b:Source>
  <b:Source>
    <b:Tag>Chi191</b:Tag>
    <b:SourceType>InternetSite</b:SourceType>
    <b:Guid>{76A8A1C6-A326-47B5-AAAB-869700F2BF28}</b:Guid>
    <b:Title>The same mistakes that led to child sexual exploitation are being repeated with gangs</b:Title>
    <b:Year>2019</b:Year>
    <b:YearAccessed>2023</b:YearAccessed>
    <b:MonthAccessed>January </b:MonthAccessed>
    <b:DayAccessed>25</b:DayAccessed>
    <b:URL>https://www.childrenscommissioner.gov.uk/2019/02/28/childrens-commissioner-for-england-warns-the-same-mistakes-that-led-to-child-sexual-exploitation-failings-are-being-repeated-with-gangs/</b:URL>
    <b:Author>
      <b:Author>
        <b:Corporate>Childrens Commissioner</b:Corporate>
      </b:Author>
    </b:Author>
    <b:RefOrder>14</b:RefOrder>
  </b:Source>
  <b:Source>
    <b:Tag>Min21</b:Tag>
    <b:SourceType>InternetSite</b:SourceType>
    <b:Guid>{37A795E6-21B3-482B-BA21-94A2B1F0C0BA}</b:Guid>
    <b:Author>
      <b:Author>
        <b:Corporate>Ministry of Justice</b:Corporate>
      </b:Author>
    </b:Author>
    <b:Title>Multi-Agency Public Protection Arrangements Annual Report 2020/21</b:Title>
    <b:Year>2021</b:Year>
    <b:YearAccessed>2023</b:YearAccessed>
    <b:MonthAccessed>January</b:MonthAccessed>
    <b:DayAccessed>26</b:DayAccessed>
    <b:URL>https://assets.publishing.service.gov.uk/government/uploads/system/uploads/attachment_data/file/1029349/MAPPA_Annual_Report_2020-21.pdf</b:URL>
    <b:RefOrder>15</b:RefOrder>
  </b:Source>
  <b:Source>
    <b:Tag>Nat</b:Tag>
    <b:SourceType>InternetSite</b:SourceType>
    <b:Guid>{E481B66E-CD12-47D1-8DCB-D586213AC8C4}</b:Guid>
    <b:Author>
      <b:Author>
        <b:Corporate>National Audit Office</b:Corporate>
      </b:Author>
    </b:Author>
    <b:Title>Multi-Agency Public Protection Arrangements: A progress report</b:Title>
    <b:Year>2017</b:Year>
    <b:YearAccessed>2023</b:YearAccessed>
    <b:MonthAccessed>January </b:MonthAccessed>
    <b:DayAccessed>27</b:DayAccessed>
    <b:URL>https://www.nao.org.uk/wp-content/uploads/2017/11/Multi-Agency-Public-Protection-Arrangements.pdf</b:URL>
    <b:RefOrder>16</b:RefOrder>
  </b:Source>
  <b:Source>
    <b:Tag>Jus21</b:Tag>
    <b:SourceType>InternetSite</b:SourceType>
    <b:Guid>{D1175D2F-EC07-43F1-9E19-E49676187B6A}</b:Guid>
    <b:Author>
      <b:Author>
        <b:Corporate>Justice Inspectorates</b:Corporate>
      </b:Author>
    </b:Author>
    <b:Title>Multi-agency public protection arrangements</b:Title>
    <b:Year>2021</b:Year>
    <b:YearAccessed>2023</b:YearAccessed>
    <b:MonthAccessed>January</b:MonthAccessed>
    <b:DayAccessed>28</b:DayAccessed>
    <b:URL>https://www.justiceinspectorates.gov.uk/hmiprobation/research/the-evidence-base-probation/specific-types-of-delivery/mappa/</b:URL>
    <b:RefOrder>17</b:RefOrder>
  </b:Source>
  <b:Source>
    <b:Tag>Jus22</b:Tag>
    <b:SourceType>InternetSite</b:SourceType>
    <b:Guid>{8E9A77DE-1B4A-424C-A7DD-F7EA630599B8}</b:Guid>
    <b:Author>
      <b:Author>
        <b:Corporate>Justice Inspectorates</b:Corporate>
      </b:Author>
    </b:Author>
    <b:Title>Effective practice guide</b:Title>
    <b:Year>2022</b:Year>
    <b:YearAccessed>2023</b:YearAccessed>
    <b:MonthAccessed>January</b:MonthAccessed>
    <b:DayAccessed>28</b:DayAccessed>
    <b:URL>https://www.justiceinspectorates.gov.uk/hmiprobation/wp-content/uploads/sites/5/2022/07/MAPPA-EP-Guide-design-v1.0.pdf</b:URL>
    <b:RefOrder>18</b:RefOrder>
  </b:Source>
  <b:Source>
    <b:Tag>Ang22</b:Tag>
    <b:SourceType>InternetSite</b:SourceType>
    <b:Guid>{566B9CC2-275F-4E97-9C73-29C0036267AE}</b:Guid>
    <b:Author>
      <b:Author>
        <b:Corporate>Anglia Ruskin University </b:Corporate>
      </b:Author>
    </b:Author>
    <b:Title>National Review of the Multi Agency Public Protection Arrangements</b:Title>
    <b:Year>2022</b:Year>
    <b:YearAccessed>2023</b:YearAccessed>
    <b:MonthAccessed>January</b:MonthAccessed>
    <b:DayAccessed>27</b:DayAccessed>
    <b:URL>https://aru.ac.uk/policing-institute/research/mappa#</b:URL>
    <b:RefOrder>19</b:RefOrder>
  </b:Source>
</b:Sources>
</file>

<file path=customXml/itemProps1.xml><?xml version="1.0" encoding="utf-8"?>
<ds:datastoreItem xmlns:ds="http://schemas.openxmlformats.org/officeDocument/2006/customXml" ds:itemID="{7C13ED5D-1AA8-4C98-94D9-43F4B5C9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4907</Words>
  <Characters>27976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Williams</dc:creator>
  <cp:keywords/>
  <dc:description/>
  <cp:lastModifiedBy>Lloyd Williams</cp:lastModifiedBy>
  <cp:revision>2</cp:revision>
  <dcterms:created xsi:type="dcterms:W3CDTF">2023-02-06T21:27:00Z</dcterms:created>
  <dcterms:modified xsi:type="dcterms:W3CDTF">2023-02-06T21:27:00Z</dcterms:modified>
</cp:coreProperties>
</file>