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pPr>
      <w:r w:rsidDel="00000000" w:rsidR="00000000" w:rsidRPr="00000000">
        <w:rPr>
          <w:rtl w:val="0"/>
        </w:rPr>
        <w:t xml:space="preserve">The study of the ‘Rich Lady of the Areopagus’ and burial practices and beliefs of iron age Greece.</w:t>
      </w:r>
    </w:p>
    <w:p w:rsidR="00000000" w:rsidDel="00000000" w:rsidP="00000000" w:rsidRDefault="00000000" w:rsidRPr="00000000" w14:paraId="00000002">
      <w:pPr>
        <w:jc w:val="cente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At the hill of Areopagus in Athens, Greece are thirty-one tombs dating from the Submycenaen through to the Geometric periods, ca. 1150-700 BCE (Smithson, 1968, p. 78). On June 14, 1967, excavation was resumed at this site, led by Smithson, whereby a burial site was newly excavated (ibid.). This tomb, named Agora Tomb 15 (Lloyd, 2020), will be the focus of this essay. Dated to the Early Geometric II Period, ca. 850 BCE (Lloyd, 2020), this burial, containing a woman named by Smithson </w:t>
      </w:r>
      <w:r w:rsidDel="00000000" w:rsidR="00000000" w:rsidRPr="00000000">
        <w:rPr>
          <w:i w:val="1"/>
          <w:rtl w:val="0"/>
        </w:rPr>
        <w:t xml:space="preserve">gyne Arriphronos</w:t>
      </w:r>
      <w:r w:rsidDel="00000000" w:rsidR="00000000" w:rsidRPr="00000000">
        <w:rPr>
          <w:rtl w:val="0"/>
        </w:rPr>
        <w:t xml:space="preserve"> (Coldstream, 1995, p. 391), and later referred to as The ‘Rich Athenian Lady’ (Lloyd, 2020) and ‘The Rich Lady of the Areopagus’ (Coldstream, 1995, p. 391)</w:t>
      </w:r>
      <w:r w:rsidDel="00000000" w:rsidR="00000000" w:rsidRPr="00000000">
        <w:rPr>
          <w:rtl w:val="0"/>
        </w:rPr>
        <w:t xml:space="preserve"> was described by Smithson (1968, p.78) as being “the richest [burial] of post-Mycenean times in the Agora [...] and perhaps the richest of its period in Athens”. </w:t>
      </w:r>
    </w:p>
    <w:p w:rsidR="00000000" w:rsidDel="00000000" w:rsidP="00000000" w:rsidRDefault="00000000" w:rsidRPr="00000000" w14:paraId="00000004">
      <w:pPr>
        <w:rPr/>
      </w:pPr>
      <w:r w:rsidDel="00000000" w:rsidR="00000000" w:rsidRPr="00000000">
        <w:rPr>
          <w:rtl w:val="0"/>
        </w:rPr>
        <w:tab/>
        <w:t xml:space="preserve">The burial can be described as quite typical of its period, and is described as a trench and hole burial. Burial styles from early iron age Athens are remarkably consistent, and Tomb 15 isn’t an exception (Lloyd, 2020; Smithson, 1968, p. 78). Snodgrass (2000, pp. 142-143) talks of urn-burials being common, and describes them as being a burial type whereby typically adults, and typically also male, are cremated and then buried in an urn with artefacts inside and outside the urn. Noteworthy is the fact that this is a form of secondary cremation, whereby the cremation itself takes place at a funerary pyre, typically located at a short distance from the grave and used multiple times (ibid.). This description, as can seen by the illustration provided, fits this burial. A funerary pyre was found nearby, and was heavily burnt, with a high concentration of pyre debris. Once the body had been cremated and the fire cooled, the bones and ashes of the deceased were gathered and deposited inside the urn, along with jewellery that had been removed prior to the cremation were also placed within the urn (Smithson, 1968, p. 80). Notably, smaller urns, which Smithson (ibid.) suggests as being perhaps symbolic of food and necessities for the deceased were “clustered around the shoulder of the urn”, in the shallower south end of the trench. </w: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917738</wp:posOffset>
                </wp:positionH>
                <wp:positionV relativeFrom="paragraph">
                  <wp:posOffset>1634063</wp:posOffset>
                </wp:positionV>
                <wp:extent cx="3895725" cy="2543175"/>
                <wp:effectExtent b="0" l="0" r="0" t="0"/>
                <wp:wrapTopAndBottom distB="114300" distT="114300"/>
                <wp:docPr id="1" name=""/>
                <a:graphic>
                  <a:graphicData uri="http://schemas.microsoft.com/office/word/2010/wordprocessingGroup">
                    <wpg:wgp>
                      <wpg:cNvGrpSpPr/>
                      <wpg:grpSpPr>
                        <a:xfrm>
                          <a:off x="152400" y="152400"/>
                          <a:ext cx="3895725" cy="2543175"/>
                          <a:chOff x="152400" y="152400"/>
                          <a:chExt cx="3876675" cy="2523450"/>
                        </a:xfrm>
                      </wpg:grpSpPr>
                      <pic:pic>
                        <pic:nvPicPr>
                          <pic:cNvPr id="2" name="Shape 2"/>
                          <pic:cNvPicPr preferRelativeResize="0"/>
                        </pic:nvPicPr>
                        <pic:blipFill>
                          <a:blip r:embed="rId6">
                            <a:alphaModFix/>
                          </a:blip>
                          <a:stretch>
                            <a:fillRect/>
                          </a:stretch>
                        </pic:blipFill>
                        <pic:spPr>
                          <a:xfrm>
                            <a:off x="152400" y="152400"/>
                            <a:ext cx="3876675" cy="2000250"/>
                          </a:xfrm>
                          <a:prstGeom prst="rect">
                            <a:avLst/>
                          </a:prstGeom>
                          <a:noFill/>
                          <a:ln>
                            <a:noFill/>
                          </a:ln>
                        </pic:spPr>
                      </pic:pic>
                      <wps:wsp>
                        <wps:cNvSpPr txBox="1"/>
                        <wps:cNvPr id="3" name="Shape 3"/>
                        <wps:spPr>
                          <a:xfrm>
                            <a:off x="156188" y="2152650"/>
                            <a:ext cx="3869100" cy="523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t xml:space="preserve">Cross-sections of the urn burial of Tomb 15 (Snodgrass, 2000, p.145)</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917738</wp:posOffset>
                </wp:positionH>
                <wp:positionV relativeFrom="paragraph">
                  <wp:posOffset>1634063</wp:posOffset>
                </wp:positionV>
                <wp:extent cx="3895725" cy="2543175"/>
                <wp:effectExtent b="0" l="0" r="0" t="0"/>
                <wp:wrapTopAndBottom distB="114300" distT="114300"/>
                <wp:docPr id="1" name="image1.png"/>
                <a:graphic>
                  <a:graphicData uri="http://schemas.openxmlformats.org/drawingml/2006/picture">
                    <pic:pic>
                      <pic:nvPicPr>
                        <pic:cNvPr id="0" name="image1.png"/>
                        <pic:cNvPicPr preferRelativeResize="0"/>
                      </pic:nvPicPr>
                      <pic:blipFill>
                        <a:blip r:embed="rId7"/>
                        <a:srcRect/>
                        <a:stretch>
                          <a:fillRect/>
                        </a:stretch>
                      </pic:blipFill>
                      <pic:spPr>
                        <a:xfrm>
                          <a:off x="0" y="0"/>
                          <a:ext cx="3895725" cy="2543175"/>
                        </a:xfrm>
                        <a:prstGeom prst="rect"/>
                        <a:ln/>
                      </pic:spPr>
                    </pic:pic>
                  </a:graphicData>
                </a:graphic>
              </wp:anchor>
            </w:drawing>
          </mc:Fallback>
        </mc:AlternateContent>
      </w:r>
    </w:p>
    <w:p w:rsidR="00000000" w:rsidDel="00000000" w:rsidP="00000000" w:rsidRDefault="00000000" w:rsidRPr="00000000" w14:paraId="00000005">
      <w:pPr>
        <w:ind w:left="0" w:firstLine="0"/>
        <w:rPr/>
      </w:pPr>
      <w:r w:rsidDel="00000000" w:rsidR="00000000" w:rsidRPr="00000000">
        <w:rPr>
          <w:rtl w:val="0"/>
        </w:rPr>
        <w:tab/>
        <w:t xml:space="preserve">Whilst a detailed description of the contents of the tomb isn’t the purpose of this essay, somewhat of a description is needed to grasp perhaps the most uncommon feature of this grave: the wealthiness of it (Lloyd, 2020). The mouth of the urn was stopped with an intact cup, with no earth penetrating its interior. Within it were bones of a woman, animal bones, pins, jewellery of both bronze and gold, ivory stamp seals and an ivory disk (Smithson, 1968, p. 81). Later, foetal remains were also found, with evidence suggesting that the lady was pregnant at the time of her cremation due to the condition of the foetal remains (Liston and Papadopoulos, 2004, pp. 18-19). Due to the lack of repetition in jewellery, Smithson (ibid.) suggests that they were worn at the </w:t>
      </w:r>
      <w:r w:rsidDel="00000000" w:rsidR="00000000" w:rsidRPr="00000000">
        <w:rPr>
          <w:i w:val="1"/>
          <w:rtl w:val="0"/>
        </w:rPr>
        <w:t xml:space="preserve">prothesis</w:t>
      </w:r>
      <w:r w:rsidDel="00000000" w:rsidR="00000000" w:rsidRPr="00000000">
        <w:rPr>
          <w:rtl w:val="0"/>
        </w:rPr>
        <w:t xml:space="preserve">. All were removed before burning, there is no evidence of burning on these items (ibid.). The urn was buried alongside three small jugs, a pyxis, a bronze pin and a terracotta chest. All of these other smaller pots were seeped with earth (ibid.). The chest is very notable, and is perhaps one of the more famous parts of the burial. The chest has five model granaries and is ornately decorated, showcasing real skill and being described by Coldstream (1995, p. 395) as “the most fantastic pyxis ever devised”. The most obvious form of extravagance in this burial that has been omitted by this essay so far is that of the urn itself. Smithson writes: </w: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2360099</wp:posOffset>
                </wp:positionV>
                <wp:extent cx="5143500" cy="3257550"/>
                <wp:effectExtent b="0" l="0" r="0" t="0"/>
                <wp:wrapTopAndBottom distB="114300" distT="114300"/>
                <wp:docPr id="3" name=""/>
                <a:graphic>
                  <a:graphicData uri="http://schemas.microsoft.com/office/word/2010/wordprocessingGroup">
                    <wpg:wgp>
                      <wpg:cNvGrpSpPr/>
                      <wpg:grpSpPr>
                        <a:xfrm>
                          <a:off x="152325" y="152400"/>
                          <a:ext cx="5143500" cy="3257550"/>
                          <a:chOff x="152325" y="152400"/>
                          <a:chExt cx="5124600" cy="3240075"/>
                        </a:xfrm>
                      </wpg:grpSpPr>
                      <pic:pic>
                        <pic:nvPicPr>
                          <pic:cNvPr id="6" name="Shape 6"/>
                          <pic:cNvPicPr preferRelativeResize="0"/>
                        </pic:nvPicPr>
                        <pic:blipFill>
                          <a:blip r:embed="rId8">
                            <a:alphaModFix/>
                          </a:blip>
                          <a:stretch>
                            <a:fillRect/>
                          </a:stretch>
                        </pic:blipFill>
                        <pic:spPr>
                          <a:xfrm>
                            <a:off x="152400" y="152400"/>
                            <a:ext cx="5124450" cy="2886075"/>
                          </a:xfrm>
                          <a:prstGeom prst="rect">
                            <a:avLst/>
                          </a:prstGeom>
                          <a:noFill/>
                          <a:ln>
                            <a:noFill/>
                          </a:ln>
                        </pic:spPr>
                      </pic:pic>
                      <wps:wsp>
                        <wps:cNvSpPr txBox="1"/>
                        <wps:cNvPr id="7" name="Shape 7"/>
                        <wps:spPr>
                          <a:xfrm>
                            <a:off x="152325" y="3038475"/>
                            <a:ext cx="5124600" cy="354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t xml:space="preserve">Chest with five granary models on the lid (Lloyd, 2020)</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2360099</wp:posOffset>
                </wp:positionV>
                <wp:extent cx="5143500" cy="3257550"/>
                <wp:effectExtent b="0" l="0" r="0" t="0"/>
                <wp:wrapTopAndBottom distB="114300" distT="114300"/>
                <wp:docPr id="3" name="image3.png"/>
                <a:graphic>
                  <a:graphicData uri="http://schemas.openxmlformats.org/drawingml/2006/picture">
                    <pic:pic>
                      <pic:nvPicPr>
                        <pic:cNvPr id="0" name="image3.png"/>
                        <pic:cNvPicPr preferRelativeResize="0"/>
                      </pic:nvPicPr>
                      <pic:blipFill>
                        <a:blip r:embed="rId9"/>
                        <a:srcRect/>
                        <a:stretch>
                          <a:fillRect/>
                        </a:stretch>
                      </pic:blipFill>
                      <pic:spPr>
                        <a:xfrm>
                          <a:off x="0" y="0"/>
                          <a:ext cx="5143500" cy="3257550"/>
                        </a:xfrm>
                        <a:prstGeom prst="rect"/>
                        <a:ln/>
                      </pic:spPr>
                    </pic:pic>
                  </a:graphicData>
                </a:graphic>
              </wp:anchor>
            </w:drawing>
          </mc:Fallback>
        </mc:AlternateContent>
      </w:r>
    </w:p>
    <w:p w:rsidR="00000000" w:rsidDel="00000000" w:rsidP="00000000" w:rsidRDefault="00000000" w:rsidRPr="00000000" w14:paraId="00000006">
      <w:pPr>
        <w:ind w:left="720" w:firstLine="0"/>
        <w:rPr/>
      </w:pPr>
      <w:r w:rsidDel="00000000" w:rsidR="00000000" w:rsidRPr="00000000">
        <w:rPr>
          <w:rtl w:val="0"/>
        </w:rPr>
      </w:r>
    </w:p>
    <w:p w:rsidR="00000000" w:rsidDel="00000000" w:rsidP="00000000" w:rsidRDefault="00000000" w:rsidRPr="00000000" w14:paraId="00000007">
      <w:pPr>
        <w:ind w:left="720" w:firstLine="0"/>
        <w:rPr/>
      </w:pPr>
      <w:r w:rsidDel="00000000" w:rsidR="00000000" w:rsidRPr="00000000">
        <w:rPr>
          <w:rtl w:val="0"/>
        </w:rPr>
        <w:t xml:space="preserve">The pottery in these tombs stands out even in a period of extraordinary technical accomplishment. The best of it is formed with skill, taste and imagination, and it is exquisitely painted with an inventiveness that will not be seen in such force again until the Late Geometric.</w:t>
      </w:r>
    </w:p>
    <w:p w:rsidR="00000000" w:rsidDel="00000000" w:rsidP="00000000" w:rsidRDefault="00000000" w:rsidRPr="00000000" w14:paraId="00000008">
      <w:pPr>
        <w:ind w:left="720" w:firstLine="0"/>
        <w:rPr/>
      </w:pPr>
      <w:r w:rsidDel="00000000" w:rsidR="00000000" w:rsidRPr="00000000">
        <w:rPr>
          <w:rtl w:val="0"/>
        </w:rPr>
      </w:r>
    </w:p>
    <w:p w:rsidR="00000000" w:rsidDel="00000000" w:rsidP="00000000" w:rsidRDefault="00000000" w:rsidRPr="00000000" w14:paraId="00000009">
      <w:pPr>
        <w:ind w:left="720" w:firstLine="0"/>
        <w:jc w:val="right"/>
        <w:rPr/>
      </w:pPr>
      <w:r w:rsidDel="00000000" w:rsidR="00000000" w:rsidRPr="00000000">
        <w:rPr>
          <w:rtl w:val="0"/>
        </w:rPr>
        <w:t xml:space="preserve">(Smithson, 1968, p. 82)</w:t>
      </w:r>
    </w:p>
    <w:p w:rsidR="00000000" w:rsidDel="00000000" w:rsidP="00000000" w:rsidRDefault="00000000" w:rsidRPr="00000000" w14:paraId="0000000A">
      <w:pPr>
        <w:ind w:left="720" w:firstLine="0"/>
        <w:rPr/>
      </w:pPr>
      <w:r w:rsidDel="00000000" w:rsidR="00000000" w:rsidRPr="00000000">
        <w:rPr>
          <w:rtl w:val="0"/>
        </w:rPr>
      </w:r>
    </w:p>
    <w:p w:rsidR="00000000" w:rsidDel="00000000" w:rsidP="00000000" w:rsidRDefault="00000000" w:rsidRPr="00000000" w14:paraId="0000000B">
      <w:pPr>
        <w:ind w:left="0" w:firstLine="0"/>
        <w:rPr/>
      </w:pPr>
      <w:r w:rsidDel="00000000" w:rsidR="00000000" w:rsidRPr="00000000">
        <w:rPr>
          <w:rtl w:val="0"/>
        </w:rPr>
        <w:t xml:space="preserve">The mouth of the urn was closed tightly with an intact cup. Importantly, this means that the contents of the urn were found intact without any earth being found inside (Liston and Papadopoulos, 2004, p. 12). The urn is a large (72cm) belly shaped amphora (Lloyd, 2020), and is famous for its lavish design.</w:t>
      </w:r>
    </w:p>
    <w:p w:rsidR="00000000" w:rsidDel="00000000" w:rsidP="00000000" w:rsidRDefault="00000000" w:rsidRPr="00000000" w14:paraId="0000000C">
      <w:pPr>
        <w:ind w:left="0" w:firstLine="0"/>
        <w:rPr/>
      </w:pPr>
      <w:r w:rsidDel="00000000" w:rsidR="00000000" w:rsidRPr="00000000">
        <w:rPr>
          <w:rtl w:val="0"/>
        </w:rPr>
        <w:tab/>
        <w:t xml:space="preserve">A simple description of the contexts of the tomb is not the purpose of this essay and does not indicate what these contents indicate. A general context of the time period must be given to understand the burial practices that were being executed within this tomb. At the period that this urn has been dated, ca. 850 BCE (ibid.), ancient Greece was undergoing a period that was historically named by scholars as the </w:t>
      </w:r>
      <w:r w:rsidDel="00000000" w:rsidR="00000000" w:rsidRPr="00000000">
        <w:rPr>
          <w:i w:val="1"/>
          <w:rtl w:val="0"/>
        </w:rPr>
        <w:t xml:space="preserve">dark age</w:t>
      </w:r>
      <w:r w:rsidDel="00000000" w:rsidR="00000000" w:rsidRPr="00000000">
        <w:rPr>
          <w:rtl w:val="0"/>
        </w:rPr>
        <w:t xml:space="preserve">. This period exists between the fall of Mycenean civilisation and the rise of Archaic, and is named this due to the losing of the Linear B writing system, resulting in a distinct gap in written accounts during this period (Snodgrass, 2000, p. 1; Mark, 2023). This, essentially, results in the archaeological evidence of artefacts and burial practices being largely the main source of evidence for a chronology of this period, along with a reliance on later poetry and written evidence from writers such as Homer (Snodgrass, 2000, pp. 1-21). Whilst burial practices are meaningful, Hodder (1986, p. 3) proposed that burial practices are an </w:t>
      </w:r>
      <w:r w:rsidDel="00000000" w:rsidR="00000000" w:rsidRPr="00000000">
        <w:rPr>
          <w:i w:val="1"/>
          <w:rtl w:val="0"/>
        </w:rPr>
        <w:t xml:space="preserve">indirect</w:t>
      </w:r>
      <w:r w:rsidDel="00000000" w:rsidR="00000000" w:rsidRPr="00000000">
        <w:rPr>
          <w:rtl w:val="0"/>
        </w:rPr>
        <w:t xml:space="preserve"> reflection of human society, and that ideas, beliefs, and meaning which interpose themselves between people and </w:t>
      </w:r>
      <w:r w:rsidDel="00000000" w:rsidR="00000000" w:rsidRPr="00000000">
        <w:rPr>
          <w:i w:val="1"/>
          <w:rtl w:val="0"/>
        </w:rPr>
        <w:t xml:space="preserve">things</w:t>
      </w:r>
      <w:r w:rsidDel="00000000" w:rsidR="00000000" w:rsidRPr="00000000">
        <w:rPr>
          <w:rtl w:val="0"/>
        </w:rPr>
        <w:t xml:space="preserve">, and how burial reflects society clearly depends on attitudes to death. This idea applied, along with keeping in mind the lack of literary evidence of this period, relies heavily on a contextual and comparative approach to archaeology. The similarities and differences between burials of this period give archaeologists’ the answers they are looking for.</w: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-76199</wp:posOffset>
                </wp:positionH>
                <wp:positionV relativeFrom="paragraph">
                  <wp:posOffset>1352348</wp:posOffset>
                </wp:positionV>
                <wp:extent cx="3295650" cy="5838825"/>
                <wp:effectExtent b="0" l="0" r="0" t="0"/>
                <wp:wrapSquare wrapText="bothSides" distB="114300" distT="114300" distL="114300" distR="114300"/>
                <wp:docPr id="4" name=""/>
                <a:graphic>
                  <a:graphicData uri="http://schemas.microsoft.com/office/word/2010/wordprocessingGroup">
                    <wpg:wgp>
                      <wpg:cNvGrpSpPr/>
                      <wpg:grpSpPr>
                        <a:xfrm>
                          <a:off x="152400" y="152400"/>
                          <a:ext cx="3295650" cy="5838825"/>
                          <a:chOff x="152400" y="152400"/>
                          <a:chExt cx="3276600" cy="5819100"/>
                        </a:xfrm>
                      </wpg:grpSpPr>
                      <pic:pic>
                        <pic:nvPicPr>
                          <pic:cNvPr id="8" name="Shape 8"/>
                          <pic:cNvPicPr preferRelativeResize="0"/>
                        </pic:nvPicPr>
                        <pic:blipFill>
                          <a:blip r:embed="rId10">
                            <a:alphaModFix/>
                          </a:blip>
                          <a:stretch>
                            <a:fillRect/>
                          </a:stretch>
                        </pic:blipFill>
                        <pic:spPr>
                          <a:xfrm>
                            <a:off x="152400" y="152400"/>
                            <a:ext cx="3276600" cy="5295900"/>
                          </a:xfrm>
                          <a:prstGeom prst="rect">
                            <a:avLst/>
                          </a:prstGeom>
                          <a:noFill/>
                          <a:ln>
                            <a:noFill/>
                          </a:ln>
                        </pic:spPr>
                      </pic:pic>
                      <wps:wsp>
                        <wps:cNvSpPr txBox="1"/>
                        <wps:cNvPr id="9" name="Shape 9"/>
                        <wps:spPr>
                          <a:xfrm>
                            <a:off x="152400" y="5448300"/>
                            <a:ext cx="3276600" cy="523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t xml:space="preserve">Belly-handled amphora, closed with a cup, found in Agora Tomb 15 (Lloyd, 2020) </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-76199</wp:posOffset>
                </wp:positionH>
                <wp:positionV relativeFrom="paragraph">
                  <wp:posOffset>1352348</wp:posOffset>
                </wp:positionV>
                <wp:extent cx="3295650" cy="5838825"/>
                <wp:effectExtent b="0" l="0" r="0" t="0"/>
                <wp:wrapSquare wrapText="bothSides" distB="114300" distT="114300" distL="114300" distR="114300"/>
                <wp:docPr id="4" name="image4.png"/>
                <a:graphic>
                  <a:graphicData uri="http://schemas.openxmlformats.org/drawingml/2006/picture">
                    <pic:pic>
                      <pic:nvPicPr>
                        <pic:cNvPr id="0" name="image4.png"/>
                        <pic:cNvPicPr preferRelativeResize="0"/>
                      </pic:nvPicPr>
                      <pic:blipFill>
                        <a:blip r:embed="rId11"/>
                        <a:srcRect/>
                        <a:stretch>
                          <a:fillRect/>
                        </a:stretch>
                      </pic:blipFill>
                      <pic:spPr>
                        <a:xfrm>
                          <a:off x="0" y="0"/>
                          <a:ext cx="3295650" cy="5838825"/>
                        </a:xfrm>
                        <a:prstGeom prst="rect"/>
                        <a:ln/>
                      </pic:spPr>
                    </pic:pic>
                  </a:graphicData>
                </a:graphic>
              </wp:anchor>
            </w:drawing>
          </mc:Fallback>
        </mc:AlternateContent>
      </w:r>
    </w:p>
    <w:p w:rsidR="00000000" w:rsidDel="00000000" w:rsidP="00000000" w:rsidRDefault="00000000" w:rsidRPr="00000000" w14:paraId="0000000D">
      <w:pPr>
        <w:ind w:left="0" w:firstLine="0"/>
        <w:rPr/>
      </w:pPr>
      <w:r w:rsidDel="00000000" w:rsidR="00000000" w:rsidRPr="00000000">
        <w:rPr>
          <w:rtl w:val="0"/>
        </w:rPr>
        <w:tab/>
        <w:t xml:space="preserve">One of the initial comparisons that can be made with Tomb 15 is the level of wealth that is showcased by the burial. Langdon (2005, p. 231) discusses wealth in specifically female burials in iron age Greece, and she discusses three criteria for determining wealth and status by grave goods: distance from source, artefact diversity and hierarchy of raw materials. For the first of these points, the distance from source, a combination of local design and Near Eastern influences is suggested (Lloyd, 2020). Attica has no natural source of gold, so the gold jewellery must have been imported from presumably the near East, either worked or raw (ibid.). There are copious imports from the eastern mediterranean of faience and ivory found also (Coldstream, 1995, p. 397). The artefact diversity and hierarchy of raw materials is also obvious here, with there being a diverse range of expensive imported materials, such as a necklace of over a thousand disk beads in pale green faience, an ivory disk engraved with a human face and a pair of gold earrings which is described as using “the most sophisticated techniques of granulation and filigree” (ibid.). </w:t>
      </w:r>
    </w:p>
    <w:p w:rsidR="00000000" w:rsidDel="00000000" w:rsidP="00000000" w:rsidRDefault="00000000" w:rsidRPr="00000000" w14:paraId="0000000E">
      <w:pPr>
        <w:ind w:left="0" w:firstLine="0"/>
        <w:rPr/>
      </w:pPr>
      <w:r w:rsidDel="00000000" w:rsidR="00000000" w:rsidRPr="00000000">
        <w:rPr>
          <w:rtl w:val="0"/>
        </w:rPr>
        <w:tab/>
        <w:t xml:space="preserve">Another point of wealth and status that is seen in the burial is the chest with the five model granaries. Here, it has been suggested that the five model granaries showcase that her and/or her family would have made their wealth in arable land and grain, and it has also been suggested that this is evidence of her being a member of, or the wife of a member of, the </w:t>
      </w:r>
      <w:r w:rsidDel="00000000" w:rsidR="00000000" w:rsidRPr="00000000">
        <w:rPr>
          <w:i w:val="1"/>
          <w:rtl w:val="0"/>
        </w:rPr>
        <w:t xml:space="preserve">pentakosiomedimnoi,</w:t>
      </w:r>
      <w:r w:rsidDel="00000000" w:rsidR="00000000" w:rsidRPr="00000000">
        <w:rPr>
          <w:rtl w:val="0"/>
        </w:rPr>
        <w:t xml:space="preserve"> the highest level of Greek social class (Smithson, 1968, p. 83; Coldstream, 1995, p. 395). Evidence for a truly agricultural society at this time is limited, but the suggestion of this may show the beginnings of widespread agriculture, and a family who was ahead of their time (Snodgrass, 2000, p. 380). It is then not too presumptuous to believe that at this time Athenians had a belief of the importance in your burial, and that clearly what they were buried with and how they were represented in the ground (ie. wealthy agriculturalists). </w:t>
      </w:r>
    </w:p>
    <w:p w:rsidR="00000000" w:rsidDel="00000000" w:rsidP="00000000" w:rsidRDefault="00000000" w:rsidRPr="00000000" w14:paraId="0000000F">
      <w:pPr>
        <w:ind w:left="0" w:firstLine="0"/>
        <w:rPr/>
      </w:pPr>
      <w:r w:rsidDel="00000000" w:rsidR="00000000" w:rsidRPr="00000000">
        <w:rPr>
          <w:rtl w:val="0"/>
        </w:rPr>
        <w:tab/>
        <w:t xml:space="preserve">Another comparative and contextual feature that is exhibited by this burial, and by many more of its time and period, is that of burial type. In Attica, from the earliest point single burials were adopted. This carries on for the entire dark age, and a transition of typically inhumation burials within the Submycenean period to urn burials, as is seen in Tomb 15, in the Protogeometric and Geometric period is seen (Snodgrass, 2000, pp. 147-150). Notably however, whilst the osteological evidence is lacking, there seems to be a great lack of cremations of children and instead children seem to be always inhumated (Whitley, 1996, p. 214). This exists as evidence that the Athenians of this time believed that there was a significant rituary reason for both single burials and cremation, which is further showcased by Tomb 15.</w:t>
      </w:r>
    </w:p>
    <w:p w:rsidR="00000000" w:rsidDel="00000000" w:rsidP="00000000" w:rsidRDefault="00000000" w:rsidRPr="00000000" w14:paraId="00000010">
      <w:pPr>
        <w:ind w:left="0" w:firstLine="0"/>
        <w:rPr/>
      </w:pPr>
      <w:r w:rsidDel="00000000" w:rsidR="00000000" w:rsidRPr="00000000">
        <w:rPr>
          <w:rtl w:val="0"/>
        </w:rPr>
        <w:tab/>
        <w:t xml:space="preserve">Another feature of Athenian iron age burials is that concerning gender. Distinctively in Athens, burials of females are consistently wealthier than other regions, and often equally as wealthy or even sometime wealthier than male counterparts (Whitley, 1996, pp. 220-221). Whitley (1996, p. 222) really accentuates how strange for this period this is, stating that “it cannot be emphasised too strongly how unusual a pattern this is for Early Iron Age Greece. Distinctive rich female graves are found nowhere else”. He also writes of the distinctiveness in style between male and female urns at this period, stating that male graves are marked by </w:t>
      </w:r>
      <w:r w:rsidDel="00000000" w:rsidR="00000000" w:rsidRPr="00000000">
        <w:rPr>
          <w:i w:val="1"/>
          <w:rtl w:val="0"/>
        </w:rPr>
        <w:t xml:space="preserve">kraters</w:t>
      </w:r>
      <w:r w:rsidDel="00000000" w:rsidR="00000000" w:rsidRPr="00000000">
        <w:rPr>
          <w:rtl w:val="0"/>
        </w:rPr>
        <w:t xml:space="preserve">, and the urns are described as </w:t>
      </w:r>
      <w:r w:rsidDel="00000000" w:rsidR="00000000" w:rsidRPr="00000000">
        <w:rPr>
          <w:i w:val="1"/>
          <w:rtl w:val="0"/>
        </w:rPr>
        <w:t xml:space="preserve">neck-handled amphoras,</w:t>
      </w:r>
      <w:r w:rsidDel="00000000" w:rsidR="00000000" w:rsidRPr="00000000">
        <w:rPr>
          <w:rtl w:val="0"/>
        </w:rPr>
        <w:t xml:space="preserve"> whereas the cremated remains of rich women are interred in </w:t>
      </w:r>
      <w:r w:rsidDel="00000000" w:rsidR="00000000" w:rsidRPr="00000000">
        <w:rPr>
          <w:i w:val="1"/>
          <w:rtl w:val="0"/>
        </w:rPr>
        <w:t xml:space="preserve">belly-handled amphoras,</w:t>
      </w:r>
      <w:r w:rsidDel="00000000" w:rsidR="00000000" w:rsidRPr="00000000">
        <w:rPr>
          <w:rtl w:val="0"/>
        </w:rPr>
        <w:t xml:space="preserve"> of which the example in Tomb 15 shows. Another interesting representation of gender in these burials is that relating to horses. Whitley (1996, pp. 223-227) discusses this in detail, where he brings forward a point stating that in all examples of horses on urn burials, all two dimensional representations of horses are found in male burials, whilst any three dimensional terracotta representations of horses that have been found in this style of burial are exclusively within female burials. Whilst the reasoning for these stylistic differences between male and female burials can not be known, it certainly showcases that there is a definite differential treatment of the male dead and the female dead within this area of Greece during this period of time. This idea could also be expanded by reiterating that unsexed child burials were also markedly stylistically different from both male and female burials, which evidently showcases that these characteristics of a person were very important towards the funerary processes, and the beliefs, of the person being buried.</w:t>
      </w:r>
      <w:r w:rsidDel="00000000" w:rsidR="00000000" w:rsidRPr="00000000">
        <mc:AlternateContent>
          <mc:Choice Requires="wpg">
            <w:drawing>
              <wp:anchor allowOverlap="1" behindDoc="0" distB="114300" distT="114300" distL="114300" distR="114300" hidden="0" layoutInCell="1" locked="0" relativeHeight="0" simplePos="0">
                <wp:simplePos x="0" y="0"/>
                <wp:positionH relativeFrom="column">
                  <wp:posOffset>1</wp:posOffset>
                </wp:positionH>
                <wp:positionV relativeFrom="paragraph">
                  <wp:posOffset>1352550</wp:posOffset>
                </wp:positionV>
                <wp:extent cx="2876550" cy="3400425"/>
                <wp:effectExtent b="0" l="0" r="0" t="0"/>
                <wp:wrapSquare wrapText="bothSides" distB="114300" distT="114300" distL="114300" distR="114300"/>
                <wp:docPr id="2" name=""/>
                <a:graphic>
                  <a:graphicData uri="http://schemas.microsoft.com/office/word/2010/wordprocessingGroup">
                    <wpg:wgp>
                      <wpg:cNvGrpSpPr/>
                      <wpg:grpSpPr>
                        <a:xfrm>
                          <a:off x="152400" y="152400"/>
                          <a:ext cx="2876550" cy="3400425"/>
                          <a:chOff x="152400" y="152400"/>
                          <a:chExt cx="2857500" cy="3380700"/>
                        </a:xfrm>
                      </wpg:grpSpPr>
                      <pic:pic>
                        <pic:nvPicPr>
                          <pic:cNvPr id="4" name="Shape 4"/>
                          <pic:cNvPicPr preferRelativeResize="0"/>
                        </pic:nvPicPr>
                        <pic:blipFill>
                          <a:blip r:embed="rId12">
                            <a:alphaModFix/>
                          </a:blip>
                          <a:stretch>
                            <a:fillRect/>
                          </a:stretch>
                        </pic:blipFill>
                        <pic:spPr>
                          <a:xfrm>
                            <a:off x="152400" y="152400"/>
                            <a:ext cx="2857500" cy="2857500"/>
                          </a:xfrm>
                          <a:prstGeom prst="rect">
                            <a:avLst/>
                          </a:prstGeom>
                          <a:noFill/>
                          <a:ln>
                            <a:noFill/>
                          </a:ln>
                        </pic:spPr>
                      </pic:pic>
                      <wps:wsp>
                        <wps:cNvSpPr txBox="1"/>
                        <wps:cNvPr id="5" name="Shape 5"/>
                        <wps:spPr>
                          <a:xfrm>
                            <a:off x="152400" y="3009900"/>
                            <a:ext cx="2857500" cy="523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2"/>
                                  <w:vertAlign w:val="baseline"/>
                                </w:rPr>
                                <w:t xml:space="preserve">Neck-handled Amphora, ca. 850-800 BCE (University of Missouri, no date)</w:t>
                              </w:r>
                            </w:p>
                          </w:txbxContent>
                        </wps:txbx>
                        <wps:bodyPr anchorCtr="0" anchor="t" bIns="91425" lIns="91425" spcFirstLastPara="1" rIns="91425" wrap="square" tIns="91425">
                          <a:spAutoFit/>
                        </wps:bodyPr>
                      </wps:wsp>
                    </wpg:wgp>
                  </a:graphicData>
                </a:graphic>
              </wp:anchor>
            </w:drawing>
          </mc:Choice>
          <mc:Fallback>
            <w:drawing>
              <wp:anchor allowOverlap="1" behindDoc="0" distB="114300" distT="114300" distL="114300" distR="114300" hidden="0" layoutInCell="1" locked="0" relativeHeight="0" simplePos="0">
                <wp:simplePos x="0" y="0"/>
                <wp:positionH relativeFrom="column">
                  <wp:posOffset>1</wp:posOffset>
                </wp:positionH>
                <wp:positionV relativeFrom="paragraph">
                  <wp:posOffset>1352550</wp:posOffset>
                </wp:positionV>
                <wp:extent cx="2876550" cy="3400425"/>
                <wp:effectExtent b="0" l="0" r="0" t="0"/>
                <wp:wrapSquare wrapText="bothSides" distB="114300" distT="114300" distL="114300" distR="114300"/>
                <wp:docPr id="2" name="image2.png"/>
                <a:graphic>
                  <a:graphicData uri="http://schemas.openxmlformats.org/drawingml/2006/picture">
                    <pic:pic>
                      <pic:nvPicPr>
                        <pic:cNvPr id="0" name="image2.png"/>
                        <pic:cNvPicPr preferRelativeResize="0"/>
                      </pic:nvPicPr>
                      <pic:blipFill>
                        <a:blip r:embed="rId13"/>
                        <a:srcRect/>
                        <a:stretch>
                          <a:fillRect/>
                        </a:stretch>
                      </pic:blipFill>
                      <pic:spPr>
                        <a:xfrm>
                          <a:off x="0" y="0"/>
                          <a:ext cx="2876550" cy="3400425"/>
                        </a:xfrm>
                        <a:prstGeom prst="rect"/>
                        <a:ln/>
                      </pic:spPr>
                    </pic:pic>
                  </a:graphicData>
                </a:graphic>
              </wp:anchor>
            </w:drawing>
          </mc:Fallback>
        </mc:AlternateContent>
      </w:r>
    </w:p>
    <w:p w:rsidR="00000000" w:rsidDel="00000000" w:rsidP="00000000" w:rsidRDefault="00000000" w:rsidRPr="00000000" w14:paraId="00000011">
      <w:pPr>
        <w:ind w:left="0" w:firstLine="0"/>
        <w:rPr/>
      </w:pPr>
      <w:r w:rsidDel="00000000" w:rsidR="00000000" w:rsidRPr="00000000">
        <w:rPr>
          <w:rtl w:val="0"/>
        </w:rPr>
        <w:tab/>
        <w:t xml:space="preserve">In conclusion, the burial of the ‘Rich Lady of the Areopagus’ is one that showcases numerous evidence for burial practices and beliefs of iron age Athens. It is evident that it was important to the people of the time to bury the dead with material evidence of their wealth and status, as shown by the amount of craftsmanship, specialisation and importation that would have had to have been practised to create the artefacts that were found in Tomb 15. The burial also showcases that there was a marked preference to cremating adults, due to its universality. Lastly, it is evident that gender was important to funerary practices, which can be seen by the differences in styles of burials of both male and female burials, in particular the stylistic differences that are seen in the urns of the two sexes. </w:t>
      </w:r>
    </w:p>
    <w:p w:rsidR="00000000" w:rsidDel="00000000" w:rsidP="00000000" w:rsidRDefault="00000000" w:rsidRPr="00000000" w14:paraId="00000012">
      <w:pPr>
        <w:ind w:left="0" w:firstLine="0"/>
        <w:rPr/>
      </w:pPr>
      <w:r w:rsidDel="00000000" w:rsidR="00000000" w:rsidRPr="00000000">
        <w:rPr>
          <w:rtl w:val="0"/>
        </w:rPr>
      </w:r>
    </w:p>
    <w:p w:rsidR="00000000" w:rsidDel="00000000" w:rsidP="00000000" w:rsidRDefault="00000000" w:rsidRPr="00000000" w14:paraId="00000013">
      <w:pPr>
        <w:ind w:left="0" w:firstLine="0"/>
        <w:rPr/>
      </w:pPr>
      <w:r w:rsidDel="00000000" w:rsidR="00000000" w:rsidRPr="00000000">
        <w:rPr>
          <w:rtl w:val="0"/>
        </w:rPr>
      </w:r>
    </w:p>
    <w:p w:rsidR="00000000" w:rsidDel="00000000" w:rsidP="00000000" w:rsidRDefault="00000000" w:rsidRPr="00000000" w14:paraId="00000014">
      <w:pPr>
        <w:ind w:left="0" w:firstLine="0"/>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tab/>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br w:type="page"/>
      </w:r>
      <w:r w:rsidDel="00000000" w:rsidR="00000000" w:rsidRPr="00000000">
        <w:rPr>
          <w:rtl w:val="0"/>
        </w:rPr>
      </w:r>
    </w:p>
    <w:p w:rsidR="00000000" w:rsidDel="00000000" w:rsidP="00000000" w:rsidRDefault="00000000" w:rsidRPr="00000000" w14:paraId="0000001A">
      <w:pPr>
        <w:jc w:val="center"/>
        <w:rPr/>
      </w:pPr>
      <w:r w:rsidDel="00000000" w:rsidR="00000000" w:rsidRPr="00000000">
        <w:rPr>
          <w:rtl w:val="0"/>
        </w:rPr>
        <w:t xml:space="preserve">Bibliography </w:t>
      </w:r>
    </w:p>
    <w:p w:rsidR="00000000" w:rsidDel="00000000" w:rsidP="00000000" w:rsidRDefault="00000000" w:rsidRPr="00000000" w14:paraId="0000001B">
      <w:pPr>
        <w:jc w:val="cente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t xml:space="preserve">Coldstream, J. N. (1995) ‘The Rich Lady of the Areiopagos and Her Contemporaries: A Tribute in Memory of Evelyn Lord Smithson’, </w:t>
      </w:r>
      <w:r w:rsidDel="00000000" w:rsidR="00000000" w:rsidRPr="00000000">
        <w:rPr>
          <w:i w:val="1"/>
          <w:rtl w:val="0"/>
        </w:rPr>
        <w:t xml:space="preserve">Hesperia: The Journal of the American School of Classical Studies at Athens, </w:t>
      </w:r>
      <w:r w:rsidDel="00000000" w:rsidR="00000000" w:rsidRPr="00000000">
        <w:rPr>
          <w:rtl w:val="0"/>
        </w:rPr>
        <w:t xml:space="preserve">64(4), pp. 391-403. DOI: 10.2307/148498</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t xml:space="preserve">Hodder, I. (1986) </w:t>
      </w:r>
      <w:r w:rsidDel="00000000" w:rsidR="00000000" w:rsidRPr="00000000">
        <w:rPr>
          <w:i w:val="1"/>
          <w:rtl w:val="0"/>
        </w:rPr>
        <w:t xml:space="preserve">Reading the Past: Current approaches to interpretation in archaeology</w:t>
      </w:r>
      <w:r w:rsidDel="00000000" w:rsidR="00000000" w:rsidRPr="00000000">
        <w:rPr>
          <w:rtl w:val="0"/>
        </w:rPr>
        <w:t xml:space="preserve">. Cambridge: Cambridge University Press </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Langdon, S. (2005) ‘Views of wealth, a wealth of views: Grave good in Iron Age Attica’, </w:t>
      </w:r>
      <w:r w:rsidDel="00000000" w:rsidR="00000000" w:rsidRPr="00000000">
        <w:rPr>
          <w:i w:val="1"/>
          <w:rtl w:val="0"/>
        </w:rPr>
        <w:t xml:space="preserve">Women and property in ancient Near Eastern and Mediterranean societies, </w:t>
      </w:r>
      <w:r w:rsidDel="00000000" w:rsidR="00000000" w:rsidRPr="00000000">
        <w:rPr>
          <w:rtl w:val="0"/>
        </w:rPr>
        <w:t xml:space="preserve">pp. 229-248. Available at: </w:t>
      </w:r>
      <w:hyperlink r:id="rId14">
        <w:r w:rsidDel="00000000" w:rsidR="00000000" w:rsidRPr="00000000">
          <w:rPr>
            <w:color w:val="1155cc"/>
            <w:u w:val="single"/>
            <w:rtl w:val="0"/>
          </w:rPr>
          <w:t xml:space="preserve">https://scholar.google.com/citations?view_op=view_citation&amp;hl=en&amp;user=7KGntasAAAAJ&amp;citation_for_view=7KGntasAAAAJ:eQOLeE2rZwMC</w:t>
        </w:r>
      </w:hyperlink>
      <w:r w:rsidDel="00000000" w:rsidR="00000000" w:rsidRPr="00000000">
        <w:rPr>
          <w:rtl w:val="0"/>
        </w:rPr>
        <w:t xml:space="preserve"> (Accessed on 12th of March 2024) </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Liston, M. and Papadopoulos, J.K. (2004) ‘The "Rich Athenian Lady" Was Pregnant: The Anthropology of a Geometric Tomb’, </w:t>
      </w:r>
      <w:r w:rsidDel="00000000" w:rsidR="00000000" w:rsidRPr="00000000">
        <w:rPr>
          <w:i w:val="1"/>
          <w:rtl w:val="0"/>
        </w:rPr>
        <w:t xml:space="preserve">Hesperia: The Journal of the American School of Classical Studies at Athens, </w:t>
      </w:r>
      <w:r w:rsidDel="00000000" w:rsidR="00000000" w:rsidRPr="00000000">
        <w:rPr>
          <w:rtl w:val="0"/>
        </w:rPr>
        <w:t xml:space="preserve">73(1), pp. 7-38. Available at: </w:t>
      </w:r>
      <w:hyperlink r:id="rId15">
        <w:r w:rsidDel="00000000" w:rsidR="00000000" w:rsidRPr="00000000">
          <w:rPr>
            <w:color w:val="1155cc"/>
            <w:u w:val="single"/>
            <w:rtl w:val="0"/>
          </w:rPr>
          <w:t xml:space="preserve">https://www.jstor.org/stable/3182017</w:t>
        </w:r>
      </w:hyperlink>
      <w:r w:rsidDel="00000000" w:rsidR="00000000" w:rsidRPr="00000000">
        <w:rPr>
          <w:rtl w:val="0"/>
        </w:rPr>
        <w:t xml:space="preserve"> (Accessed on 12th of March 2024)</w:t>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t xml:space="preserve">Lloyd, M. (2020) </w:t>
      </w:r>
      <w:r w:rsidDel="00000000" w:rsidR="00000000" w:rsidRPr="00000000">
        <w:rPr>
          <w:i w:val="1"/>
          <w:rtl w:val="0"/>
        </w:rPr>
        <w:t xml:space="preserve">A rich Athenian woman and child</w:t>
      </w:r>
      <w:r w:rsidDel="00000000" w:rsidR="00000000" w:rsidRPr="00000000">
        <w:rPr>
          <w:rtl w:val="0"/>
        </w:rPr>
        <w:t xml:space="preserve">. Available at: </w:t>
      </w:r>
      <w:hyperlink r:id="rId16">
        <w:r w:rsidDel="00000000" w:rsidR="00000000" w:rsidRPr="00000000">
          <w:rPr>
            <w:color w:val="1155cc"/>
            <w:u w:val="single"/>
            <w:rtl w:val="0"/>
          </w:rPr>
          <w:t xml:space="preserve">https://www.ancientworldmagazine.com/articles/rich-athenian-woman-child/</w:t>
        </w:r>
      </w:hyperlink>
      <w:r w:rsidDel="00000000" w:rsidR="00000000" w:rsidRPr="00000000">
        <w:rPr>
          <w:rtl w:val="0"/>
        </w:rPr>
        <w:t xml:space="preserve"> (Accessed on 11th of March 2024)</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t xml:space="preserve">Mark, J.J. (2023) </w:t>
      </w:r>
      <w:r w:rsidDel="00000000" w:rsidR="00000000" w:rsidRPr="00000000">
        <w:rPr>
          <w:i w:val="1"/>
          <w:rtl w:val="0"/>
        </w:rPr>
        <w:t xml:space="preserve">Greek Dark Age</w:t>
      </w:r>
      <w:r w:rsidDel="00000000" w:rsidR="00000000" w:rsidRPr="00000000">
        <w:rPr>
          <w:rtl w:val="0"/>
        </w:rPr>
        <w:t xml:space="preserve">. Available at: </w:t>
      </w:r>
      <w:hyperlink r:id="rId17">
        <w:r w:rsidDel="00000000" w:rsidR="00000000" w:rsidRPr="00000000">
          <w:rPr>
            <w:color w:val="1155cc"/>
            <w:u w:val="single"/>
            <w:rtl w:val="0"/>
          </w:rPr>
          <w:t xml:space="preserve">https://www.worldhistory.org/Greek_Dark_Age/</w:t>
        </w:r>
      </w:hyperlink>
      <w:r w:rsidDel="00000000" w:rsidR="00000000" w:rsidRPr="00000000">
        <w:rPr>
          <w:rtl w:val="0"/>
        </w:rPr>
        <w:t xml:space="preserve"> (Accessed on 12th of March 2024)</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Smithson, E.L. (1968) ‘The Tomb of a Rich Athenian Lady, CA. 850 B.C.’, </w:t>
      </w:r>
      <w:r w:rsidDel="00000000" w:rsidR="00000000" w:rsidRPr="00000000">
        <w:rPr>
          <w:i w:val="1"/>
          <w:rtl w:val="0"/>
        </w:rPr>
        <w:t xml:space="preserve">Hesperia: The Journal of the American School of Classical Studies at Athens, </w:t>
      </w:r>
      <w:r w:rsidDel="00000000" w:rsidR="00000000" w:rsidRPr="00000000">
        <w:rPr>
          <w:rtl w:val="0"/>
        </w:rPr>
        <w:t xml:space="preserve">37(1), pp. 77-116. DOI: </w:t>
      </w:r>
    </w:p>
    <w:p w:rsidR="00000000" w:rsidDel="00000000" w:rsidP="00000000" w:rsidRDefault="00000000" w:rsidRPr="00000000" w14:paraId="00000029">
      <w:pPr>
        <w:rPr>
          <w:sz w:val="24"/>
          <w:szCs w:val="24"/>
        </w:rPr>
      </w:pPr>
      <w:r w:rsidDel="00000000" w:rsidR="00000000" w:rsidRPr="00000000">
        <w:rPr>
          <w:sz w:val="24"/>
          <w:szCs w:val="24"/>
          <w:rtl w:val="0"/>
        </w:rPr>
        <w:t xml:space="preserve">10.2307/147539</w:t>
      </w:r>
    </w:p>
    <w:p w:rsidR="00000000" w:rsidDel="00000000" w:rsidP="00000000" w:rsidRDefault="00000000" w:rsidRPr="00000000" w14:paraId="0000002A">
      <w:pPr>
        <w:rPr>
          <w:sz w:val="24"/>
          <w:szCs w:val="24"/>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t xml:space="preserve">Snodgrass, A.M. (2000) </w:t>
      </w:r>
      <w:r w:rsidDel="00000000" w:rsidR="00000000" w:rsidRPr="00000000">
        <w:rPr>
          <w:i w:val="1"/>
          <w:rtl w:val="0"/>
        </w:rPr>
        <w:t xml:space="preserve">The Dark Age of Greece</w:t>
      </w:r>
      <w:r w:rsidDel="00000000" w:rsidR="00000000" w:rsidRPr="00000000">
        <w:rPr>
          <w:rtl w:val="0"/>
        </w:rPr>
        <w:t xml:space="preserve">. 2nd edn. Edinburgh: Edinburgh University Press</w:t>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t xml:space="preserve">University of Missouri (no date) </w:t>
      </w:r>
      <w:r w:rsidDel="00000000" w:rsidR="00000000" w:rsidRPr="00000000">
        <w:rPr>
          <w:i w:val="1"/>
          <w:rtl w:val="0"/>
        </w:rPr>
        <w:t xml:space="preserve">Neck-handled Amphora</w:t>
      </w:r>
      <w:r w:rsidDel="00000000" w:rsidR="00000000" w:rsidRPr="00000000">
        <w:rPr>
          <w:rtl w:val="0"/>
        </w:rPr>
        <w:t xml:space="preserve">. Available at: </w:t>
      </w:r>
      <w:hyperlink r:id="rId18">
        <w:r w:rsidDel="00000000" w:rsidR="00000000" w:rsidRPr="00000000">
          <w:rPr>
            <w:color w:val="1155cc"/>
            <w:u w:val="single"/>
            <w:rtl w:val="0"/>
          </w:rPr>
          <w:t xml:space="preserve">https://maa.missouri.edu/education/museum-in-30-objects/neck-handled-amphora</w:t>
        </w:r>
      </w:hyperlink>
      <w:r w:rsidDel="00000000" w:rsidR="00000000" w:rsidRPr="00000000">
        <w:rPr>
          <w:rtl w:val="0"/>
        </w:rPr>
        <w:t xml:space="preserve"> (Accessed on 12th of March 2024)</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i w:val="1"/>
        </w:rPr>
      </w:pPr>
      <w:r w:rsidDel="00000000" w:rsidR="00000000" w:rsidRPr="00000000">
        <w:rPr>
          <w:rtl w:val="0"/>
        </w:rPr>
        <w:t xml:space="preserve">Whitley, J. (1996) ‘Gender and hierarchy in early Athens’, </w:t>
      </w:r>
      <w:r w:rsidDel="00000000" w:rsidR="00000000" w:rsidRPr="00000000">
        <w:rPr>
          <w:i w:val="1"/>
          <w:rtl w:val="0"/>
        </w:rPr>
        <w:t xml:space="preserve">Mètis. Anthropologie des mondes grecs anciens, </w:t>
      </w:r>
      <w:r w:rsidDel="00000000" w:rsidR="00000000" w:rsidRPr="00000000">
        <w:rPr>
          <w:rtl w:val="0"/>
        </w:rPr>
        <w:t xml:space="preserve">11, pp. 209-232. Available at: </w:t>
      </w:r>
      <w:hyperlink r:id="rId19">
        <w:r w:rsidDel="00000000" w:rsidR="00000000" w:rsidRPr="00000000">
          <w:rPr>
            <w:color w:val="1155cc"/>
            <w:u w:val="single"/>
            <w:rtl w:val="0"/>
          </w:rPr>
          <w:t xml:space="preserve">http://dx.doi.org/10.3406/metis.1996.1056</w:t>
        </w:r>
      </w:hyperlink>
      <w:r w:rsidDel="00000000" w:rsidR="00000000" w:rsidRPr="00000000">
        <w:rPr>
          <w:rtl w:val="0"/>
        </w:rPr>
        <w:t xml:space="preserve"> (Accessed on 12th of March 2024)</w:t>
      </w:r>
      <w:r w:rsidDel="00000000" w:rsidR="00000000" w:rsidRPr="00000000">
        <w:rPr>
          <w:i w:val="1"/>
          <w:rtl w:val="0"/>
        </w:rPr>
        <w:t xml:space="preserve"> </w:t>
      </w:r>
    </w:p>
    <w:sectPr>
      <w:headerReference r:id="rId20"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0">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eader" Target="header1.xml"/><Relationship Id="rId11" Type="http://schemas.openxmlformats.org/officeDocument/2006/relationships/image" Target="media/image4.png"/><Relationship Id="rId10" Type="http://schemas.openxmlformats.org/officeDocument/2006/relationships/image" Target="media/image8.jpg"/><Relationship Id="rId13" Type="http://schemas.openxmlformats.org/officeDocument/2006/relationships/image" Target="media/image2.png"/><Relationship Id="rId12" Type="http://schemas.openxmlformats.org/officeDocument/2006/relationships/image" Target="media/image6.jp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3.png"/><Relationship Id="rId15" Type="http://schemas.openxmlformats.org/officeDocument/2006/relationships/hyperlink" Target="https://www.jstor.org/stable/3182017" TargetMode="External"/><Relationship Id="rId14" Type="http://schemas.openxmlformats.org/officeDocument/2006/relationships/hyperlink" Target="https://scholar.google.com/citations?view_op=view_citation&amp;hl=en&amp;user=7KGntasAAAAJ&amp;citation_for_view=7KGntasAAAAJ:eQOLeE2rZwMC" TargetMode="External"/><Relationship Id="rId17" Type="http://schemas.openxmlformats.org/officeDocument/2006/relationships/hyperlink" Target="https://www.worldhistory.org/Greek_Dark_Age/" TargetMode="External"/><Relationship Id="rId16" Type="http://schemas.openxmlformats.org/officeDocument/2006/relationships/hyperlink" Target="https://www.ancientworldmagazine.com/articles/rich-athenian-woman-child/" TargetMode="External"/><Relationship Id="rId5" Type="http://schemas.openxmlformats.org/officeDocument/2006/relationships/styles" Target="styles.xml"/><Relationship Id="rId19" Type="http://schemas.openxmlformats.org/officeDocument/2006/relationships/hyperlink" Target="http://dx.doi.org/10.3406/metis.1996.1056" TargetMode="External"/><Relationship Id="rId6" Type="http://schemas.openxmlformats.org/officeDocument/2006/relationships/image" Target="media/image5.png"/><Relationship Id="rId18" Type="http://schemas.openxmlformats.org/officeDocument/2006/relationships/hyperlink" Target="https://maa.missouri.edu/education/museum-in-30-objects/neck-handled-amphora" TargetMode="External"/><Relationship Id="rId7" Type="http://schemas.openxmlformats.org/officeDocument/2006/relationships/image" Target="media/image1.png"/><Relationship Id="rId8"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