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20B9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4DCE93C" wp14:editId="09EC8ED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2D3388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139A6C1" w14:textId="77777777" w:rsidTr="00A406E5">
        <w:tc>
          <w:tcPr>
            <w:tcW w:w="9922" w:type="dxa"/>
            <w:shd w:val="clear" w:color="auto" w:fill="C0C0C0"/>
          </w:tcPr>
          <w:p w14:paraId="1C2BA3DA" w14:textId="5303B60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E3049E">
              <w:rPr>
                <w:rFonts w:ascii="Arial" w:hAnsi="Arial" w:cs="Arial"/>
                <w:b/>
              </w:rPr>
              <w:t xml:space="preserve"> 1</w:t>
            </w:r>
            <w:r w:rsidR="003A3CE5" w:rsidRPr="00A406E5">
              <w:rPr>
                <w:rFonts w:ascii="Arial" w:hAnsi="Arial" w:cs="Arial"/>
                <w:b/>
              </w:rPr>
              <w:t xml:space="preserve"> SPECIFICATION </w:t>
            </w:r>
          </w:p>
        </w:tc>
      </w:tr>
    </w:tbl>
    <w:p w14:paraId="2BBF1BA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4E58942" w14:textId="77777777" w:rsidTr="008F1308">
        <w:tc>
          <w:tcPr>
            <w:tcW w:w="2093" w:type="dxa"/>
            <w:shd w:val="pct15" w:color="auto" w:fill="auto"/>
          </w:tcPr>
          <w:p w14:paraId="5D955BF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5F6F631" w14:textId="1F08A38A"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2C6E70">
              <w:rPr>
                <w:rFonts w:ascii="Arial" w:hAnsi="Arial" w:cs="Arial"/>
                <w:b/>
                <w:sz w:val="22"/>
                <w:szCs w:val="22"/>
              </w:rPr>
              <w:t>SEHRASH SOHAIL</w:t>
            </w:r>
          </w:p>
        </w:tc>
        <w:tc>
          <w:tcPr>
            <w:tcW w:w="2268" w:type="dxa"/>
            <w:shd w:val="clear" w:color="auto" w:fill="D9D9D9"/>
          </w:tcPr>
          <w:p w14:paraId="2E4F844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B916BE8" w14:textId="3B8656B6" w:rsidR="003B3F9D" w:rsidRPr="00A406E5" w:rsidRDefault="002C6E70" w:rsidP="001E57C1">
            <w:pPr>
              <w:spacing w:before="120" w:after="120"/>
              <w:jc w:val="both"/>
              <w:rPr>
                <w:rFonts w:ascii="Arial" w:hAnsi="Arial" w:cs="Arial"/>
                <w:b/>
                <w:sz w:val="22"/>
                <w:szCs w:val="22"/>
              </w:rPr>
            </w:pPr>
            <w:r>
              <w:rPr>
                <w:rFonts w:ascii="Arial" w:hAnsi="Arial" w:cs="Arial"/>
                <w:b/>
              </w:rPr>
              <w:t>2243921</w:t>
            </w:r>
          </w:p>
        </w:tc>
      </w:tr>
      <w:tr w:rsidR="00DB116D" w:rsidRPr="00A406E5" w14:paraId="7340A60D" w14:textId="77777777" w:rsidTr="00A406E5">
        <w:tc>
          <w:tcPr>
            <w:tcW w:w="2093" w:type="dxa"/>
            <w:shd w:val="pct15" w:color="auto" w:fill="auto"/>
          </w:tcPr>
          <w:p w14:paraId="04CF8A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913AF81" w14:textId="34FD708C" w:rsidR="00DB116D" w:rsidRPr="00A406E5" w:rsidRDefault="000E21AB" w:rsidP="00E51AAC">
            <w:pPr>
              <w:spacing w:before="120" w:after="120"/>
              <w:jc w:val="both"/>
              <w:rPr>
                <w:rFonts w:ascii="Arial" w:hAnsi="Arial" w:cs="Arial"/>
                <w:b/>
                <w:sz w:val="22"/>
                <w:szCs w:val="22"/>
              </w:rPr>
            </w:pPr>
            <w:r>
              <w:rPr>
                <w:rFonts w:ascii="Arial" w:hAnsi="Arial" w:cs="Arial"/>
                <w:b/>
                <w:sz w:val="22"/>
                <w:szCs w:val="22"/>
              </w:rPr>
              <w:t>Public services portfolio</w:t>
            </w:r>
          </w:p>
        </w:tc>
      </w:tr>
      <w:tr w:rsidR="008F1308" w:rsidRPr="00A406E5" w14:paraId="0424E92B" w14:textId="77777777" w:rsidTr="00A628CC">
        <w:tc>
          <w:tcPr>
            <w:tcW w:w="2093" w:type="dxa"/>
            <w:shd w:val="pct15" w:color="auto" w:fill="auto"/>
          </w:tcPr>
          <w:p w14:paraId="122F37C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87BE59F" w14:textId="2128C335" w:rsidR="008F1308" w:rsidRPr="00A406E5" w:rsidRDefault="000E21AB" w:rsidP="00E51AAC">
            <w:pPr>
              <w:spacing w:before="120" w:after="120"/>
              <w:jc w:val="both"/>
              <w:rPr>
                <w:rFonts w:ascii="Arial" w:hAnsi="Arial" w:cs="Arial"/>
                <w:b/>
                <w:sz w:val="22"/>
                <w:szCs w:val="22"/>
              </w:rPr>
            </w:pPr>
            <w:r>
              <w:rPr>
                <w:rFonts w:ascii="Arial" w:hAnsi="Arial" w:cs="Arial"/>
                <w:b/>
                <w:sz w:val="22"/>
                <w:szCs w:val="22"/>
              </w:rPr>
              <w:t>Criminal law</w:t>
            </w:r>
          </w:p>
        </w:tc>
      </w:tr>
      <w:tr w:rsidR="00B84B5B" w:rsidRPr="00A406E5" w14:paraId="0DF5FB63" w14:textId="77777777" w:rsidTr="008F1308">
        <w:tc>
          <w:tcPr>
            <w:tcW w:w="2093" w:type="dxa"/>
            <w:shd w:val="pct15" w:color="auto" w:fill="auto"/>
          </w:tcPr>
          <w:p w14:paraId="1711D96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2CD5860" w14:textId="0E677B5D" w:rsidR="00B84B5B" w:rsidRPr="00A406E5" w:rsidRDefault="009E67F3" w:rsidP="00152E9D">
            <w:pPr>
              <w:spacing w:before="120" w:after="120"/>
              <w:jc w:val="both"/>
              <w:rPr>
                <w:rFonts w:ascii="Arial" w:hAnsi="Arial" w:cs="Arial"/>
                <w:b/>
                <w:sz w:val="22"/>
                <w:szCs w:val="22"/>
              </w:rPr>
            </w:pPr>
            <w:r>
              <w:rPr>
                <w:rFonts w:ascii="Arial" w:hAnsi="Arial" w:cs="Arial"/>
                <w:b/>
                <w:sz w:val="22"/>
                <w:szCs w:val="22"/>
              </w:rPr>
              <w:t>BMPL4009</w:t>
            </w:r>
          </w:p>
        </w:tc>
        <w:tc>
          <w:tcPr>
            <w:tcW w:w="2268" w:type="dxa"/>
            <w:shd w:val="clear" w:color="auto" w:fill="D9D9D9"/>
          </w:tcPr>
          <w:p w14:paraId="3AC4113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D49F75" w14:textId="031C9FC8" w:rsidR="00B84B5B" w:rsidRPr="00A406E5" w:rsidRDefault="000E21A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7C6CBDD" w14:textId="77777777" w:rsidTr="008F1308">
        <w:tc>
          <w:tcPr>
            <w:tcW w:w="2093" w:type="dxa"/>
            <w:shd w:val="pct15" w:color="auto" w:fill="auto"/>
          </w:tcPr>
          <w:p w14:paraId="30B9BB1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1D920D6" w14:textId="4C79CBE2" w:rsidR="00E3049E" w:rsidRPr="00A406E5" w:rsidRDefault="00E3049E" w:rsidP="00E3049E">
            <w:pPr>
              <w:spacing w:before="120" w:after="120"/>
              <w:jc w:val="both"/>
              <w:rPr>
                <w:rFonts w:ascii="Arial" w:hAnsi="Arial" w:cs="Arial"/>
                <w:b/>
                <w:sz w:val="22"/>
                <w:szCs w:val="22"/>
              </w:rPr>
            </w:pPr>
            <w:r>
              <w:rPr>
                <w:rFonts w:ascii="Arial" w:hAnsi="Arial" w:cs="Arial"/>
                <w:b/>
                <w:sz w:val="22"/>
                <w:szCs w:val="22"/>
              </w:rPr>
              <w:t>Laura Humphries</w:t>
            </w:r>
          </w:p>
          <w:p w14:paraId="604A3432" w14:textId="32F46418" w:rsidR="000E21AB" w:rsidRPr="00A406E5" w:rsidRDefault="000E21AB" w:rsidP="00E51AAC">
            <w:pPr>
              <w:spacing w:before="120" w:after="120"/>
              <w:jc w:val="both"/>
              <w:rPr>
                <w:rFonts w:ascii="Arial" w:hAnsi="Arial" w:cs="Arial"/>
                <w:b/>
                <w:sz w:val="22"/>
                <w:szCs w:val="22"/>
              </w:rPr>
            </w:pPr>
          </w:p>
        </w:tc>
        <w:tc>
          <w:tcPr>
            <w:tcW w:w="2268" w:type="dxa"/>
            <w:shd w:val="clear" w:color="auto" w:fill="D9D9D9"/>
          </w:tcPr>
          <w:p w14:paraId="19C144C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67814E8" w14:textId="40997D4A" w:rsidR="000E21AB" w:rsidRPr="00A406E5" w:rsidRDefault="00E3049E" w:rsidP="00E51AAC">
            <w:pPr>
              <w:spacing w:before="120" w:after="120"/>
              <w:jc w:val="both"/>
              <w:rPr>
                <w:rFonts w:ascii="Arial" w:hAnsi="Arial" w:cs="Arial"/>
                <w:b/>
                <w:sz w:val="22"/>
                <w:szCs w:val="22"/>
              </w:rPr>
            </w:pPr>
            <w:r>
              <w:rPr>
                <w:rFonts w:ascii="Arial" w:hAnsi="Arial" w:cs="Arial"/>
                <w:b/>
                <w:sz w:val="22"/>
                <w:szCs w:val="22"/>
              </w:rPr>
              <w:t>Kelly Andrews</w:t>
            </w:r>
          </w:p>
        </w:tc>
      </w:tr>
      <w:tr w:rsidR="00DB116D" w:rsidRPr="00A406E5" w14:paraId="0FF8707F" w14:textId="77777777" w:rsidTr="008F1308">
        <w:tc>
          <w:tcPr>
            <w:tcW w:w="2093" w:type="dxa"/>
            <w:shd w:val="pct15" w:color="auto" w:fill="auto"/>
          </w:tcPr>
          <w:p w14:paraId="5087D75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D20B1" w14:textId="0B02A928" w:rsidR="00DB116D" w:rsidRPr="00452226" w:rsidRDefault="00E34692" w:rsidP="005F0579">
            <w:pPr>
              <w:spacing w:before="120" w:after="120"/>
              <w:jc w:val="both"/>
              <w:rPr>
                <w:rFonts w:ascii="Arial" w:hAnsi="Arial" w:cs="Arial"/>
                <w:b/>
                <w:bCs/>
                <w:sz w:val="22"/>
                <w:szCs w:val="22"/>
              </w:rPr>
            </w:pPr>
            <w:r w:rsidRPr="00452226">
              <w:rPr>
                <w:rFonts w:ascii="Arial" w:hAnsi="Arial" w:cs="Arial"/>
                <w:b/>
                <w:bCs/>
                <w:sz w:val="22"/>
                <w:szCs w:val="22"/>
              </w:rPr>
              <w:t>Consent</w:t>
            </w:r>
            <w:r w:rsidR="00452226" w:rsidRPr="00452226">
              <w:rPr>
                <w:rFonts w:ascii="Arial" w:hAnsi="Arial" w:cs="Arial"/>
                <w:b/>
                <w:bCs/>
                <w:sz w:val="22"/>
                <w:szCs w:val="22"/>
              </w:rPr>
              <w:t xml:space="preserve"> and its role in cases involving battery</w:t>
            </w:r>
          </w:p>
        </w:tc>
        <w:tc>
          <w:tcPr>
            <w:tcW w:w="2268" w:type="dxa"/>
            <w:shd w:val="pct15" w:color="auto" w:fill="auto"/>
          </w:tcPr>
          <w:p w14:paraId="3DBBD1F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973866A" w14:textId="40E36C6A" w:rsidR="00DB116D" w:rsidRPr="00A406E5" w:rsidRDefault="000E21AB"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26AF33BB" w14:textId="77777777" w:rsidTr="008F1308">
        <w:tc>
          <w:tcPr>
            <w:tcW w:w="2093" w:type="dxa"/>
            <w:shd w:val="pct15" w:color="auto" w:fill="auto"/>
          </w:tcPr>
          <w:p w14:paraId="49005F6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E58ACCA" w14:textId="68392B91" w:rsidR="00B84B5B" w:rsidRPr="00A406E5" w:rsidRDefault="00E3049E" w:rsidP="005F0579">
            <w:pPr>
              <w:spacing w:before="120" w:after="120"/>
              <w:jc w:val="both"/>
              <w:rPr>
                <w:rFonts w:ascii="Arial" w:hAnsi="Arial" w:cs="Arial"/>
                <w:b/>
                <w:sz w:val="22"/>
                <w:szCs w:val="22"/>
              </w:rPr>
            </w:pPr>
            <w:r w:rsidRPr="00E3049E">
              <w:rPr>
                <w:rFonts w:ascii="Arial" w:hAnsi="Arial" w:cs="Arial"/>
                <w:b/>
                <w:sz w:val="22"/>
                <w:szCs w:val="22"/>
              </w:rPr>
              <w:t>Friday 10th November</w:t>
            </w:r>
            <w:r>
              <w:rPr>
                <w:rFonts w:ascii="Arial" w:hAnsi="Arial" w:cs="Arial"/>
                <w:b/>
                <w:sz w:val="22"/>
                <w:szCs w:val="22"/>
              </w:rPr>
              <w:t xml:space="preserve"> </w:t>
            </w:r>
            <w:r w:rsidR="000E21AB">
              <w:rPr>
                <w:rFonts w:ascii="Arial" w:hAnsi="Arial" w:cs="Arial"/>
                <w:b/>
                <w:sz w:val="22"/>
                <w:szCs w:val="22"/>
              </w:rPr>
              <w:t>2023 23:59</w:t>
            </w:r>
          </w:p>
        </w:tc>
        <w:tc>
          <w:tcPr>
            <w:tcW w:w="2268" w:type="dxa"/>
            <w:shd w:val="pct15" w:color="auto" w:fill="auto"/>
          </w:tcPr>
          <w:p w14:paraId="1AE987F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C11EC9E" w14:textId="5676E836" w:rsidR="00B84B5B" w:rsidRPr="00A406E5" w:rsidRDefault="00E3049E" w:rsidP="005F0579">
            <w:pPr>
              <w:spacing w:before="120" w:after="120"/>
              <w:jc w:val="both"/>
              <w:rPr>
                <w:rFonts w:ascii="Arial" w:hAnsi="Arial" w:cs="Arial"/>
                <w:b/>
                <w:sz w:val="22"/>
                <w:szCs w:val="22"/>
              </w:rPr>
            </w:pPr>
            <w:r>
              <w:rPr>
                <w:rFonts w:ascii="Arial" w:hAnsi="Arial" w:cs="Arial"/>
                <w:b/>
                <w:sz w:val="22"/>
                <w:szCs w:val="22"/>
              </w:rPr>
              <w:t>Monday</w:t>
            </w:r>
            <w:r w:rsidR="00AB5913">
              <w:rPr>
                <w:rFonts w:ascii="Arial" w:hAnsi="Arial" w:cs="Arial"/>
                <w:b/>
                <w:sz w:val="22"/>
                <w:szCs w:val="22"/>
              </w:rPr>
              <w:t xml:space="preserve"> </w:t>
            </w:r>
            <w:r>
              <w:rPr>
                <w:rFonts w:ascii="Arial" w:hAnsi="Arial" w:cs="Arial"/>
                <w:b/>
                <w:sz w:val="22"/>
                <w:szCs w:val="22"/>
              </w:rPr>
              <w:t>11</w:t>
            </w:r>
            <w:r w:rsidRPr="00E3049E">
              <w:rPr>
                <w:rFonts w:ascii="Arial" w:hAnsi="Arial" w:cs="Arial"/>
                <w:b/>
                <w:sz w:val="22"/>
                <w:szCs w:val="22"/>
                <w:vertAlign w:val="superscript"/>
              </w:rPr>
              <w:t>th</w:t>
            </w:r>
            <w:r>
              <w:rPr>
                <w:rFonts w:ascii="Arial" w:hAnsi="Arial" w:cs="Arial"/>
                <w:b/>
                <w:sz w:val="22"/>
                <w:szCs w:val="22"/>
              </w:rPr>
              <w:t xml:space="preserve"> December 2023</w:t>
            </w:r>
          </w:p>
        </w:tc>
      </w:tr>
    </w:tbl>
    <w:p w14:paraId="6C0BCD95" w14:textId="77777777" w:rsidR="00152E9D" w:rsidRDefault="00152E9D" w:rsidP="00DB116D">
      <w:pPr>
        <w:rPr>
          <w:rFonts w:ascii="Arial" w:hAnsi="Arial" w:cs="Arial"/>
          <w:sz w:val="32"/>
        </w:rPr>
      </w:pPr>
    </w:p>
    <w:p w14:paraId="17381FB7" w14:textId="77777777" w:rsidR="00080D52" w:rsidRDefault="00080D52" w:rsidP="00DB116D">
      <w:pPr>
        <w:rPr>
          <w:rFonts w:ascii="Arial" w:hAnsi="Arial" w:cs="Arial"/>
          <w:sz w:val="32"/>
        </w:rPr>
      </w:pPr>
    </w:p>
    <w:p w14:paraId="242CE518" w14:textId="38ACDBAF" w:rsidR="00080D52" w:rsidRPr="00080D52" w:rsidRDefault="00080D52" w:rsidP="00DB116D">
      <w:pPr>
        <w:rPr>
          <w:rFonts w:ascii="Arial" w:hAnsi="Arial" w:cs="Arial"/>
          <w:b/>
          <w:bCs/>
          <w:sz w:val="32"/>
        </w:rPr>
      </w:pPr>
      <w:r w:rsidRPr="00080D52">
        <w:rPr>
          <w:rFonts w:ascii="Arial" w:hAnsi="Arial" w:cs="Arial"/>
          <w:b/>
          <w:bCs/>
          <w:sz w:val="32"/>
        </w:rPr>
        <w:t>Introduction:</w:t>
      </w:r>
    </w:p>
    <w:p w14:paraId="1BDAC17F" w14:textId="77777777" w:rsidR="00152E9D" w:rsidRPr="00A406E5" w:rsidRDefault="00152E9D" w:rsidP="00787498">
      <w:pPr>
        <w:jc w:val="both"/>
        <w:rPr>
          <w:rFonts w:ascii="Arial" w:hAnsi="Arial" w:cs="Arial"/>
          <w:sz w:val="32"/>
        </w:rPr>
      </w:pPr>
    </w:p>
    <w:p w14:paraId="323DDC0F" w14:textId="3E628FF2" w:rsidR="00152E9D" w:rsidRDefault="008F7DC0" w:rsidP="008F7DC0">
      <w:pPr>
        <w:jc w:val="both"/>
        <w:rPr>
          <w:rFonts w:ascii="Arial" w:hAnsi="Arial" w:cs="Arial"/>
          <w:sz w:val="24"/>
          <w:szCs w:val="24"/>
        </w:rPr>
      </w:pPr>
      <w:r w:rsidRPr="008F7DC0">
        <w:rPr>
          <w:rFonts w:ascii="Arial" w:hAnsi="Arial" w:cs="Arial"/>
          <w:sz w:val="24"/>
          <w:szCs w:val="24"/>
        </w:rPr>
        <w:t>First, in this assignment, I will begin with the introduction, and then I will move on to the main body. In the main body, I will examine the understanding of consent in the United Kingdom, battery and its legal framework, and sexual assault. The concept of consent, as well as the difficulties and debates that surround it, as well as the part that consent plays in determining the outcomes of judicial cases. In the final part of this assignment, I will talk about the function that consent plays in the outcomes of legal cases. After this, the primary body of the paper will be complete, and I will proceed to the conclusion, which is the last section of our project. In the conclusion, I will reference my previous work to demonstrate that it is a resourceful resource.</w:t>
      </w:r>
    </w:p>
    <w:p w14:paraId="451B71B0" w14:textId="77777777" w:rsidR="0012431F" w:rsidRDefault="0012431F" w:rsidP="008F7DC0">
      <w:pPr>
        <w:jc w:val="both"/>
        <w:rPr>
          <w:rFonts w:ascii="Arial" w:hAnsi="Arial" w:cs="Arial"/>
          <w:sz w:val="24"/>
          <w:szCs w:val="24"/>
        </w:rPr>
      </w:pPr>
    </w:p>
    <w:p w14:paraId="1E913533" w14:textId="77777777" w:rsidR="0012431F" w:rsidRDefault="0012431F" w:rsidP="008F7DC0">
      <w:pPr>
        <w:jc w:val="both"/>
        <w:rPr>
          <w:rFonts w:ascii="Arial" w:hAnsi="Arial" w:cs="Arial"/>
          <w:sz w:val="24"/>
          <w:szCs w:val="24"/>
        </w:rPr>
      </w:pPr>
    </w:p>
    <w:p w14:paraId="1901D65E" w14:textId="369710C6" w:rsidR="00483C3B" w:rsidRPr="00375179" w:rsidRDefault="00483C3B" w:rsidP="008F7DC0">
      <w:pPr>
        <w:jc w:val="both"/>
        <w:rPr>
          <w:rFonts w:ascii="Arial" w:hAnsi="Arial" w:cs="Arial"/>
          <w:b/>
          <w:bCs/>
          <w:sz w:val="28"/>
          <w:szCs w:val="28"/>
        </w:rPr>
      </w:pPr>
      <w:r w:rsidRPr="00375179">
        <w:rPr>
          <w:rFonts w:ascii="Arial" w:hAnsi="Arial" w:cs="Arial"/>
          <w:b/>
          <w:bCs/>
          <w:sz w:val="28"/>
          <w:szCs w:val="28"/>
        </w:rPr>
        <w:t xml:space="preserve">Main </w:t>
      </w:r>
      <w:r w:rsidR="00646ED6" w:rsidRPr="00375179">
        <w:rPr>
          <w:rFonts w:ascii="Arial" w:hAnsi="Arial" w:cs="Arial"/>
          <w:b/>
          <w:bCs/>
          <w:sz w:val="28"/>
          <w:szCs w:val="28"/>
        </w:rPr>
        <w:t>Body:</w:t>
      </w:r>
    </w:p>
    <w:p w14:paraId="3C44F784" w14:textId="77777777" w:rsidR="00375179" w:rsidRPr="00375179" w:rsidRDefault="00375179" w:rsidP="008F7DC0">
      <w:pPr>
        <w:jc w:val="both"/>
        <w:rPr>
          <w:rFonts w:ascii="Arial" w:hAnsi="Arial" w:cs="Arial"/>
          <w:b/>
          <w:bCs/>
          <w:sz w:val="28"/>
          <w:szCs w:val="28"/>
        </w:rPr>
      </w:pPr>
    </w:p>
    <w:p w14:paraId="1AB82FE8" w14:textId="0FC9656E" w:rsidR="00646ED6" w:rsidRPr="00B73AAA" w:rsidRDefault="00646ED6" w:rsidP="008F7DC0">
      <w:pPr>
        <w:jc w:val="both"/>
        <w:rPr>
          <w:rFonts w:ascii="Arial" w:hAnsi="Arial" w:cs="Arial"/>
          <w:b/>
          <w:bCs/>
          <w:sz w:val="24"/>
          <w:szCs w:val="24"/>
        </w:rPr>
      </w:pPr>
      <w:r w:rsidRPr="00B73AAA">
        <w:rPr>
          <w:rFonts w:ascii="Arial" w:hAnsi="Arial" w:cs="Arial"/>
          <w:b/>
          <w:bCs/>
          <w:sz w:val="24"/>
          <w:szCs w:val="24"/>
        </w:rPr>
        <w:t>Understanding consent in the U.K</w:t>
      </w:r>
    </w:p>
    <w:p w14:paraId="6639AB54" w14:textId="77777777" w:rsidR="00375179" w:rsidRPr="00375179" w:rsidRDefault="00375179" w:rsidP="008F7DC0">
      <w:pPr>
        <w:jc w:val="both"/>
        <w:rPr>
          <w:rFonts w:ascii="Arial" w:hAnsi="Arial" w:cs="Arial"/>
          <w:b/>
          <w:bCs/>
          <w:sz w:val="28"/>
          <w:szCs w:val="28"/>
        </w:rPr>
      </w:pPr>
    </w:p>
    <w:p w14:paraId="60AC5695" w14:textId="7FE39E8F" w:rsidR="00646ED6" w:rsidRPr="00B73AAA" w:rsidRDefault="00693381" w:rsidP="008F7DC0">
      <w:pPr>
        <w:jc w:val="both"/>
        <w:rPr>
          <w:rFonts w:ascii="Arial" w:hAnsi="Arial" w:cs="Arial"/>
          <w:b/>
          <w:bCs/>
          <w:sz w:val="24"/>
          <w:szCs w:val="24"/>
        </w:rPr>
      </w:pPr>
      <w:r w:rsidRPr="00B73AAA">
        <w:rPr>
          <w:rFonts w:ascii="Arial" w:hAnsi="Arial" w:cs="Arial"/>
          <w:b/>
          <w:bCs/>
          <w:sz w:val="24"/>
          <w:szCs w:val="24"/>
        </w:rPr>
        <w:t>Define and explain legal concept in the U.K</w:t>
      </w:r>
      <w:r w:rsidR="004866C3" w:rsidRPr="00B73AAA">
        <w:rPr>
          <w:rFonts w:ascii="Arial" w:hAnsi="Arial" w:cs="Arial"/>
          <w:b/>
          <w:bCs/>
          <w:sz w:val="24"/>
          <w:szCs w:val="24"/>
        </w:rPr>
        <w:t>:</w:t>
      </w:r>
    </w:p>
    <w:p w14:paraId="39E8DF27" w14:textId="77777777" w:rsidR="002A2CE3" w:rsidRDefault="002A2CE3" w:rsidP="008F7DC0">
      <w:pPr>
        <w:jc w:val="both"/>
        <w:rPr>
          <w:rFonts w:ascii="Arial" w:hAnsi="Arial" w:cs="Arial"/>
          <w:b/>
          <w:bCs/>
          <w:sz w:val="28"/>
          <w:szCs w:val="28"/>
        </w:rPr>
      </w:pPr>
    </w:p>
    <w:p w14:paraId="07BA43E9" w14:textId="77777777" w:rsidR="00147374" w:rsidRPr="00147374" w:rsidRDefault="00147374" w:rsidP="00147374">
      <w:pPr>
        <w:jc w:val="both"/>
        <w:rPr>
          <w:rFonts w:ascii="Arial" w:hAnsi="Arial" w:cs="Arial"/>
          <w:sz w:val="24"/>
          <w:szCs w:val="24"/>
        </w:rPr>
      </w:pPr>
      <w:r w:rsidRPr="00147374">
        <w:rPr>
          <w:rFonts w:ascii="Arial" w:hAnsi="Arial" w:cs="Arial"/>
          <w:sz w:val="24"/>
          <w:szCs w:val="24"/>
        </w:rPr>
        <w:t>The UK legal system relies on consent for medical care, interpersonal relationships, and sexual conduct. A person consents to an action or activity voluntarily and freely.</w:t>
      </w:r>
    </w:p>
    <w:p w14:paraId="0FCC04C9" w14:textId="77777777" w:rsidR="00147374" w:rsidRPr="00147374" w:rsidRDefault="00147374" w:rsidP="00147374">
      <w:pPr>
        <w:jc w:val="both"/>
        <w:rPr>
          <w:rFonts w:ascii="Arial" w:hAnsi="Arial" w:cs="Arial"/>
          <w:sz w:val="24"/>
          <w:szCs w:val="24"/>
        </w:rPr>
      </w:pPr>
    </w:p>
    <w:p w14:paraId="20E03CE8" w14:textId="77777777" w:rsidR="00147374" w:rsidRPr="00147374" w:rsidRDefault="00147374" w:rsidP="00147374">
      <w:pPr>
        <w:jc w:val="both"/>
        <w:rPr>
          <w:rFonts w:ascii="Arial" w:hAnsi="Arial" w:cs="Arial"/>
          <w:sz w:val="24"/>
          <w:szCs w:val="24"/>
        </w:rPr>
      </w:pPr>
      <w:r w:rsidRPr="00147374">
        <w:rPr>
          <w:rFonts w:ascii="Arial" w:hAnsi="Arial" w:cs="Arial"/>
          <w:sz w:val="24"/>
          <w:szCs w:val="24"/>
        </w:rPr>
        <w:t>Consent is crucial for sexual engagement. It means both parties have consented to any sexual action. After sufficient explanation, consent must be voluntary and ongoing during the contact.</w:t>
      </w:r>
    </w:p>
    <w:p w14:paraId="558D585C" w14:textId="77777777" w:rsidR="00147374" w:rsidRPr="00147374" w:rsidRDefault="00147374" w:rsidP="00147374">
      <w:pPr>
        <w:jc w:val="both"/>
        <w:rPr>
          <w:rFonts w:ascii="Arial" w:hAnsi="Arial" w:cs="Arial"/>
          <w:sz w:val="24"/>
          <w:szCs w:val="24"/>
        </w:rPr>
      </w:pPr>
    </w:p>
    <w:p w14:paraId="2A83B796" w14:textId="77777777" w:rsidR="00147374" w:rsidRPr="00147374" w:rsidRDefault="00147374" w:rsidP="00147374">
      <w:pPr>
        <w:jc w:val="both"/>
        <w:rPr>
          <w:rFonts w:ascii="Arial" w:hAnsi="Arial" w:cs="Arial"/>
          <w:sz w:val="24"/>
          <w:szCs w:val="24"/>
        </w:rPr>
      </w:pPr>
      <w:r w:rsidRPr="00147374">
        <w:rPr>
          <w:rFonts w:ascii="Arial" w:hAnsi="Arial" w:cs="Arial"/>
          <w:sz w:val="24"/>
          <w:szCs w:val="24"/>
        </w:rPr>
        <w:t xml:space="preserve">Remember that consent can be rescinded at any time. If someone claims they'll do something then changes their mind, respect their </w:t>
      </w:r>
      <w:proofErr w:type="gramStart"/>
      <w:r w:rsidRPr="00147374">
        <w:rPr>
          <w:rFonts w:ascii="Arial" w:hAnsi="Arial" w:cs="Arial"/>
          <w:sz w:val="24"/>
          <w:szCs w:val="24"/>
        </w:rPr>
        <w:t>decision</w:t>
      </w:r>
      <w:proofErr w:type="gramEnd"/>
      <w:r w:rsidRPr="00147374">
        <w:rPr>
          <w:rFonts w:ascii="Arial" w:hAnsi="Arial" w:cs="Arial"/>
          <w:sz w:val="24"/>
          <w:szCs w:val="24"/>
        </w:rPr>
        <w:t xml:space="preserve"> and terminate it immediately. 2005 (</w:t>
      </w:r>
      <w:proofErr w:type="spellStart"/>
      <w:proofErr w:type="gramStart"/>
      <w:r w:rsidRPr="00147374">
        <w:rPr>
          <w:rFonts w:ascii="Arial" w:hAnsi="Arial" w:cs="Arial"/>
          <w:sz w:val="24"/>
          <w:szCs w:val="24"/>
        </w:rPr>
        <w:t>j.Smith</w:t>
      </w:r>
      <w:proofErr w:type="spellEnd"/>
      <w:proofErr w:type="gramEnd"/>
      <w:r w:rsidRPr="00147374">
        <w:rPr>
          <w:rFonts w:ascii="Arial" w:hAnsi="Arial" w:cs="Arial"/>
          <w:sz w:val="24"/>
          <w:szCs w:val="24"/>
        </w:rPr>
        <w:t xml:space="preserve"> &amp; DOE).</w:t>
      </w:r>
    </w:p>
    <w:p w14:paraId="1A26BA21" w14:textId="77777777" w:rsidR="00147374" w:rsidRPr="00147374" w:rsidRDefault="00147374" w:rsidP="00147374">
      <w:pPr>
        <w:jc w:val="both"/>
        <w:rPr>
          <w:rFonts w:ascii="Arial" w:hAnsi="Arial" w:cs="Arial"/>
          <w:sz w:val="24"/>
          <w:szCs w:val="24"/>
        </w:rPr>
      </w:pPr>
    </w:p>
    <w:p w14:paraId="5ABF4626" w14:textId="77777777" w:rsidR="00147374" w:rsidRPr="00147374" w:rsidRDefault="00147374" w:rsidP="00147374">
      <w:pPr>
        <w:jc w:val="both"/>
        <w:rPr>
          <w:rFonts w:ascii="Arial" w:hAnsi="Arial" w:cs="Arial"/>
          <w:sz w:val="24"/>
          <w:szCs w:val="24"/>
        </w:rPr>
      </w:pPr>
      <w:r w:rsidRPr="00147374">
        <w:rPr>
          <w:rFonts w:ascii="Arial" w:hAnsi="Arial" w:cs="Arial"/>
          <w:sz w:val="24"/>
          <w:szCs w:val="24"/>
        </w:rPr>
        <w:t>Medical procedures and legal agreements require consent. It implies people can make educated health and legal decisions. They should be fully informed of the dangers and benefits before consenting.</w:t>
      </w:r>
    </w:p>
    <w:p w14:paraId="76F3088D" w14:textId="77777777" w:rsidR="00147374" w:rsidRPr="00147374" w:rsidRDefault="00147374" w:rsidP="00147374">
      <w:pPr>
        <w:jc w:val="both"/>
        <w:rPr>
          <w:rFonts w:ascii="Arial" w:hAnsi="Arial" w:cs="Arial"/>
          <w:sz w:val="24"/>
          <w:szCs w:val="24"/>
        </w:rPr>
      </w:pPr>
    </w:p>
    <w:p w14:paraId="649C06E0" w14:textId="77777777" w:rsidR="00147374" w:rsidRDefault="00147374" w:rsidP="00147374">
      <w:pPr>
        <w:jc w:val="both"/>
        <w:rPr>
          <w:rFonts w:ascii="Arial" w:hAnsi="Arial" w:cs="Arial"/>
          <w:sz w:val="24"/>
          <w:szCs w:val="24"/>
        </w:rPr>
      </w:pPr>
      <w:r w:rsidRPr="00147374">
        <w:rPr>
          <w:rFonts w:ascii="Arial" w:hAnsi="Arial" w:cs="Arial"/>
          <w:sz w:val="24"/>
          <w:szCs w:val="24"/>
        </w:rPr>
        <w:t>Consent is about respecting one's independence and letting people make decisions that meet their needs and well-being. This fundamental concept promotes respect, safety, and good relationships.</w:t>
      </w:r>
    </w:p>
    <w:p w14:paraId="269096C1" w14:textId="77777777" w:rsidR="001B2739" w:rsidRPr="00147374" w:rsidRDefault="001B2739" w:rsidP="00147374">
      <w:pPr>
        <w:jc w:val="both"/>
        <w:rPr>
          <w:rFonts w:ascii="Arial" w:hAnsi="Arial" w:cs="Arial"/>
          <w:sz w:val="24"/>
          <w:szCs w:val="24"/>
        </w:rPr>
      </w:pPr>
    </w:p>
    <w:p w14:paraId="25DF0C0E" w14:textId="76AAF29B" w:rsidR="00375179" w:rsidRPr="00B73AAA" w:rsidRDefault="00AD6C15" w:rsidP="008F7DC0">
      <w:pPr>
        <w:jc w:val="both"/>
        <w:rPr>
          <w:rFonts w:ascii="Arial" w:hAnsi="Arial" w:cs="Arial"/>
          <w:b/>
          <w:bCs/>
          <w:sz w:val="24"/>
          <w:szCs w:val="24"/>
        </w:rPr>
      </w:pPr>
      <w:r w:rsidRPr="00B73AAA">
        <w:rPr>
          <w:rFonts w:ascii="Arial" w:hAnsi="Arial" w:cs="Arial"/>
          <w:b/>
          <w:bCs/>
          <w:sz w:val="24"/>
          <w:szCs w:val="24"/>
        </w:rPr>
        <w:t xml:space="preserve">Discuss the Elements </w:t>
      </w:r>
      <w:r w:rsidR="002F10E1" w:rsidRPr="00B73AAA">
        <w:rPr>
          <w:rFonts w:ascii="Arial" w:hAnsi="Arial" w:cs="Arial"/>
          <w:b/>
          <w:bCs/>
          <w:sz w:val="24"/>
          <w:szCs w:val="24"/>
        </w:rPr>
        <w:t>of valid consent:</w:t>
      </w:r>
    </w:p>
    <w:p w14:paraId="06A4FEC2" w14:textId="77777777" w:rsidR="00764287" w:rsidRDefault="00764287" w:rsidP="008F7DC0">
      <w:pPr>
        <w:jc w:val="both"/>
        <w:rPr>
          <w:rFonts w:ascii="Arial" w:hAnsi="Arial" w:cs="Arial"/>
          <w:b/>
          <w:bCs/>
          <w:sz w:val="28"/>
          <w:szCs w:val="28"/>
        </w:rPr>
      </w:pPr>
    </w:p>
    <w:p w14:paraId="25852E9D" w14:textId="77777777" w:rsidR="000119DB" w:rsidRPr="000119DB" w:rsidRDefault="000119DB" w:rsidP="000119DB">
      <w:pPr>
        <w:jc w:val="both"/>
        <w:rPr>
          <w:rFonts w:ascii="Arial" w:hAnsi="Arial" w:cs="Arial"/>
          <w:sz w:val="24"/>
          <w:szCs w:val="24"/>
        </w:rPr>
      </w:pPr>
      <w:r w:rsidRPr="000119DB">
        <w:rPr>
          <w:rFonts w:ascii="Arial" w:hAnsi="Arial" w:cs="Arial"/>
          <w:sz w:val="24"/>
          <w:szCs w:val="24"/>
        </w:rPr>
        <w:t>In general, the following comprises the elements of valid consent:</w:t>
      </w:r>
    </w:p>
    <w:p w14:paraId="015A154E" w14:textId="77777777" w:rsidR="000119DB" w:rsidRPr="000119DB" w:rsidRDefault="000119DB" w:rsidP="000119DB">
      <w:pPr>
        <w:jc w:val="both"/>
        <w:rPr>
          <w:rFonts w:ascii="Arial" w:hAnsi="Arial" w:cs="Arial"/>
          <w:sz w:val="24"/>
          <w:szCs w:val="24"/>
        </w:rPr>
      </w:pPr>
    </w:p>
    <w:p w14:paraId="6DED6666" w14:textId="77777777" w:rsidR="00527845" w:rsidRPr="00527845" w:rsidRDefault="00527845" w:rsidP="00527845">
      <w:pPr>
        <w:jc w:val="both"/>
        <w:rPr>
          <w:rFonts w:ascii="Arial" w:hAnsi="Arial" w:cs="Arial"/>
          <w:sz w:val="24"/>
          <w:szCs w:val="24"/>
        </w:rPr>
      </w:pPr>
      <w:r w:rsidRPr="00527845">
        <w:rPr>
          <w:rFonts w:ascii="Arial" w:hAnsi="Arial" w:cs="Arial"/>
          <w:sz w:val="24"/>
          <w:szCs w:val="24"/>
        </w:rPr>
        <w:t>Valid approval typically includes the following:</w:t>
      </w:r>
    </w:p>
    <w:p w14:paraId="477E52E9" w14:textId="77777777" w:rsidR="00527845" w:rsidRPr="00527845" w:rsidRDefault="00527845" w:rsidP="00527845">
      <w:pPr>
        <w:jc w:val="both"/>
        <w:rPr>
          <w:rFonts w:ascii="Arial" w:hAnsi="Arial" w:cs="Arial"/>
          <w:sz w:val="24"/>
          <w:szCs w:val="24"/>
        </w:rPr>
      </w:pPr>
    </w:p>
    <w:p w14:paraId="543F9839" w14:textId="77777777" w:rsidR="00527845" w:rsidRPr="00527845" w:rsidRDefault="00527845" w:rsidP="00527845">
      <w:pPr>
        <w:jc w:val="both"/>
        <w:rPr>
          <w:rFonts w:ascii="Arial" w:hAnsi="Arial" w:cs="Arial"/>
          <w:sz w:val="24"/>
          <w:szCs w:val="24"/>
        </w:rPr>
      </w:pPr>
      <w:r w:rsidRPr="00527845">
        <w:rPr>
          <w:rFonts w:ascii="Arial" w:hAnsi="Arial" w:cs="Arial"/>
          <w:sz w:val="24"/>
          <w:szCs w:val="24"/>
        </w:rPr>
        <w:t>1. Consent ought to be freely given without pressure, manipulation, or influence. This is the primary need.</w:t>
      </w:r>
    </w:p>
    <w:p w14:paraId="26BFABE9" w14:textId="77777777" w:rsidR="00527845" w:rsidRPr="00527845" w:rsidRDefault="00527845" w:rsidP="00527845">
      <w:pPr>
        <w:jc w:val="both"/>
        <w:rPr>
          <w:rFonts w:ascii="Arial" w:hAnsi="Arial" w:cs="Arial"/>
          <w:sz w:val="24"/>
          <w:szCs w:val="24"/>
        </w:rPr>
      </w:pPr>
    </w:p>
    <w:p w14:paraId="2232BE06" w14:textId="77777777" w:rsidR="00527845" w:rsidRPr="00527845" w:rsidRDefault="00527845" w:rsidP="00527845">
      <w:pPr>
        <w:jc w:val="both"/>
        <w:rPr>
          <w:rFonts w:ascii="Arial" w:hAnsi="Arial" w:cs="Arial"/>
          <w:sz w:val="24"/>
          <w:szCs w:val="24"/>
        </w:rPr>
      </w:pPr>
      <w:r w:rsidRPr="00527845">
        <w:rPr>
          <w:rFonts w:ascii="Arial" w:hAnsi="Arial" w:cs="Arial"/>
          <w:sz w:val="24"/>
          <w:szCs w:val="24"/>
        </w:rPr>
        <w:t xml:space="preserve">2. Capacity: Consent must be given by an adult. This means people must be sane and understand their decision and its consequences.  2007 </w:t>
      </w:r>
      <w:proofErr w:type="gramStart"/>
      <w:r w:rsidRPr="00527845">
        <w:rPr>
          <w:rFonts w:ascii="Arial" w:hAnsi="Arial" w:cs="Arial"/>
          <w:sz w:val="24"/>
          <w:szCs w:val="24"/>
        </w:rPr>
        <w:t>D.BEVLEVELD</w:t>
      </w:r>
      <w:proofErr w:type="gramEnd"/>
      <w:r w:rsidRPr="00527845">
        <w:rPr>
          <w:rFonts w:ascii="Arial" w:hAnsi="Arial" w:cs="Arial"/>
          <w:sz w:val="24"/>
          <w:szCs w:val="24"/>
        </w:rPr>
        <w:t xml:space="preserve"> &amp; BROWNSWORD</w:t>
      </w:r>
    </w:p>
    <w:p w14:paraId="0FB09E63" w14:textId="77777777" w:rsidR="00527845" w:rsidRPr="00527845" w:rsidRDefault="00527845" w:rsidP="00527845">
      <w:pPr>
        <w:jc w:val="both"/>
        <w:rPr>
          <w:rFonts w:ascii="Arial" w:hAnsi="Arial" w:cs="Arial"/>
          <w:sz w:val="24"/>
          <w:szCs w:val="24"/>
        </w:rPr>
      </w:pPr>
    </w:p>
    <w:p w14:paraId="05B8E3E8" w14:textId="77777777" w:rsidR="00527845" w:rsidRPr="00527845" w:rsidRDefault="00527845" w:rsidP="00527845">
      <w:pPr>
        <w:jc w:val="both"/>
        <w:rPr>
          <w:rFonts w:ascii="Arial" w:hAnsi="Arial" w:cs="Arial"/>
          <w:sz w:val="24"/>
          <w:szCs w:val="24"/>
        </w:rPr>
      </w:pPr>
    </w:p>
    <w:p w14:paraId="210BE7A4" w14:textId="77777777" w:rsidR="00527845" w:rsidRPr="00527845" w:rsidRDefault="00527845" w:rsidP="00527845">
      <w:pPr>
        <w:jc w:val="both"/>
        <w:rPr>
          <w:rFonts w:ascii="Arial" w:hAnsi="Arial" w:cs="Arial"/>
          <w:sz w:val="24"/>
          <w:szCs w:val="24"/>
        </w:rPr>
      </w:pPr>
      <w:r w:rsidRPr="00527845">
        <w:rPr>
          <w:rFonts w:ascii="Arial" w:hAnsi="Arial" w:cs="Arial"/>
          <w:sz w:val="24"/>
          <w:szCs w:val="24"/>
        </w:rPr>
        <w:t>3. Informed: Consent requires complete and accurate information. The consenting party must understand the risks and implications.</w:t>
      </w:r>
    </w:p>
    <w:p w14:paraId="60C2466F" w14:textId="77777777" w:rsidR="00527845" w:rsidRPr="00527845" w:rsidRDefault="00527845" w:rsidP="00527845">
      <w:pPr>
        <w:jc w:val="both"/>
        <w:rPr>
          <w:rFonts w:ascii="Arial" w:hAnsi="Arial" w:cs="Arial"/>
          <w:sz w:val="24"/>
          <w:szCs w:val="24"/>
        </w:rPr>
      </w:pPr>
    </w:p>
    <w:p w14:paraId="1814F195" w14:textId="77777777" w:rsidR="00527845" w:rsidRPr="00527845" w:rsidRDefault="00527845" w:rsidP="00527845">
      <w:pPr>
        <w:jc w:val="both"/>
        <w:rPr>
          <w:rFonts w:ascii="Arial" w:hAnsi="Arial" w:cs="Arial"/>
          <w:sz w:val="24"/>
          <w:szCs w:val="24"/>
        </w:rPr>
      </w:pPr>
      <w:r w:rsidRPr="00527845">
        <w:rPr>
          <w:rFonts w:ascii="Arial" w:hAnsi="Arial" w:cs="Arial"/>
          <w:sz w:val="24"/>
          <w:szCs w:val="24"/>
        </w:rPr>
        <w:t>4. Activity- or situation-specific modify consent for the action or situation. It cannot be assumed or inferred.</w:t>
      </w:r>
    </w:p>
    <w:p w14:paraId="7684B220" w14:textId="77777777" w:rsidR="00527845" w:rsidRPr="00527845" w:rsidRDefault="00527845" w:rsidP="00527845">
      <w:pPr>
        <w:jc w:val="both"/>
        <w:rPr>
          <w:rFonts w:ascii="Arial" w:hAnsi="Arial" w:cs="Arial"/>
          <w:sz w:val="24"/>
          <w:szCs w:val="24"/>
        </w:rPr>
      </w:pPr>
    </w:p>
    <w:p w14:paraId="138505D2" w14:textId="5BB25D06" w:rsidR="000119DB" w:rsidRDefault="00527845" w:rsidP="00527845">
      <w:pPr>
        <w:jc w:val="both"/>
        <w:rPr>
          <w:rFonts w:ascii="Arial" w:hAnsi="Arial" w:cs="Arial"/>
          <w:sz w:val="24"/>
          <w:szCs w:val="24"/>
        </w:rPr>
      </w:pPr>
      <w:r w:rsidRPr="00527845">
        <w:rPr>
          <w:rFonts w:ascii="Arial" w:hAnsi="Arial" w:cs="Arial"/>
          <w:sz w:val="24"/>
          <w:szCs w:val="24"/>
        </w:rPr>
        <w:t>It is important to remember that legitimate permission may vary in medical, sexual, and commercial situations. This should be considered.</w:t>
      </w:r>
    </w:p>
    <w:p w14:paraId="522537E0" w14:textId="77777777" w:rsidR="00BC31DF" w:rsidRPr="000119DB" w:rsidRDefault="00BC31DF" w:rsidP="00527845">
      <w:pPr>
        <w:jc w:val="both"/>
        <w:rPr>
          <w:rFonts w:ascii="Arial" w:hAnsi="Arial" w:cs="Arial"/>
          <w:b/>
          <w:bCs/>
          <w:sz w:val="28"/>
          <w:szCs w:val="28"/>
        </w:rPr>
      </w:pPr>
    </w:p>
    <w:p w14:paraId="360F1CEB" w14:textId="7D947AF0" w:rsidR="00764287" w:rsidRDefault="00197403" w:rsidP="008F7DC0">
      <w:pPr>
        <w:jc w:val="both"/>
        <w:rPr>
          <w:rFonts w:ascii="Arial" w:hAnsi="Arial" w:cs="Arial"/>
          <w:b/>
          <w:bCs/>
          <w:sz w:val="24"/>
          <w:szCs w:val="24"/>
        </w:rPr>
      </w:pPr>
      <w:r w:rsidRPr="00B73AAA">
        <w:rPr>
          <w:rFonts w:ascii="Arial" w:hAnsi="Arial" w:cs="Arial"/>
          <w:b/>
          <w:bCs/>
          <w:sz w:val="24"/>
          <w:szCs w:val="24"/>
        </w:rPr>
        <w:t>Emphasize the impo</w:t>
      </w:r>
      <w:r w:rsidR="006619D6" w:rsidRPr="00B73AAA">
        <w:rPr>
          <w:rFonts w:ascii="Arial" w:hAnsi="Arial" w:cs="Arial"/>
          <w:b/>
          <w:bCs/>
          <w:sz w:val="24"/>
          <w:szCs w:val="24"/>
        </w:rPr>
        <w:t>rtance of informed and voluntary consent:</w:t>
      </w:r>
    </w:p>
    <w:p w14:paraId="45D20243" w14:textId="77777777" w:rsidR="00B73AAA" w:rsidRPr="00B73AAA" w:rsidRDefault="00B73AAA" w:rsidP="008F7DC0">
      <w:pPr>
        <w:jc w:val="both"/>
        <w:rPr>
          <w:rFonts w:ascii="Arial" w:hAnsi="Arial" w:cs="Arial"/>
          <w:b/>
          <w:bCs/>
          <w:sz w:val="24"/>
          <w:szCs w:val="24"/>
        </w:rPr>
      </w:pPr>
    </w:p>
    <w:p w14:paraId="270EE39B" w14:textId="77777777" w:rsidR="00812FCC" w:rsidRPr="004F31BB" w:rsidRDefault="00812FCC" w:rsidP="00812FCC">
      <w:pPr>
        <w:jc w:val="both"/>
        <w:rPr>
          <w:rFonts w:ascii="Arial" w:hAnsi="Arial" w:cs="Arial"/>
          <w:sz w:val="24"/>
          <w:szCs w:val="24"/>
        </w:rPr>
      </w:pPr>
      <w:r w:rsidRPr="004F31BB">
        <w:rPr>
          <w:rFonts w:ascii="Arial" w:hAnsi="Arial" w:cs="Arial"/>
          <w:sz w:val="24"/>
          <w:szCs w:val="24"/>
        </w:rPr>
        <w:t>In any decision-making or conduct context, informed and voluntary consent is crucial. The idea is that people have the right to control their bodies, property, and actions based on accurate and reliable knowledge, without coercion or manipulation. 2005 (Sears)</w:t>
      </w:r>
    </w:p>
    <w:p w14:paraId="013E69F6" w14:textId="77777777" w:rsidR="00812FCC" w:rsidRPr="004F31BB" w:rsidRDefault="00812FCC" w:rsidP="00812FCC">
      <w:pPr>
        <w:jc w:val="both"/>
        <w:rPr>
          <w:rFonts w:ascii="Arial" w:hAnsi="Arial" w:cs="Arial"/>
          <w:sz w:val="24"/>
          <w:szCs w:val="24"/>
        </w:rPr>
      </w:pPr>
    </w:p>
    <w:p w14:paraId="39E4DA4C" w14:textId="77777777" w:rsidR="00812FCC" w:rsidRPr="004F31BB" w:rsidRDefault="00812FCC" w:rsidP="00812FCC">
      <w:pPr>
        <w:jc w:val="both"/>
        <w:rPr>
          <w:rFonts w:ascii="Arial" w:hAnsi="Arial" w:cs="Arial"/>
          <w:sz w:val="24"/>
          <w:szCs w:val="24"/>
        </w:rPr>
      </w:pPr>
      <w:r w:rsidRPr="004F31BB">
        <w:rPr>
          <w:rFonts w:ascii="Arial" w:hAnsi="Arial" w:cs="Arial"/>
          <w:sz w:val="24"/>
          <w:szCs w:val="24"/>
        </w:rPr>
        <w:t>Informed consent ensures that people understand the risks, benefits, and alternatives of a decision before making it. It allows people to make decisions that reflect their values, preferences, and well-being. Informed consent can prevent people from having unwanted or harmful experiences, violating their autonomy and rights.</w:t>
      </w:r>
    </w:p>
    <w:p w14:paraId="1B97633D" w14:textId="77777777" w:rsidR="00812FCC" w:rsidRPr="004F31BB" w:rsidRDefault="00812FCC" w:rsidP="00812FCC">
      <w:pPr>
        <w:jc w:val="both"/>
        <w:rPr>
          <w:rFonts w:ascii="Arial" w:hAnsi="Arial" w:cs="Arial"/>
          <w:sz w:val="24"/>
          <w:szCs w:val="24"/>
        </w:rPr>
      </w:pPr>
    </w:p>
    <w:p w14:paraId="19C6D588" w14:textId="77777777" w:rsidR="00812FCC" w:rsidRPr="004F31BB" w:rsidRDefault="00812FCC" w:rsidP="00812FCC">
      <w:pPr>
        <w:jc w:val="both"/>
        <w:rPr>
          <w:rFonts w:ascii="Arial" w:hAnsi="Arial" w:cs="Arial"/>
          <w:sz w:val="24"/>
          <w:szCs w:val="24"/>
        </w:rPr>
      </w:pPr>
      <w:r w:rsidRPr="004F31BB">
        <w:rPr>
          <w:rFonts w:ascii="Arial" w:hAnsi="Arial" w:cs="Arial"/>
          <w:sz w:val="24"/>
          <w:szCs w:val="24"/>
        </w:rPr>
        <w:t>Voluntary consent is when people freely agree to do something without force or influence. No coercion, compulsion, or extreme manipulation is allowed. Voluntary consent supports individual autonomy by letting people choose their own preferences.</w:t>
      </w:r>
    </w:p>
    <w:p w14:paraId="7BFA88FC" w14:textId="77777777" w:rsidR="00812FCC" w:rsidRPr="004F31BB" w:rsidRDefault="00812FCC" w:rsidP="00812FCC">
      <w:pPr>
        <w:jc w:val="both"/>
        <w:rPr>
          <w:rFonts w:ascii="Arial" w:hAnsi="Arial" w:cs="Arial"/>
          <w:sz w:val="24"/>
          <w:szCs w:val="24"/>
        </w:rPr>
      </w:pPr>
    </w:p>
    <w:p w14:paraId="55662FCB" w14:textId="77777777" w:rsidR="00812FCC" w:rsidRPr="004F31BB" w:rsidRDefault="00812FCC" w:rsidP="00812FCC">
      <w:pPr>
        <w:jc w:val="both"/>
        <w:rPr>
          <w:rFonts w:ascii="Arial" w:hAnsi="Arial" w:cs="Arial"/>
          <w:sz w:val="24"/>
          <w:szCs w:val="24"/>
        </w:rPr>
      </w:pPr>
      <w:r w:rsidRPr="004F31BB">
        <w:rPr>
          <w:rFonts w:ascii="Arial" w:hAnsi="Arial" w:cs="Arial"/>
          <w:sz w:val="24"/>
          <w:szCs w:val="24"/>
        </w:rPr>
        <w:t>Informed and voluntary permission is crucial in medical treatments, research investigations, sexual activities, and legal agreements. This protects people, upholds their rights, and upholds ethics. Relationships foster trust, respect, and dignity.</w:t>
      </w:r>
    </w:p>
    <w:p w14:paraId="4C446F83" w14:textId="77777777" w:rsidR="00812FCC" w:rsidRPr="004F31BB" w:rsidRDefault="00812FCC" w:rsidP="00812FCC">
      <w:pPr>
        <w:jc w:val="both"/>
        <w:rPr>
          <w:rFonts w:ascii="Arial" w:hAnsi="Arial" w:cs="Arial"/>
          <w:sz w:val="24"/>
          <w:szCs w:val="24"/>
        </w:rPr>
      </w:pPr>
    </w:p>
    <w:p w14:paraId="17C8D544" w14:textId="7876DC96" w:rsidR="00764287" w:rsidRPr="004F31BB" w:rsidRDefault="00812FCC" w:rsidP="00812FCC">
      <w:pPr>
        <w:jc w:val="both"/>
        <w:rPr>
          <w:rFonts w:ascii="Arial" w:hAnsi="Arial" w:cs="Arial"/>
          <w:sz w:val="24"/>
          <w:szCs w:val="24"/>
        </w:rPr>
      </w:pPr>
      <w:r w:rsidRPr="004F31BB">
        <w:rPr>
          <w:rFonts w:ascii="Arial" w:hAnsi="Arial" w:cs="Arial"/>
          <w:sz w:val="24"/>
          <w:szCs w:val="24"/>
        </w:rPr>
        <w:t>Informed and voluntary consent must be protected and valued in all aspects of life. This notion gives people the freedom to control their bodies, make their own decisions, and own their experiences.</w:t>
      </w:r>
    </w:p>
    <w:p w14:paraId="36C4F505" w14:textId="77777777" w:rsidR="00764287" w:rsidRDefault="00764287" w:rsidP="008F7DC0">
      <w:pPr>
        <w:jc w:val="both"/>
        <w:rPr>
          <w:rFonts w:ascii="Arial" w:hAnsi="Arial" w:cs="Arial"/>
          <w:b/>
          <w:bCs/>
          <w:sz w:val="28"/>
          <w:szCs w:val="28"/>
        </w:rPr>
      </w:pPr>
    </w:p>
    <w:p w14:paraId="1BC0463F" w14:textId="4F651261" w:rsidR="001B2739" w:rsidRDefault="00075723" w:rsidP="008F7DC0">
      <w:pPr>
        <w:jc w:val="both"/>
        <w:rPr>
          <w:rFonts w:ascii="Arial" w:hAnsi="Arial" w:cs="Arial"/>
          <w:b/>
          <w:bCs/>
          <w:sz w:val="28"/>
          <w:szCs w:val="28"/>
        </w:rPr>
      </w:pPr>
      <w:r>
        <w:rPr>
          <w:rFonts w:ascii="Arial" w:hAnsi="Arial" w:cs="Arial"/>
          <w:b/>
          <w:bCs/>
          <w:sz w:val="28"/>
          <w:szCs w:val="28"/>
        </w:rPr>
        <w:t>Battery and its legal framework:</w:t>
      </w:r>
    </w:p>
    <w:p w14:paraId="6745CAD7" w14:textId="77777777" w:rsidR="00075723" w:rsidRDefault="00075723" w:rsidP="008F7DC0">
      <w:pPr>
        <w:jc w:val="both"/>
        <w:rPr>
          <w:rFonts w:ascii="Arial" w:hAnsi="Arial" w:cs="Arial"/>
          <w:b/>
          <w:bCs/>
          <w:sz w:val="28"/>
          <w:szCs w:val="28"/>
        </w:rPr>
      </w:pPr>
    </w:p>
    <w:p w14:paraId="01482B72" w14:textId="4EEF0574" w:rsidR="00075723" w:rsidRPr="00B73AAA" w:rsidRDefault="00075723" w:rsidP="008F7DC0">
      <w:pPr>
        <w:jc w:val="both"/>
        <w:rPr>
          <w:rFonts w:ascii="Arial" w:hAnsi="Arial" w:cs="Arial"/>
          <w:b/>
          <w:bCs/>
          <w:sz w:val="24"/>
          <w:szCs w:val="24"/>
        </w:rPr>
      </w:pPr>
      <w:r w:rsidRPr="00B73AAA">
        <w:rPr>
          <w:rFonts w:ascii="Arial" w:hAnsi="Arial" w:cs="Arial"/>
          <w:b/>
          <w:bCs/>
          <w:sz w:val="24"/>
          <w:szCs w:val="24"/>
        </w:rPr>
        <w:t>Define battery withing the legal context</w:t>
      </w:r>
      <w:r w:rsidR="00970B3A" w:rsidRPr="00B73AAA">
        <w:rPr>
          <w:rFonts w:ascii="Arial" w:hAnsi="Arial" w:cs="Arial"/>
          <w:b/>
          <w:bCs/>
          <w:sz w:val="24"/>
          <w:szCs w:val="24"/>
        </w:rPr>
        <w:t>:</w:t>
      </w:r>
    </w:p>
    <w:p w14:paraId="7CDFDD64" w14:textId="77777777" w:rsidR="00075723" w:rsidRDefault="00075723" w:rsidP="008F7DC0">
      <w:pPr>
        <w:jc w:val="both"/>
        <w:rPr>
          <w:rFonts w:ascii="Arial" w:hAnsi="Arial" w:cs="Arial"/>
          <w:b/>
          <w:bCs/>
          <w:sz w:val="28"/>
          <w:szCs w:val="28"/>
        </w:rPr>
      </w:pPr>
    </w:p>
    <w:p w14:paraId="26CB024B" w14:textId="1E6432EE" w:rsidR="00764287" w:rsidRPr="001D7F39" w:rsidRDefault="001D7F39" w:rsidP="008F7DC0">
      <w:pPr>
        <w:jc w:val="both"/>
        <w:rPr>
          <w:rFonts w:ascii="Arial" w:hAnsi="Arial" w:cs="Arial"/>
          <w:sz w:val="24"/>
          <w:szCs w:val="24"/>
        </w:rPr>
      </w:pPr>
      <w:r w:rsidRPr="001D7F39">
        <w:rPr>
          <w:rFonts w:ascii="Arial" w:hAnsi="Arial" w:cs="Arial"/>
          <w:sz w:val="24"/>
          <w:szCs w:val="24"/>
        </w:rPr>
        <w:t>Battery is the legal word for when someone intentionally and unlawfully makes physical contact with another person without that person's consent. It entails using force on purpose or making offensive or damaging physical contact with someone. Battery can have both criminal and civil repercussions and is frequently regarded as a type of assault. It's critical to honour individual limits and get permission before making any kind of physical contact.</w:t>
      </w:r>
    </w:p>
    <w:p w14:paraId="57C8E54E" w14:textId="77777777" w:rsidR="00764287" w:rsidRDefault="00764287" w:rsidP="008F7DC0">
      <w:pPr>
        <w:jc w:val="both"/>
        <w:rPr>
          <w:rFonts w:ascii="Arial" w:hAnsi="Arial" w:cs="Arial"/>
          <w:b/>
          <w:bCs/>
          <w:sz w:val="28"/>
          <w:szCs w:val="28"/>
        </w:rPr>
      </w:pPr>
    </w:p>
    <w:p w14:paraId="5856B6EA" w14:textId="3855703C" w:rsidR="003B1C57" w:rsidRDefault="003B1C57" w:rsidP="00B73AAA">
      <w:pPr>
        <w:rPr>
          <w:rFonts w:ascii="Arial" w:hAnsi="Arial" w:cs="Arial"/>
          <w:b/>
          <w:bCs/>
          <w:sz w:val="24"/>
          <w:szCs w:val="24"/>
        </w:rPr>
      </w:pPr>
      <w:r w:rsidRPr="00B73AAA">
        <w:rPr>
          <w:rFonts w:ascii="Arial" w:hAnsi="Arial" w:cs="Arial"/>
          <w:b/>
          <w:bCs/>
          <w:sz w:val="24"/>
          <w:szCs w:val="24"/>
        </w:rPr>
        <w:t>Explain the relevant laws and regulations related to battery in the UK.</w:t>
      </w:r>
    </w:p>
    <w:p w14:paraId="59C703E1" w14:textId="77777777" w:rsidR="00B73AAA" w:rsidRPr="00B73AAA" w:rsidRDefault="00B73AAA" w:rsidP="00B73AAA">
      <w:pPr>
        <w:rPr>
          <w:rFonts w:ascii="Arial" w:hAnsi="Arial" w:cs="Arial"/>
          <w:b/>
          <w:bCs/>
          <w:sz w:val="24"/>
          <w:szCs w:val="24"/>
        </w:rPr>
      </w:pPr>
    </w:p>
    <w:p w14:paraId="3A216473" w14:textId="7E2E48C6" w:rsidR="00F437B4" w:rsidRPr="00B73AAA" w:rsidRDefault="00B73AAA" w:rsidP="008F7DC0">
      <w:pPr>
        <w:jc w:val="both"/>
        <w:rPr>
          <w:rFonts w:ascii="Arial" w:hAnsi="Arial" w:cs="Arial"/>
          <w:sz w:val="24"/>
          <w:szCs w:val="24"/>
        </w:rPr>
      </w:pPr>
      <w:r w:rsidRPr="00B73AAA">
        <w:rPr>
          <w:rFonts w:ascii="Arial" w:hAnsi="Arial" w:cs="Arial"/>
          <w:sz w:val="24"/>
          <w:szCs w:val="24"/>
        </w:rPr>
        <w:t>The purposeful and illegal physical contact with another individual without that person's consent is referred to as battery in legalese. The Criminal Justice Act 1988 and the Offences Against the Person Act 1861 contain the pertinent battery laws and regulations in the United Kingdom. These laws describe and define battery as well as the components of unlawful touch and purpose.</w:t>
      </w:r>
    </w:p>
    <w:p w14:paraId="50C34085" w14:textId="77777777" w:rsidR="00F437B4" w:rsidRDefault="00F437B4" w:rsidP="008F7DC0">
      <w:pPr>
        <w:jc w:val="both"/>
        <w:rPr>
          <w:rFonts w:ascii="Arial" w:hAnsi="Arial" w:cs="Arial"/>
          <w:b/>
          <w:bCs/>
          <w:sz w:val="28"/>
          <w:szCs w:val="28"/>
        </w:rPr>
      </w:pPr>
    </w:p>
    <w:p w14:paraId="26CACF14" w14:textId="2387EF6A" w:rsidR="00F437B4" w:rsidRDefault="00F437B4" w:rsidP="008F7DC0">
      <w:pPr>
        <w:jc w:val="both"/>
        <w:rPr>
          <w:rFonts w:ascii="Arial" w:hAnsi="Arial" w:cs="Arial"/>
          <w:b/>
          <w:bCs/>
          <w:sz w:val="28"/>
          <w:szCs w:val="28"/>
        </w:rPr>
      </w:pPr>
      <w:r>
        <w:rPr>
          <w:rFonts w:ascii="Arial" w:hAnsi="Arial" w:cs="Arial"/>
          <w:b/>
          <w:bCs/>
          <w:sz w:val="28"/>
          <w:szCs w:val="28"/>
        </w:rPr>
        <w:t>Consent and battery:</w:t>
      </w:r>
    </w:p>
    <w:p w14:paraId="33683EB1" w14:textId="77777777" w:rsidR="00856417" w:rsidRDefault="00856417" w:rsidP="008F7DC0">
      <w:pPr>
        <w:jc w:val="both"/>
        <w:rPr>
          <w:rFonts w:ascii="Arial" w:hAnsi="Arial" w:cs="Arial"/>
          <w:b/>
          <w:bCs/>
          <w:sz w:val="28"/>
          <w:szCs w:val="28"/>
        </w:rPr>
      </w:pPr>
    </w:p>
    <w:p w14:paraId="3A3FF3C2" w14:textId="118B4394" w:rsidR="00856417" w:rsidRDefault="00863103" w:rsidP="00856417">
      <w:pPr>
        <w:rPr>
          <w:rFonts w:ascii="Arial" w:hAnsi="Arial" w:cs="Arial"/>
          <w:b/>
          <w:bCs/>
          <w:sz w:val="24"/>
          <w:szCs w:val="24"/>
        </w:rPr>
      </w:pPr>
      <w:r w:rsidRPr="00856417">
        <w:rPr>
          <w:rFonts w:ascii="Arial" w:hAnsi="Arial" w:cs="Arial"/>
          <w:b/>
          <w:bCs/>
          <w:sz w:val="24"/>
          <w:szCs w:val="24"/>
        </w:rPr>
        <w:t>Explore the role of consent in battery cases</w:t>
      </w:r>
      <w:r w:rsidR="00856417">
        <w:rPr>
          <w:rFonts w:ascii="Arial" w:hAnsi="Arial" w:cs="Arial"/>
          <w:b/>
          <w:bCs/>
          <w:sz w:val="24"/>
          <w:szCs w:val="24"/>
        </w:rPr>
        <w:t>:</w:t>
      </w:r>
    </w:p>
    <w:p w14:paraId="17E780AE" w14:textId="77777777" w:rsidR="00856417" w:rsidRDefault="00856417" w:rsidP="00856417">
      <w:pPr>
        <w:rPr>
          <w:rFonts w:ascii="Arial" w:hAnsi="Arial" w:cs="Arial"/>
          <w:b/>
          <w:bCs/>
          <w:sz w:val="24"/>
          <w:szCs w:val="24"/>
        </w:rPr>
      </w:pPr>
    </w:p>
    <w:p w14:paraId="3AFBB168" w14:textId="2A3318BB" w:rsidR="00856417" w:rsidRPr="00856417" w:rsidRDefault="00856417" w:rsidP="00856417">
      <w:pPr>
        <w:jc w:val="both"/>
        <w:rPr>
          <w:rFonts w:ascii="Arial" w:hAnsi="Arial" w:cs="Arial"/>
          <w:sz w:val="24"/>
          <w:szCs w:val="24"/>
        </w:rPr>
      </w:pPr>
      <w:r w:rsidRPr="00856417">
        <w:rPr>
          <w:rFonts w:ascii="Arial" w:hAnsi="Arial" w:cs="Arial"/>
          <w:sz w:val="24"/>
          <w:szCs w:val="24"/>
        </w:rPr>
        <w:t xml:space="preserve">Under tort law, permission is essential in battery claims. Battery is defined as deliberate, unapproved physical contact that is harmful or offensive. Consent may create liability or serve as a legitimate defence. According to the requirements of Section 892A of the Restatement (Second) of Torts, it must be free of charge, informed, and free from coercion. </w:t>
      </w:r>
      <w:r w:rsidRPr="00856417">
        <w:rPr>
          <w:rFonts w:ascii="Arial" w:hAnsi="Arial" w:cs="Arial"/>
          <w:sz w:val="24"/>
          <w:szCs w:val="24"/>
          <w:shd w:val="clear" w:color="auto" w:fill="F7F7F8"/>
        </w:rPr>
        <w:t>(Dershowitz, 1967; Epstein, 1989</w:t>
      </w:r>
      <w:proofErr w:type="gramStart"/>
      <w:r w:rsidRPr="00856417">
        <w:rPr>
          <w:rFonts w:ascii="Arial" w:hAnsi="Arial" w:cs="Arial"/>
          <w:sz w:val="24"/>
          <w:szCs w:val="24"/>
          <w:shd w:val="clear" w:color="auto" w:fill="F7F7F8"/>
        </w:rPr>
        <w:t>).</w:t>
      </w:r>
      <w:r w:rsidRPr="00856417">
        <w:rPr>
          <w:rFonts w:ascii="Arial" w:hAnsi="Arial" w:cs="Arial"/>
          <w:sz w:val="24"/>
          <w:szCs w:val="24"/>
        </w:rPr>
        <w:t>Consent</w:t>
      </w:r>
      <w:proofErr w:type="gramEnd"/>
      <w:r w:rsidRPr="00856417">
        <w:rPr>
          <w:rFonts w:ascii="Arial" w:hAnsi="Arial" w:cs="Arial"/>
          <w:sz w:val="24"/>
          <w:szCs w:val="24"/>
        </w:rPr>
        <w:t xml:space="preserve"> may be expressed clearly or subtly. It is crucial that people give their informed permission, which calls for a thorough understanding of any possible hazards. Consent that excuses harmful or illegal conduct may be limited in its effectiveness by public policy considerations. Consent plays a key role in tort law, and courts and legal academics are constantly refining its concepts.</w:t>
      </w:r>
    </w:p>
    <w:p w14:paraId="597959BB" w14:textId="77777777" w:rsidR="00AA7E26" w:rsidRPr="00856417" w:rsidRDefault="00AA7E26" w:rsidP="00AA7E26">
      <w:pPr>
        <w:pStyle w:val="ListParagraph"/>
        <w:rPr>
          <w:rFonts w:ascii="Comic Sans MS" w:hAnsi="Comic Sans MS"/>
          <w:color w:val="7030A0"/>
        </w:rPr>
      </w:pPr>
    </w:p>
    <w:p w14:paraId="46954990" w14:textId="77777777" w:rsidR="00F437B4" w:rsidRPr="00856417" w:rsidRDefault="00F437B4" w:rsidP="008F7DC0">
      <w:pPr>
        <w:jc w:val="both"/>
        <w:rPr>
          <w:rFonts w:ascii="Arial" w:hAnsi="Arial" w:cs="Arial"/>
          <w:sz w:val="28"/>
          <w:szCs w:val="28"/>
        </w:rPr>
      </w:pPr>
    </w:p>
    <w:p w14:paraId="6C0F643B" w14:textId="77777777" w:rsidR="00D93D89" w:rsidRPr="00D93D89" w:rsidRDefault="00D93D89" w:rsidP="00D93D89">
      <w:pPr>
        <w:rPr>
          <w:rFonts w:ascii="Arial" w:hAnsi="Arial" w:cs="Arial"/>
          <w:b/>
          <w:bCs/>
          <w:sz w:val="28"/>
          <w:szCs w:val="28"/>
        </w:rPr>
      </w:pPr>
      <w:r w:rsidRPr="00D93D89">
        <w:rPr>
          <w:rFonts w:ascii="Arial" w:hAnsi="Arial" w:cs="Arial"/>
          <w:b/>
          <w:bCs/>
          <w:sz w:val="28"/>
          <w:szCs w:val="28"/>
        </w:rPr>
        <w:t>Differentiate between consensual activities and battery.</w:t>
      </w:r>
    </w:p>
    <w:p w14:paraId="4AC4697B" w14:textId="77777777" w:rsidR="00D93D89" w:rsidRDefault="00D93D89" w:rsidP="008F7DC0">
      <w:pPr>
        <w:jc w:val="both"/>
        <w:rPr>
          <w:rFonts w:ascii="Arial" w:hAnsi="Arial" w:cs="Arial"/>
          <w:b/>
          <w:bCs/>
          <w:sz w:val="28"/>
          <w:szCs w:val="28"/>
        </w:rPr>
      </w:pPr>
    </w:p>
    <w:p w14:paraId="7E29BCF9" w14:textId="77777777" w:rsidR="00235776" w:rsidRPr="00235776" w:rsidRDefault="00235776" w:rsidP="00235776">
      <w:pPr>
        <w:jc w:val="both"/>
        <w:rPr>
          <w:rFonts w:ascii="Arial" w:hAnsi="Arial" w:cs="Arial"/>
          <w:sz w:val="24"/>
          <w:szCs w:val="24"/>
        </w:rPr>
      </w:pPr>
      <w:r w:rsidRPr="00235776">
        <w:rPr>
          <w:rFonts w:ascii="Arial" w:hAnsi="Arial" w:cs="Arial"/>
          <w:sz w:val="24"/>
          <w:szCs w:val="24"/>
        </w:rPr>
        <w:t>Activities or interactions between people that are decided upon and willingly engaged in by all parties are referred to as consensual. However, battery entails purposeful and illegal physical contact with another individual without that person's consent. In any physical connection, it is crucial to get consent and respect personal limits.</w:t>
      </w:r>
    </w:p>
    <w:p w14:paraId="22439B9D" w14:textId="77777777" w:rsidR="00235776" w:rsidRPr="00D23996" w:rsidRDefault="00235776" w:rsidP="00235776">
      <w:pPr>
        <w:jc w:val="both"/>
        <w:rPr>
          <w:rFonts w:ascii="Arial" w:hAnsi="Arial" w:cs="Arial"/>
          <w:b/>
          <w:bCs/>
          <w:sz w:val="28"/>
          <w:szCs w:val="28"/>
        </w:rPr>
      </w:pPr>
    </w:p>
    <w:p w14:paraId="6CB9F9A9" w14:textId="7ACDEC19" w:rsidR="00611A94" w:rsidRPr="00D23996" w:rsidRDefault="00D23996" w:rsidP="00235776">
      <w:pPr>
        <w:jc w:val="both"/>
        <w:rPr>
          <w:rFonts w:ascii="Arial" w:hAnsi="Arial" w:cs="Arial"/>
          <w:b/>
          <w:bCs/>
          <w:sz w:val="28"/>
          <w:szCs w:val="28"/>
        </w:rPr>
      </w:pPr>
      <w:r w:rsidRPr="00D23996">
        <w:rPr>
          <w:rFonts w:ascii="Arial" w:hAnsi="Arial" w:cs="Arial"/>
          <w:b/>
          <w:bCs/>
          <w:sz w:val="28"/>
          <w:szCs w:val="28"/>
        </w:rPr>
        <w:t>Provide examples to illustrate this intersection.</w:t>
      </w:r>
    </w:p>
    <w:p w14:paraId="6DBAD7A4" w14:textId="77777777" w:rsidR="00764287" w:rsidRDefault="00764287" w:rsidP="008F7DC0">
      <w:pPr>
        <w:jc w:val="both"/>
        <w:rPr>
          <w:rFonts w:ascii="Arial" w:hAnsi="Arial" w:cs="Arial"/>
          <w:b/>
          <w:bCs/>
          <w:sz w:val="28"/>
          <w:szCs w:val="28"/>
        </w:rPr>
      </w:pPr>
    </w:p>
    <w:p w14:paraId="6789DFC9" w14:textId="77777777" w:rsidR="00F9523E" w:rsidRPr="00F9523E" w:rsidRDefault="00F9523E" w:rsidP="00F9523E">
      <w:pPr>
        <w:jc w:val="both"/>
        <w:rPr>
          <w:rFonts w:ascii="Arial" w:hAnsi="Arial" w:cs="Arial"/>
          <w:sz w:val="24"/>
          <w:szCs w:val="24"/>
        </w:rPr>
      </w:pPr>
      <w:r w:rsidRPr="00F9523E">
        <w:rPr>
          <w:rFonts w:ascii="Arial" w:hAnsi="Arial" w:cs="Arial"/>
          <w:sz w:val="24"/>
          <w:szCs w:val="24"/>
        </w:rPr>
        <w:t>Now let's look at a few instances to show how consensual activities and batteries interact.</w:t>
      </w:r>
    </w:p>
    <w:p w14:paraId="2F5B0573" w14:textId="77777777" w:rsidR="00F9523E" w:rsidRPr="00F9523E" w:rsidRDefault="00F9523E" w:rsidP="00F9523E">
      <w:pPr>
        <w:jc w:val="both"/>
        <w:rPr>
          <w:rFonts w:ascii="Arial" w:hAnsi="Arial" w:cs="Arial"/>
          <w:sz w:val="24"/>
          <w:szCs w:val="24"/>
        </w:rPr>
      </w:pPr>
    </w:p>
    <w:p w14:paraId="51ECE80A" w14:textId="77777777" w:rsidR="00F9523E" w:rsidRPr="00F9523E" w:rsidRDefault="00F9523E" w:rsidP="00F9523E">
      <w:pPr>
        <w:jc w:val="both"/>
        <w:rPr>
          <w:rFonts w:ascii="Arial" w:hAnsi="Arial" w:cs="Arial"/>
          <w:sz w:val="24"/>
          <w:szCs w:val="24"/>
        </w:rPr>
      </w:pPr>
      <w:r w:rsidRPr="00F9523E">
        <w:rPr>
          <w:rFonts w:ascii="Arial" w:hAnsi="Arial" w:cs="Arial"/>
          <w:sz w:val="24"/>
          <w:szCs w:val="24"/>
        </w:rPr>
        <w:t>Hugging a friend, shaking hands, or taking part in a consensual sporting activity where physical contact is anticipated and approved by both parties are examples of consensual activities.</w:t>
      </w:r>
    </w:p>
    <w:p w14:paraId="088EAA9E" w14:textId="77777777" w:rsidR="00F9523E" w:rsidRPr="00F9523E" w:rsidRDefault="00F9523E" w:rsidP="00F9523E">
      <w:pPr>
        <w:jc w:val="both"/>
        <w:rPr>
          <w:rFonts w:ascii="Arial" w:hAnsi="Arial" w:cs="Arial"/>
          <w:sz w:val="24"/>
          <w:szCs w:val="24"/>
        </w:rPr>
      </w:pPr>
    </w:p>
    <w:p w14:paraId="643420D9" w14:textId="77777777" w:rsidR="00F9523E" w:rsidRPr="00F9523E" w:rsidRDefault="00F9523E" w:rsidP="00F9523E">
      <w:pPr>
        <w:jc w:val="both"/>
        <w:rPr>
          <w:rFonts w:ascii="Arial" w:hAnsi="Arial" w:cs="Arial"/>
          <w:sz w:val="24"/>
          <w:szCs w:val="24"/>
        </w:rPr>
      </w:pPr>
      <w:r w:rsidRPr="00F9523E">
        <w:rPr>
          <w:rFonts w:ascii="Arial" w:hAnsi="Arial" w:cs="Arial"/>
          <w:sz w:val="24"/>
          <w:szCs w:val="24"/>
        </w:rPr>
        <w:t>Conversely, battery refers to circumstances in which there is non-consensual physical contact carried out with the intention of causing hurt or offence. For example, it would be deemed battery if someone punched or shoved someone else violently without that person's permission.</w:t>
      </w:r>
    </w:p>
    <w:p w14:paraId="3EDD208A" w14:textId="77777777" w:rsidR="00F9523E" w:rsidRPr="00F9523E" w:rsidRDefault="00F9523E" w:rsidP="00F9523E">
      <w:pPr>
        <w:jc w:val="both"/>
        <w:rPr>
          <w:rFonts w:ascii="Arial" w:hAnsi="Arial" w:cs="Arial"/>
          <w:sz w:val="24"/>
          <w:szCs w:val="24"/>
        </w:rPr>
      </w:pPr>
    </w:p>
    <w:p w14:paraId="2F9A29E1" w14:textId="443623B3" w:rsidR="00F9523E" w:rsidRPr="00F9523E" w:rsidRDefault="00F9523E" w:rsidP="00F9523E">
      <w:pPr>
        <w:jc w:val="both"/>
        <w:rPr>
          <w:rFonts w:ascii="Arial" w:hAnsi="Arial" w:cs="Arial"/>
          <w:sz w:val="24"/>
          <w:szCs w:val="24"/>
        </w:rPr>
      </w:pPr>
      <w:r w:rsidRPr="00F9523E">
        <w:rPr>
          <w:rFonts w:ascii="Arial" w:hAnsi="Arial" w:cs="Arial"/>
          <w:sz w:val="24"/>
          <w:szCs w:val="24"/>
        </w:rPr>
        <w:lastRenderedPageBreak/>
        <w:t>Always remember that consent must be obtained before engaging in any physical interaction and that personal boundaries must be respected. To keep interactions civil and consensual, consent is essential.</w:t>
      </w:r>
    </w:p>
    <w:p w14:paraId="0DC8F821" w14:textId="77777777" w:rsidR="00764287" w:rsidRDefault="00764287" w:rsidP="008F7DC0">
      <w:pPr>
        <w:jc w:val="both"/>
        <w:rPr>
          <w:rFonts w:ascii="Arial" w:hAnsi="Arial" w:cs="Arial"/>
          <w:b/>
          <w:bCs/>
          <w:sz w:val="28"/>
          <w:szCs w:val="28"/>
        </w:rPr>
      </w:pPr>
    </w:p>
    <w:p w14:paraId="11847684" w14:textId="77777777" w:rsidR="00764287" w:rsidRDefault="00764287" w:rsidP="008F7DC0">
      <w:pPr>
        <w:jc w:val="both"/>
        <w:rPr>
          <w:rFonts w:ascii="Arial" w:hAnsi="Arial" w:cs="Arial"/>
          <w:b/>
          <w:bCs/>
          <w:sz w:val="28"/>
          <w:szCs w:val="28"/>
        </w:rPr>
      </w:pPr>
    </w:p>
    <w:p w14:paraId="755DB444" w14:textId="77777777" w:rsidR="00C54AD4" w:rsidRDefault="00C54AD4" w:rsidP="00C54AD4">
      <w:pPr>
        <w:rPr>
          <w:rFonts w:ascii="Arial" w:hAnsi="Arial" w:cs="Arial"/>
          <w:b/>
          <w:bCs/>
          <w:sz w:val="28"/>
          <w:szCs w:val="28"/>
        </w:rPr>
      </w:pPr>
      <w:r w:rsidRPr="00856417">
        <w:rPr>
          <w:rFonts w:ascii="Arial" w:hAnsi="Arial" w:cs="Arial"/>
          <w:b/>
          <w:bCs/>
          <w:sz w:val="28"/>
          <w:szCs w:val="28"/>
        </w:rPr>
        <w:t>Challenges and Controversies (Approximately 200 words)</w:t>
      </w:r>
    </w:p>
    <w:p w14:paraId="0E1A9B2A" w14:textId="77777777" w:rsidR="00856417" w:rsidRPr="00354872" w:rsidRDefault="00856417" w:rsidP="00C54AD4">
      <w:pPr>
        <w:rPr>
          <w:rFonts w:ascii="Arial" w:hAnsi="Arial" w:cs="Arial"/>
          <w:b/>
          <w:bCs/>
          <w:sz w:val="28"/>
          <w:szCs w:val="28"/>
        </w:rPr>
      </w:pPr>
    </w:p>
    <w:p w14:paraId="26D9827A" w14:textId="77777777" w:rsidR="00C54AD4" w:rsidRDefault="00C54AD4" w:rsidP="00856417">
      <w:pPr>
        <w:ind w:left="360"/>
        <w:rPr>
          <w:rFonts w:ascii="Arial" w:hAnsi="Arial" w:cs="Arial"/>
          <w:b/>
          <w:bCs/>
          <w:sz w:val="24"/>
          <w:szCs w:val="24"/>
        </w:rPr>
      </w:pPr>
      <w:r w:rsidRPr="00354872">
        <w:rPr>
          <w:rFonts w:ascii="Arial" w:hAnsi="Arial" w:cs="Arial"/>
          <w:b/>
          <w:bCs/>
          <w:sz w:val="24"/>
          <w:szCs w:val="24"/>
        </w:rPr>
        <w:t>Discuss the grey areas and challenges in determining consent.</w:t>
      </w:r>
    </w:p>
    <w:p w14:paraId="623553D4" w14:textId="77777777" w:rsidR="00354872" w:rsidRDefault="00354872" w:rsidP="00856417">
      <w:pPr>
        <w:ind w:left="360"/>
        <w:rPr>
          <w:rFonts w:ascii="Arial" w:hAnsi="Arial" w:cs="Arial"/>
          <w:b/>
          <w:bCs/>
          <w:sz w:val="24"/>
          <w:szCs w:val="24"/>
        </w:rPr>
      </w:pPr>
    </w:p>
    <w:p w14:paraId="4DCE54A3" w14:textId="77777777" w:rsidR="00354872" w:rsidRPr="00354872" w:rsidRDefault="00354872" w:rsidP="00354872">
      <w:pPr>
        <w:ind w:left="360"/>
        <w:jc w:val="both"/>
        <w:rPr>
          <w:rFonts w:ascii="Arial" w:hAnsi="Arial" w:cs="Arial"/>
          <w:sz w:val="24"/>
          <w:szCs w:val="24"/>
        </w:rPr>
      </w:pPr>
      <w:r w:rsidRPr="00354872">
        <w:rPr>
          <w:rFonts w:ascii="Arial" w:hAnsi="Arial" w:cs="Arial"/>
          <w:sz w:val="24"/>
          <w:szCs w:val="24"/>
        </w:rPr>
        <w:t xml:space="preserve">In the legal context of the UK, determining permission involves </w:t>
      </w:r>
      <w:proofErr w:type="gramStart"/>
      <w:r w:rsidRPr="00354872">
        <w:rPr>
          <w:rFonts w:ascii="Arial" w:hAnsi="Arial" w:cs="Arial"/>
          <w:sz w:val="24"/>
          <w:szCs w:val="24"/>
        </w:rPr>
        <w:t>a number of</w:t>
      </w:r>
      <w:proofErr w:type="gramEnd"/>
      <w:r w:rsidRPr="00354872">
        <w:rPr>
          <w:rFonts w:ascii="Arial" w:hAnsi="Arial" w:cs="Arial"/>
          <w:sz w:val="24"/>
          <w:szCs w:val="24"/>
        </w:rPr>
        <w:t xml:space="preserve"> difficulties and ambiguities. In some circumstances, consent might be vague, making it challenging to determine </w:t>
      </w:r>
      <w:proofErr w:type="gramStart"/>
      <w:r w:rsidRPr="00354872">
        <w:rPr>
          <w:rFonts w:ascii="Arial" w:hAnsi="Arial" w:cs="Arial"/>
          <w:sz w:val="24"/>
          <w:szCs w:val="24"/>
        </w:rPr>
        <w:t>whether or not</w:t>
      </w:r>
      <w:proofErr w:type="gramEnd"/>
      <w:r w:rsidRPr="00354872">
        <w:rPr>
          <w:rFonts w:ascii="Arial" w:hAnsi="Arial" w:cs="Arial"/>
          <w:sz w:val="24"/>
          <w:szCs w:val="24"/>
        </w:rPr>
        <w:t xml:space="preserve"> it was freely given or fully understood. Uncertainty can arise from things like the ability to consent, possible coercion, or the effects of drugs and alcohol. Furthermore, discussions concerning the definition and proof of consent have been prompted by recent legal innovations such as the "affirmative consent" concept. This intricacy emphasises the necessity of a complex and dynamic legal systemic interpretation of consent (Smith &amp; Downe, 2019).</w:t>
      </w:r>
    </w:p>
    <w:p w14:paraId="7F91C25C" w14:textId="77777777" w:rsidR="00354872" w:rsidRPr="00354872" w:rsidRDefault="00354872" w:rsidP="00354872">
      <w:pPr>
        <w:ind w:left="360"/>
        <w:rPr>
          <w:rFonts w:ascii="Arial" w:hAnsi="Arial" w:cs="Arial"/>
          <w:b/>
          <w:bCs/>
          <w:sz w:val="24"/>
          <w:szCs w:val="24"/>
        </w:rPr>
      </w:pPr>
    </w:p>
    <w:p w14:paraId="4B4D5FA0" w14:textId="77777777" w:rsidR="00856417" w:rsidRPr="00354872" w:rsidRDefault="00856417" w:rsidP="00856417">
      <w:pPr>
        <w:ind w:left="360"/>
        <w:rPr>
          <w:rFonts w:ascii="Arial" w:hAnsi="Arial" w:cs="Arial"/>
          <w:b/>
          <w:bCs/>
          <w:sz w:val="24"/>
          <w:szCs w:val="24"/>
        </w:rPr>
      </w:pPr>
    </w:p>
    <w:p w14:paraId="016F39D9" w14:textId="77777777" w:rsidR="00C54AD4" w:rsidRDefault="00C54AD4" w:rsidP="00856417">
      <w:pPr>
        <w:ind w:left="360"/>
        <w:rPr>
          <w:rFonts w:ascii="Arial" w:hAnsi="Arial" w:cs="Arial"/>
          <w:b/>
          <w:bCs/>
          <w:sz w:val="24"/>
          <w:szCs w:val="24"/>
        </w:rPr>
      </w:pPr>
      <w:r w:rsidRPr="00354872">
        <w:rPr>
          <w:rFonts w:ascii="Arial" w:hAnsi="Arial" w:cs="Arial"/>
          <w:b/>
          <w:bCs/>
          <w:sz w:val="24"/>
          <w:szCs w:val="24"/>
        </w:rPr>
        <w:t>Highlight controversial cases and legal precedents.</w:t>
      </w:r>
    </w:p>
    <w:p w14:paraId="7B2EE840" w14:textId="77777777" w:rsidR="00A50F02" w:rsidRPr="00A50F02" w:rsidRDefault="00A50F02" w:rsidP="00856417">
      <w:pPr>
        <w:ind w:left="360"/>
        <w:rPr>
          <w:rFonts w:ascii="Arial" w:hAnsi="Arial" w:cs="Arial"/>
          <w:sz w:val="24"/>
          <w:szCs w:val="24"/>
        </w:rPr>
      </w:pPr>
    </w:p>
    <w:p w14:paraId="25E13418" w14:textId="77777777" w:rsidR="00A50F02" w:rsidRPr="00A50F02" w:rsidRDefault="00A50F02" w:rsidP="00787D1F">
      <w:pPr>
        <w:ind w:left="360"/>
        <w:jc w:val="both"/>
        <w:rPr>
          <w:rFonts w:ascii="Arial" w:hAnsi="Arial" w:cs="Arial"/>
          <w:sz w:val="24"/>
          <w:szCs w:val="24"/>
        </w:rPr>
      </w:pPr>
      <w:r w:rsidRPr="00A50F02">
        <w:rPr>
          <w:rFonts w:ascii="Arial" w:hAnsi="Arial" w:cs="Arial"/>
          <w:sz w:val="24"/>
          <w:szCs w:val="24"/>
        </w:rPr>
        <w:t xml:space="preserve">The concept of consent has evolved in the UK </w:t>
      </w:r>
      <w:proofErr w:type="gramStart"/>
      <w:r w:rsidRPr="00A50F02">
        <w:rPr>
          <w:rFonts w:ascii="Arial" w:hAnsi="Arial" w:cs="Arial"/>
          <w:sz w:val="24"/>
          <w:szCs w:val="24"/>
        </w:rPr>
        <w:t>as a result of</w:t>
      </w:r>
      <w:proofErr w:type="gramEnd"/>
      <w:r w:rsidRPr="00A50F02">
        <w:rPr>
          <w:rFonts w:ascii="Arial" w:hAnsi="Arial" w:cs="Arial"/>
          <w:sz w:val="24"/>
          <w:szCs w:val="24"/>
        </w:rPr>
        <w:t xml:space="preserve"> a number of contentious court decisions and legal precedents. One such instance is the 2011 case R v. Assange, in which WikiLeaks founder Julian Assange was sought for extradition to Sweden due to allegations of sexual assault. The case brought up issues about the legitimacy of permission, especially when it is first granted but then retracted.</w:t>
      </w:r>
    </w:p>
    <w:p w14:paraId="4B9844CD" w14:textId="77777777" w:rsidR="00A50F02" w:rsidRPr="00A50F02" w:rsidRDefault="00A50F02" w:rsidP="00787D1F">
      <w:pPr>
        <w:ind w:left="360"/>
        <w:jc w:val="both"/>
        <w:rPr>
          <w:rFonts w:ascii="Arial" w:hAnsi="Arial" w:cs="Arial"/>
          <w:sz w:val="24"/>
          <w:szCs w:val="24"/>
        </w:rPr>
      </w:pPr>
    </w:p>
    <w:p w14:paraId="2B944AA9" w14:textId="77777777" w:rsidR="00A50F02" w:rsidRPr="00A50F02" w:rsidRDefault="00A50F02" w:rsidP="00787D1F">
      <w:pPr>
        <w:ind w:left="360"/>
        <w:jc w:val="both"/>
        <w:rPr>
          <w:rFonts w:ascii="Arial" w:hAnsi="Arial" w:cs="Arial"/>
          <w:sz w:val="24"/>
          <w:szCs w:val="24"/>
        </w:rPr>
      </w:pPr>
      <w:r w:rsidRPr="00A50F02">
        <w:rPr>
          <w:rFonts w:ascii="Arial" w:hAnsi="Arial" w:cs="Arial"/>
          <w:sz w:val="24"/>
          <w:szCs w:val="24"/>
        </w:rPr>
        <w:t xml:space="preserve">R v. McNally (2013) is another notable case in which the defendant misled the victim about his </w:t>
      </w:r>
      <w:proofErr w:type="gramStart"/>
      <w:r w:rsidRPr="00A50F02">
        <w:rPr>
          <w:rFonts w:ascii="Arial" w:hAnsi="Arial" w:cs="Arial"/>
          <w:sz w:val="24"/>
          <w:szCs w:val="24"/>
        </w:rPr>
        <w:t>true identity</w:t>
      </w:r>
      <w:proofErr w:type="gramEnd"/>
      <w:r w:rsidRPr="00A50F02">
        <w:rPr>
          <w:rFonts w:ascii="Arial" w:hAnsi="Arial" w:cs="Arial"/>
          <w:sz w:val="24"/>
          <w:szCs w:val="24"/>
        </w:rPr>
        <w:t xml:space="preserve"> and was found guilty of rape. The problem of false misrepresentation and its effect on consent was brought to light by this case.</w:t>
      </w:r>
    </w:p>
    <w:p w14:paraId="7300F53B" w14:textId="77777777" w:rsidR="00A50F02" w:rsidRPr="00A50F02" w:rsidRDefault="00A50F02" w:rsidP="00787D1F">
      <w:pPr>
        <w:ind w:left="360"/>
        <w:jc w:val="both"/>
        <w:rPr>
          <w:rFonts w:ascii="Arial" w:hAnsi="Arial" w:cs="Arial"/>
          <w:sz w:val="24"/>
          <w:szCs w:val="24"/>
        </w:rPr>
      </w:pPr>
    </w:p>
    <w:p w14:paraId="06CCCF59" w14:textId="77777777" w:rsidR="00A50F02" w:rsidRPr="00A50F02" w:rsidRDefault="00A50F02" w:rsidP="00787D1F">
      <w:pPr>
        <w:ind w:left="360"/>
        <w:jc w:val="both"/>
        <w:rPr>
          <w:rFonts w:ascii="Arial" w:hAnsi="Arial" w:cs="Arial"/>
          <w:sz w:val="24"/>
          <w:szCs w:val="24"/>
        </w:rPr>
      </w:pPr>
      <w:r w:rsidRPr="00A50F02">
        <w:rPr>
          <w:rFonts w:ascii="Arial" w:hAnsi="Arial" w:cs="Arial"/>
          <w:sz w:val="24"/>
          <w:szCs w:val="24"/>
        </w:rPr>
        <w:t xml:space="preserve">Legal precedents indicate that permission obtained by fraud or deception might invalidate it, even in cases where the sexual conduct first seems consensual (R v. </w:t>
      </w:r>
      <w:proofErr w:type="spellStart"/>
      <w:r w:rsidRPr="00A50F02">
        <w:rPr>
          <w:rFonts w:ascii="Arial" w:hAnsi="Arial" w:cs="Arial"/>
          <w:sz w:val="24"/>
          <w:szCs w:val="24"/>
        </w:rPr>
        <w:t>Olugboja</w:t>
      </w:r>
      <w:proofErr w:type="spellEnd"/>
      <w:r w:rsidRPr="00A50F02">
        <w:rPr>
          <w:rFonts w:ascii="Arial" w:hAnsi="Arial" w:cs="Arial"/>
          <w:sz w:val="24"/>
          <w:szCs w:val="24"/>
        </w:rPr>
        <w:t>, 1982).</w:t>
      </w:r>
    </w:p>
    <w:p w14:paraId="7A3B46FF" w14:textId="77777777" w:rsidR="00A50F02" w:rsidRPr="00787D1F" w:rsidRDefault="00A50F02" w:rsidP="00787D1F">
      <w:pPr>
        <w:ind w:left="360"/>
        <w:jc w:val="both"/>
        <w:rPr>
          <w:rFonts w:ascii="Arial" w:hAnsi="Arial" w:cs="Arial"/>
          <w:sz w:val="24"/>
          <w:szCs w:val="24"/>
        </w:rPr>
      </w:pPr>
    </w:p>
    <w:p w14:paraId="38D6EC35" w14:textId="77777777" w:rsidR="00A50F02" w:rsidRPr="00787D1F" w:rsidRDefault="00A50F02" w:rsidP="00787D1F">
      <w:pPr>
        <w:ind w:left="360"/>
        <w:jc w:val="both"/>
        <w:rPr>
          <w:rFonts w:ascii="Arial" w:hAnsi="Arial" w:cs="Arial"/>
          <w:sz w:val="24"/>
          <w:szCs w:val="24"/>
        </w:rPr>
      </w:pPr>
    </w:p>
    <w:p w14:paraId="2199DA00" w14:textId="28306EBE" w:rsidR="00856417" w:rsidRDefault="00A50F02" w:rsidP="00787D1F">
      <w:pPr>
        <w:ind w:left="360"/>
        <w:jc w:val="both"/>
        <w:rPr>
          <w:rFonts w:ascii="Arial" w:hAnsi="Arial" w:cs="Arial"/>
          <w:sz w:val="24"/>
          <w:szCs w:val="24"/>
        </w:rPr>
      </w:pPr>
      <w:r w:rsidRPr="00787D1F">
        <w:rPr>
          <w:rFonts w:ascii="Arial" w:hAnsi="Arial" w:cs="Arial"/>
          <w:sz w:val="24"/>
          <w:szCs w:val="24"/>
        </w:rPr>
        <w:t>The continuous debates and complications surrounding the definition of consent in the UK legal system are reflected in these decisions and precedents.</w:t>
      </w:r>
    </w:p>
    <w:p w14:paraId="4CD8E6E0" w14:textId="77777777" w:rsidR="00FB3085" w:rsidRPr="00787D1F" w:rsidRDefault="00FB3085" w:rsidP="00787D1F">
      <w:pPr>
        <w:ind w:left="360"/>
        <w:jc w:val="both"/>
        <w:rPr>
          <w:rFonts w:ascii="Arial" w:hAnsi="Arial" w:cs="Arial"/>
          <w:sz w:val="24"/>
          <w:szCs w:val="24"/>
        </w:rPr>
      </w:pPr>
    </w:p>
    <w:p w14:paraId="230ADDCD" w14:textId="77777777" w:rsidR="00C54AD4" w:rsidRPr="00FB3085" w:rsidRDefault="00C54AD4" w:rsidP="00787D1F">
      <w:pPr>
        <w:ind w:left="360"/>
        <w:jc w:val="both"/>
        <w:rPr>
          <w:rFonts w:ascii="Arial" w:hAnsi="Arial" w:cs="Arial"/>
          <w:b/>
          <w:bCs/>
          <w:sz w:val="24"/>
          <w:szCs w:val="24"/>
        </w:rPr>
      </w:pPr>
      <w:r w:rsidRPr="00FB3085">
        <w:rPr>
          <w:rFonts w:ascii="Arial" w:hAnsi="Arial" w:cs="Arial"/>
          <w:b/>
          <w:bCs/>
          <w:sz w:val="24"/>
          <w:szCs w:val="24"/>
        </w:rPr>
        <w:t>Analyse the ethical dilemmas that may arise.</w:t>
      </w:r>
    </w:p>
    <w:p w14:paraId="745ECDB0" w14:textId="77777777" w:rsidR="00856417" w:rsidRDefault="00856417" w:rsidP="00787D1F">
      <w:pPr>
        <w:ind w:left="360"/>
        <w:jc w:val="both"/>
        <w:rPr>
          <w:rFonts w:ascii="Arial" w:hAnsi="Arial" w:cs="Arial"/>
          <w:sz w:val="24"/>
          <w:szCs w:val="24"/>
        </w:rPr>
      </w:pPr>
    </w:p>
    <w:p w14:paraId="46DA2799" w14:textId="590A2A51" w:rsidR="00846EBB" w:rsidRPr="00846EBB" w:rsidRDefault="00846EBB" w:rsidP="00846EBB">
      <w:pPr>
        <w:ind w:left="360"/>
        <w:jc w:val="both"/>
        <w:rPr>
          <w:rFonts w:ascii="Arial" w:hAnsi="Arial" w:cs="Arial"/>
          <w:sz w:val="24"/>
          <w:szCs w:val="24"/>
        </w:rPr>
      </w:pPr>
      <w:r w:rsidRPr="00846EBB">
        <w:rPr>
          <w:rFonts w:ascii="Arial" w:hAnsi="Arial" w:cs="Arial"/>
          <w:sz w:val="24"/>
          <w:szCs w:val="24"/>
        </w:rPr>
        <w:t xml:space="preserve">When thinking about the concept of consent in battery situations, ethical conundrums usually appear. Complex ethical issues arise when attempting to strike a balance between individual rights and autonomy and the obligation to protect others and uphold social order. Consent must be ongoing, voluntary, and informed </w:t>
      </w:r>
      <w:r w:rsidR="00323165" w:rsidRPr="00846EBB">
        <w:rPr>
          <w:rFonts w:ascii="Arial" w:hAnsi="Arial" w:cs="Arial"/>
          <w:sz w:val="24"/>
          <w:szCs w:val="24"/>
        </w:rPr>
        <w:t>to</w:t>
      </w:r>
      <w:r w:rsidRPr="00846EBB">
        <w:rPr>
          <w:rFonts w:ascii="Arial" w:hAnsi="Arial" w:cs="Arial"/>
          <w:sz w:val="24"/>
          <w:szCs w:val="24"/>
        </w:rPr>
        <w:t xml:space="preserve"> protect people from harm or coercion while still respecting their choices. The legitimacy of consent is a topic of ethical dispute, especially when fraud or deception is involved. </w:t>
      </w:r>
      <w:proofErr w:type="gramStart"/>
      <w:r w:rsidRPr="00846EBB">
        <w:rPr>
          <w:rFonts w:ascii="Arial" w:hAnsi="Arial" w:cs="Arial"/>
          <w:sz w:val="24"/>
          <w:szCs w:val="24"/>
        </w:rPr>
        <w:t>In order to</w:t>
      </w:r>
      <w:proofErr w:type="gramEnd"/>
      <w:r w:rsidRPr="00846EBB">
        <w:rPr>
          <w:rFonts w:ascii="Arial" w:hAnsi="Arial" w:cs="Arial"/>
          <w:sz w:val="24"/>
          <w:szCs w:val="24"/>
        </w:rPr>
        <w:t xml:space="preserve"> successfully navigate the ethical complexities of battery cases, these conundrums require close analysis and a balance between upholding justice and preserving autonomy (Smith &amp; Downe, 2019).</w:t>
      </w:r>
    </w:p>
    <w:p w14:paraId="3A2E00E2" w14:textId="77777777" w:rsidR="00846EBB" w:rsidRPr="00846EBB" w:rsidRDefault="00846EBB" w:rsidP="00846EBB">
      <w:pPr>
        <w:ind w:left="360"/>
        <w:jc w:val="both"/>
        <w:rPr>
          <w:rFonts w:ascii="Arial" w:hAnsi="Arial" w:cs="Arial"/>
          <w:sz w:val="24"/>
          <w:szCs w:val="24"/>
        </w:rPr>
      </w:pPr>
    </w:p>
    <w:p w14:paraId="72EBBC24" w14:textId="77777777" w:rsidR="00C54AD4" w:rsidRPr="00856417" w:rsidRDefault="00C54AD4" w:rsidP="00C54AD4">
      <w:pPr>
        <w:rPr>
          <w:rFonts w:ascii="Arial" w:hAnsi="Arial" w:cs="Arial"/>
          <w:sz w:val="24"/>
          <w:szCs w:val="24"/>
        </w:rPr>
      </w:pPr>
    </w:p>
    <w:p w14:paraId="589D9F09" w14:textId="717CCCF3" w:rsidR="00C54AD4" w:rsidRDefault="00DF42AA" w:rsidP="00C54AD4">
      <w:pPr>
        <w:rPr>
          <w:rFonts w:ascii="Arial" w:hAnsi="Arial" w:cs="Arial"/>
          <w:b/>
          <w:bCs/>
          <w:sz w:val="24"/>
          <w:szCs w:val="24"/>
        </w:rPr>
      </w:pPr>
      <w:r>
        <w:rPr>
          <w:rFonts w:ascii="Arial" w:hAnsi="Arial" w:cs="Arial"/>
          <w:b/>
          <w:bCs/>
          <w:sz w:val="24"/>
          <w:szCs w:val="24"/>
        </w:rPr>
        <w:t xml:space="preserve">     </w:t>
      </w:r>
      <w:r w:rsidR="00C54AD4" w:rsidRPr="00856417">
        <w:rPr>
          <w:rFonts w:ascii="Arial" w:hAnsi="Arial" w:cs="Arial"/>
          <w:b/>
          <w:bCs/>
          <w:sz w:val="24"/>
          <w:szCs w:val="24"/>
        </w:rPr>
        <w:t xml:space="preserve">Role of Consent in Legal Outcomes </w:t>
      </w:r>
    </w:p>
    <w:p w14:paraId="1FCF872C" w14:textId="77777777" w:rsidR="00856417" w:rsidRPr="00354872" w:rsidRDefault="00856417" w:rsidP="00C54AD4">
      <w:pPr>
        <w:rPr>
          <w:rFonts w:ascii="Arial" w:hAnsi="Arial" w:cs="Arial"/>
          <w:b/>
          <w:bCs/>
          <w:sz w:val="24"/>
          <w:szCs w:val="24"/>
        </w:rPr>
      </w:pPr>
    </w:p>
    <w:p w14:paraId="31EAF85C" w14:textId="77777777" w:rsidR="00C54AD4" w:rsidRDefault="00C54AD4" w:rsidP="00856417">
      <w:pPr>
        <w:ind w:left="360"/>
        <w:rPr>
          <w:rFonts w:ascii="Arial" w:hAnsi="Arial" w:cs="Arial"/>
          <w:b/>
          <w:bCs/>
          <w:sz w:val="24"/>
          <w:szCs w:val="24"/>
        </w:rPr>
      </w:pPr>
      <w:r w:rsidRPr="00A50F02">
        <w:rPr>
          <w:rFonts w:ascii="Arial" w:hAnsi="Arial" w:cs="Arial"/>
          <w:b/>
          <w:bCs/>
          <w:sz w:val="24"/>
          <w:szCs w:val="24"/>
        </w:rPr>
        <w:t>Explain how consent affects the legal outcomes of battery cases.</w:t>
      </w:r>
    </w:p>
    <w:p w14:paraId="214C151B" w14:textId="77777777" w:rsidR="00787D1F" w:rsidRPr="00A50F02" w:rsidRDefault="00787D1F" w:rsidP="0057406E">
      <w:pPr>
        <w:ind w:left="360"/>
        <w:jc w:val="both"/>
        <w:rPr>
          <w:rFonts w:ascii="Arial" w:hAnsi="Arial" w:cs="Arial"/>
          <w:b/>
          <w:bCs/>
          <w:sz w:val="24"/>
          <w:szCs w:val="24"/>
        </w:rPr>
      </w:pPr>
    </w:p>
    <w:p w14:paraId="1ED0E662" w14:textId="77777777" w:rsidR="00787D1F" w:rsidRPr="00787D1F" w:rsidRDefault="00787D1F" w:rsidP="0057406E">
      <w:pPr>
        <w:ind w:left="360"/>
        <w:jc w:val="both"/>
        <w:rPr>
          <w:rFonts w:ascii="Arial" w:hAnsi="Arial" w:cs="Arial"/>
          <w:sz w:val="24"/>
          <w:szCs w:val="24"/>
        </w:rPr>
      </w:pPr>
      <w:r w:rsidRPr="00787D1F">
        <w:rPr>
          <w:rFonts w:ascii="Arial" w:hAnsi="Arial" w:cs="Arial"/>
          <w:sz w:val="24"/>
          <w:szCs w:val="24"/>
        </w:rPr>
        <w:lastRenderedPageBreak/>
        <w:t xml:space="preserve">In battery cases, consent is a crucial factor in deciding the fate of the case. If the defendant can demonstrate that the plaintiff gave their informed and voluntary agreement for the physical touch, it may be a legitimate defence. Nonetheless, the consent needs to fulfil legal conditions, including being free from compulsion, voluntary, and informed. If consent is not legitimate, one may be held liable. This well-established legal theory (Restatement (Second) of Torts, Section 892A) aids judges in determining </w:t>
      </w:r>
      <w:proofErr w:type="gramStart"/>
      <w:r w:rsidRPr="00787D1F">
        <w:rPr>
          <w:rFonts w:ascii="Arial" w:hAnsi="Arial" w:cs="Arial"/>
          <w:sz w:val="24"/>
          <w:szCs w:val="24"/>
        </w:rPr>
        <w:t>whether or not</w:t>
      </w:r>
      <w:proofErr w:type="gramEnd"/>
      <w:r w:rsidRPr="00787D1F">
        <w:rPr>
          <w:rFonts w:ascii="Arial" w:hAnsi="Arial" w:cs="Arial"/>
          <w:sz w:val="24"/>
          <w:szCs w:val="24"/>
        </w:rPr>
        <w:t xml:space="preserve"> there has been battery.</w:t>
      </w:r>
    </w:p>
    <w:p w14:paraId="4F230455" w14:textId="77777777" w:rsidR="00787D1F" w:rsidRPr="00787D1F" w:rsidRDefault="00787D1F" w:rsidP="0057406E">
      <w:pPr>
        <w:ind w:left="360"/>
        <w:jc w:val="both"/>
        <w:rPr>
          <w:rFonts w:ascii="Arial" w:hAnsi="Arial" w:cs="Arial"/>
          <w:b/>
          <w:bCs/>
          <w:sz w:val="24"/>
          <w:szCs w:val="24"/>
        </w:rPr>
      </w:pPr>
    </w:p>
    <w:p w14:paraId="399F2A5D" w14:textId="0BE6139A" w:rsidR="00856417" w:rsidRDefault="00856417" w:rsidP="00787D1F">
      <w:pPr>
        <w:ind w:left="360"/>
        <w:rPr>
          <w:rFonts w:ascii="Arial" w:hAnsi="Arial" w:cs="Arial"/>
          <w:b/>
          <w:bCs/>
          <w:sz w:val="24"/>
          <w:szCs w:val="24"/>
        </w:rPr>
      </w:pPr>
    </w:p>
    <w:p w14:paraId="2740F7AF" w14:textId="77777777" w:rsidR="00787D1F" w:rsidRDefault="00787D1F" w:rsidP="00787D1F">
      <w:pPr>
        <w:ind w:left="360"/>
        <w:rPr>
          <w:rFonts w:ascii="Arial" w:hAnsi="Arial" w:cs="Arial"/>
          <w:b/>
          <w:bCs/>
          <w:sz w:val="24"/>
          <w:szCs w:val="24"/>
        </w:rPr>
      </w:pPr>
    </w:p>
    <w:p w14:paraId="5461227E" w14:textId="77777777" w:rsidR="00787D1F" w:rsidRDefault="00787D1F" w:rsidP="00787D1F">
      <w:pPr>
        <w:ind w:left="360"/>
        <w:rPr>
          <w:rFonts w:ascii="Arial" w:hAnsi="Arial" w:cs="Arial"/>
          <w:b/>
          <w:bCs/>
          <w:sz w:val="24"/>
          <w:szCs w:val="24"/>
        </w:rPr>
      </w:pPr>
    </w:p>
    <w:p w14:paraId="43A1B3AA" w14:textId="77777777" w:rsidR="00DF42AA" w:rsidRDefault="00DF42AA" w:rsidP="00856417">
      <w:pPr>
        <w:ind w:left="360"/>
        <w:rPr>
          <w:rFonts w:ascii="Arial" w:hAnsi="Arial" w:cs="Arial"/>
          <w:b/>
          <w:bCs/>
          <w:sz w:val="24"/>
          <w:szCs w:val="24"/>
        </w:rPr>
      </w:pPr>
    </w:p>
    <w:p w14:paraId="1E469DF7" w14:textId="0A5A41F9" w:rsidR="00C54AD4" w:rsidRPr="00A50F02" w:rsidRDefault="00C54AD4" w:rsidP="00856417">
      <w:pPr>
        <w:ind w:left="360"/>
        <w:rPr>
          <w:rFonts w:ascii="Arial" w:hAnsi="Arial" w:cs="Arial"/>
          <w:b/>
          <w:bCs/>
          <w:sz w:val="24"/>
          <w:szCs w:val="24"/>
        </w:rPr>
      </w:pPr>
      <w:r w:rsidRPr="00A50F02">
        <w:rPr>
          <w:rFonts w:ascii="Arial" w:hAnsi="Arial" w:cs="Arial"/>
          <w:b/>
          <w:bCs/>
          <w:sz w:val="24"/>
          <w:szCs w:val="24"/>
        </w:rPr>
        <w:t>Discuss possible penalties and consequences for perpetrators.</w:t>
      </w:r>
    </w:p>
    <w:p w14:paraId="0508BB48" w14:textId="77777777" w:rsidR="00856417" w:rsidRPr="00A50F02" w:rsidRDefault="00856417" w:rsidP="0057406E">
      <w:pPr>
        <w:ind w:left="360"/>
        <w:jc w:val="both"/>
        <w:rPr>
          <w:rFonts w:ascii="Arial" w:hAnsi="Arial" w:cs="Arial"/>
          <w:b/>
          <w:bCs/>
          <w:sz w:val="24"/>
          <w:szCs w:val="24"/>
        </w:rPr>
      </w:pPr>
    </w:p>
    <w:p w14:paraId="407F7C12" w14:textId="77777777" w:rsidR="00131EB0" w:rsidRPr="00131EB0" w:rsidRDefault="00131EB0" w:rsidP="0057406E">
      <w:pPr>
        <w:jc w:val="both"/>
        <w:rPr>
          <w:rFonts w:ascii="Arial" w:hAnsi="Arial" w:cs="Arial"/>
          <w:sz w:val="24"/>
          <w:szCs w:val="24"/>
        </w:rPr>
      </w:pPr>
      <w:r w:rsidRPr="00131EB0">
        <w:rPr>
          <w:rFonts w:ascii="Arial" w:hAnsi="Arial" w:cs="Arial"/>
          <w:sz w:val="24"/>
          <w:szCs w:val="24"/>
        </w:rPr>
        <w:t xml:space="preserve">Offenders in battery cases could be subject to a variety of fines and repercussions. These could involve fines, jail time, or community service; the severity of each would depend on the particulars and jurisdiction. Offenders may also face civil liability, which could result in compensation claims. Criminal histories can have long-lasting effects on one's ability to get work and one's reputation. Recognising these possible outcomes emphasises how crucial it is to get legitimate consent </w:t>
      </w:r>
      <w:proofErr w:type="gramStart"/>
      <w:r w:rsidRPr="00131EB0">
        <w:rPr>
          <w:rFonts w:ascii="Arial" w:hAnsi="Arial" w:cs="Arial"/>
          <w:sz w:val="24"/>
          <w:szCs w:val="24"/>
        </w:rPr>
        <w:t>in order to</w:t>
      </w:r>
      <w:proofErr w:type="gramEnd"/>
      <w:r w:rsidRPr="00131EB0">
        <w:rPr>
          <w:rFonts w:ascii="Arial" w:hAnsi="Arial" w:cs="Arial"/>
          <w:sz w:val="24"/>
          <w:szCs w:val="24"/>
        </w:rPr>
        <w:t xml:space="preserve"> prevent legal repercussions (Welsh, 2009).</w:t>
      </w:r>
    </w:p>
    <w:p w14:paraId="75C78D10" w14:textId="77777777" w:rsidR="00131EB0" w:rsidRPr="00DF42AA" w:rsidRDefault="00131EB0" w:rsidP="0057406E">
      <w:pPr>
        <w:jc w:val="both"/>
        <w:rPr>
          <w:rFonts w:ascii="Arial" w:hAnsi="Arial" w:cs="Arial"/>
          <w:b/>
          <w:bCs/>
          <w:sz w:val="28"/>
          <w:szCs w:val="28"/>
        </w:rPr>
      </w:pPr>
    </w:p>
    <w:p w14:paraId="1F41B0CB" w14:textId="1D9E7587" w:rsidR="00DF42AA" w:rsidRDefault="00DF42AA" w:rsidP="0057406E">
      <w:pPr>
        <w:jc w:val="both"/>
        <w:rPr>
          <w:rFonts w:ascii="Arial" w:hAnsi="Arial" w:cs="Arial"/>
          <w:b/>
          <w:bCs/>
          <w:sz w:val="28"/>
          <w:szCs w:val="28"/>
        </w:rPr>
      </w:pPr>
      <w:r w:rsidRPr="00DF42AA">
        <w:rPr>
          <w:rFonts w:ascii="Arial" w:hAnsi="Arial" w:cs="Arial"/>
          <w:b/>
          <w:bCs/>
          <w:sz w:val="28"/>
          <w:szCs w:val="28"/>
        </w:rPr>
        <w:t>Case study</w:t>
      </w:r>
      <w:r>
        <w:rPr>
          <w:rFonts w:ascii="Arial" w:hAnsi="Arial" w:cs="Arial"/>
          <w:b/>
          <w:bCs/>
          <w:sz w:val="28"/>
          <w:szCs w:val="28"/>
        </w:rPr>
        <w:t>:</w:t>
      </w:r>
    </w:p>
    <w:p w14:paraId="0FBA7FD8" w14:textId="77777777" w:rsidR="00DF42AA" w:rsidRPr="00DF42AA" w:rsidRDefault="00DF42AA" w:rsidP="00DF42AA">
      <w:pPr>
        <w:jc w:val="both"/>
        <w:rPr>
          <w:rFonts w:ascii="Arial" w:hAnsi="Arial" w:cs="Arial"/>
          <w:sz w:val="24"/>
          <w:szCs w:val="24"/>
        </w:rPr>
      </w:pPr>
      <w:r w:rsidRPr="00DF42AA">
        <w:rPr>
          <w:rFonts w:ascii="Arial" w:hAnsi="Arial" w:cs="Arial"/>
          <w:sz w:val="24"/>
          <w:szCs w:val="24"/>
        </w:rPr>
        <w:t xml:space="preserve">Numerous case studies highlight the complexity of consent in battery cases. For example, when accusations of sexual assault surfaced, discussions concerning the withdrawal of consent sparked by the case of R v. Assange (2011) brought attention to the difficulty of consent. The 2013 case R v. McNally illustrated how consent in criminal trials might be affected by deceptive misrepresentation. Furthermore, a precedent was established by R v. </w:t>
      </w:r>
      <w:proofErr w:type="spellStart"/>
      <w:r w:rsidRPr="00DF42AA">
        <w:rPr>
          <w:rFonts w:ascii="Arial" w:hAnsi="Arial" w:cs="Arial"/>
          <w:sz w:val="24"/>
          <w:szCs w:val="24"/>
        </w:rPr>
        <w:t>Olugboja</w:t>
      </w:r>
      <w:proofErr w:type="spellEnd"/>
      <w:r w:rsidRPr="00DF42AA">
        <w:rPr>
          <w:rFonts w:ascii="Arial" w:hAnsi="Arial" w:cs="Arial"/>
          <w:sz w:val="24"/>
          <w:szCs w:val="24"/>
        </w:rPr>
        <w:t xml:space="preserve"> (1982), which said that permission obtained via deception may not be genuine, even if it initially seems consensual. These instances highlight how permission in battery cases is complex and ever-changing, providing important insights into the legal nuances around this basic idea.</w:t>
      </w:r>
    </w:p>
    <w:p w14:paraId="00C7497B" w14:textId="77777777" w:rsidR="00DF42AA" w:rsidRPr="00DF42AA" w:rsidRDefault="00DF42AA" w:rsidP="00DF42AA">
      <w:pPr>
        <w:rPr>
          <w:rFonts w:ascii="Arial" w:hAnsi="Arial" w:cs="Arial"/>
          <w:b/>
          <w:bCs/>
          <w:sz w:val="28"/>
          <w:szCs w:val="28"/>
        </w:rPr>
      </w:pPr>
    </w:p>
    <w:p w14:paraId="5E0E4559" w14:textId="77777777" w:rsidR="00764287" w:rsidRPr="00131EB0" w:rsidRDefault="00764287" w:rsidP="008F7DC0">
      <w:pPr>
        <w:jc w:val="both"/>
        <w:rPr>
          <w:rFonts w:ascii="Arial" w:hAnsi="Arial" w:cs="Arial"/>
          <w:b/>
          <w:bCs/>
          <w:sz w:val="24"/>
          <w:szCs w:val="24"/>
        </w:rPr>
      </w:pPr>
    </w:p>
    <w:p w14:paraId="144925EB" w14:textId="67914589" w:rsidR="00764287" w:rsidRDefault="00635542" w:rsidP="008F7DC0">
      <w:pPr>
        <w:jc w:val="both"/>
        <w:rPr>
          <w:rFonts w:ascii="Arial" w:hAnsi="Arial" w:cs="Arial"/>
          <w:b/>
          <w:bCs/>
          <w:sz w:val="28"/>
          <w:szCs w:val="28"/>
        </w:rPr>
      </w:pPr>
      <w:r>
        <w:rPr>
          <w:rFonts w:ascii="Arial" w:hAnsi="Arial" w:cs="Arial"/>
          <w:b/>
          <w:bCs/>
          <w:sz w:val="28"/>
          <w:szCs w:val="28"/>
        </w:rPr>
        <w:t>Conclusion:</w:t>
      </w:r>
    </w:p>
    <w:p w14:paraId="76AC38CC" w14:textId="77777777" w:rsidR="00DF42AA" w:rsidRDefault="00DF42AA" w:rsidP="008F7DC0">
      <w:pPr>
        <w:jc w:val="both"/>
        <w:rPr>
          <w:rFonts w:ascii="Arial" w:hAnsi="Arial" w:cs="Arial"/>
          <w:b/>
          <w:bCs/>
          <w:sz w:val="28"/>
          <w:szCs w:val="28"/>
        </w:rPr>
      </w:pPr>
    </w:p>
    <w:p w14:paraId="7A8D2F98" w14:textId="4BD3D094" w:rsidR="00635542" w:rsidRPr="00635542" w:rsidRDefault="00635542" w:rsidP="008F7DC0">
      <w:pPr>
        <w:jc w:val="both"/>
        <w:rPr>
          <w:rFonts w:ascii="Arial" w:hAnsi="Arial" w:cs="Arial"/>
          <w:sz w:val="24"/>
          <w:szCs w:val="24"/>
        </w:rPr>
      </w:pPr>
      <w:r w:rsidRPr="00635542">
        <w:rPr>
          <w:rFonts w:ascii="Arial" w:hAnsi="Arial" w:cs="Arial"/>
          <w:sz w:val="24"/>
          <w:szCs w:val="24"/>
        </w:rPr>
        <w:t xml:space="preserve">In </w:t>
      </w:r>
      <w:r>
        <w:rPr>
          <w:rFonts w:ascii="Arial" w:hAnsi="Arial" w:cs="Arial"/>
          <w:sz w:val="24"/>
          <w:szCs w:val="24"/>
        </w:rPr>
        <w:t>conclusion,</w:t>
      </w:r>
      <w:r w:rsidRPr="00635542">
        <w:rPr>
          <w:rFonts w:ascii="Arial" w:hAnsi="Arial" w:cs="Arial"/>
          <w:sz w:val="24"/>
          <w:szCs w:val="24"/>
        </w:rPr>
        <w:t xml:space="preserve"> this assignment has examined the complex idea of permission in the legal system of the United Kingdom, covering areas like healthcare, relationships with others, and sexual behaviour. Informed, voluntary, and continuous consent is crucial to the way cases turn out in court, especially when it comes to battery cases. Nonetheless, an ever-changing and complicated legal environment is reflected in the challenges and confusion surrounding consent as well as important judicial precedents. The assignment emphasises how crucial voluntary and informed agreement is to uphold rights, fostering moral relationships, and maintaining human autonomy. It also draws attention to the possible punishments and repercussions for offenders, highlighting the vital role that legitimate permission plays in upholding the rule of law and encouraging moral behaviour and interpersonal relationships.</w:t>
      </w:r>
    </w:p>
    <w:p w14:paraId="2218D99C" w14:textId="77777777" w:rsidR="00764287" w:rsidRDefault="00764287" w:rsidP="008F7DC0">
      <w:pPr>
        <w:jc w:val="both"/>
        <w:rPr>
          <w:rFonts w:ascii="Arial" w:hAnsi="Arial" w:cs="Arial"/>
          <w:b/>
          <w:bCs/>
          <w:sz w:val="28"/>
          <w:szCs w:val="28"/>
        </w:rPr>
      </w:pPr>
    </w:p>
    <w:p w14:paraId="5778617E" w14:textId="77777777" w:rsidR="00764287" w:rsidRDefault="00764287" w:rsidP="008F7DC0">
      <w:pPr>
        <w:jc w:val="both"/>
        <w:rPr>
          <w:rFonts w:ascii="Arial" w:hAnsi="Arial" w:cs="Arial"/>
          <w:b/>
          <w:bCs/>
          <w:sz w:val="28"/>
          <w:szCs w:val="28"/>
        </w:rPr>
      </w:pPr>
    </w:p>
    <w:p w14:paraId="18A2644B" w14:textId="77777777" w:rsidR="00764287" w:rsidRDefault="00764287" w:rsidP="008F7DC0">
      <w:pPr>
        <w:jc w:val="both"/>
        <w:rPr>
          <w:rFonts w:ascii="Arial" w:hAnsi="Arial" w:cs="Arial"/>
          <w:b/>
          <w:bCs/>
          <w:sz w:val="28"/>
          <w:szCs w:val="28"/>
        </w:rPr>
      </w:pPr>
    </w:p>
    <w:p w14:paraId="5BB1D221" w14:textId="77777777" w:rsidR="00764287" w:rsidRDefault="00764287" w:rsidP="008F7DC0">
      <w:pPr>
        <w:jc w:val="both"/>
        <w:rPr>
          <w:rFonts w:ascii="Arial" w:hAnsi="Arial" w:cs="Arial"/>
          <w:b/>
          <w:bCs/>
          <w:sz w:val="28"/>
          <w:szCs w:val="28"/>
        </w:rPr>
      </w:pPr>
    </w:p>
    <w:p w14:paraId="0E248160" w14:textId="77777777" w:rsidR="00764287" w:rsidRDefault="00764287" w:rsidP="008F7DC0">
      <w:pPr>
        <w:jc w:val="both"/>
        <w:rPr>
          <w:rFonts w:ascii="Arial" w:hAnsi="Arial" w:cs="Arial"/>
          <w:b/>
          <w:bCs/>
          <w:sz w:val="28"/>
          <w:szCs w:val="28"/>
        </w:rPr>
      </w:pPr>
    </w:p>
    <w:p w14:paraId="455DDDE7" w14:textId="77777777" w:rsidR="00764287" w:rsidRDefault="00764287" w:rsidP="008F7DC0">
      <w:pPr>
        <w:jc w:val="both"/>
        <w:rPr>
          <w:rFonts w:ascii="Arial" w:hAnsi="Arial" w:cs="Arial"/>
          <w:b/>
          <w:bCs/>
          <w:sz w:val="28"/>
          <w:szCs w:val="28"/>
        </w:rPr>
      </w:pPr>
    </w:p>
    <w:p w14:paraId="2D609EFA" w14:textId="77777777" w:rsidR="00764287" w:rsidRDefault="00764287" w:rsidP="008F7DC0">
      <w:pPr>
        <w:jc w:val="both"/>
        <w:rPr>
          <w:rFonts w:ascii="Arial" w:hAnsi="Arial" w:cs="Arial"/>
          <w:b/>
          <w:bCs/>
          <w:sz w:val="28"/>
          <w:szCs w:val="28"/>
        </w:rPr>
      </w:pPr>
    </w:p>
    <w:p w14:paraId="4A091780" w14:textId="77777777" w:rsidR="00764287" w:rsidRDefault="00764287" w:rsidP="008F7DC0">
      <w:pPr>
        <w:jc w:val="both"/>
        <w:rPr>
          <w:rFonts w:ascii="Arial" w:hAnsi="Arial" w:cs="Arial"/>
          <w:b/>
          <w:bCs/>
          <w:sz w:val="28"/>
          <w:szCs w:val="28"/>
        </w:rPr>
      </w:pPr>
    </w:p>
    <w:p w14:paraId="36D154DD" w14:textId="77777777" w:rsidR="00764287" w:rsidRDefault="00764287" w:rsidP="008F7DC0">
      <w:pPr>
        <w:jc w:val="both"/>
        <w:rPr>
          <w:rFonts w:ascii="Arial" w:hAnsi="Arial" w:cs="Arial"/>
          <w:b/>
          <w:bCs/>
          <w:sz w:val="28"/>
          <w:szCs w:val="28"/>
        </w:rPr>
      </w:pPr>
    </w:p>
    <w:p w14:paraId="0FBCE03F" w14:textId="77777777" w:rsidR="00764287" w:rsidRDefault="00764287" w:rsidP="008F7DC0">
      <w:pPr>
        <w:jc w:val="both"/>
        <w:rPr>
          <w:rFonts w:ascii="Arial" w:hAnsi="Arial" w:cs="Arial"/>
          <w:b/>
          <w:bCs/>
          <w:sz w:val="28"/>
          <w:szCs w:val="28"/>
        </w:rPr>
      </w:pPr>
    </w:p>
    <w:p w14:paraId="2ADB966C" w14:textId="77777777" w:rsidR="00764287" w:rsidRDefault="00764287" w:rsidP="008F7DC0">
      <w:pPr>
        <w:jc w:val="both"/>
        <w:rPr>
          <w:rFonts w:ascii="Arial" w:hAnsi="Arial" w:cs="Arial"/>
          <w:b/>
          <w:bCs/>
          <w:sz w:val="28"/>
          <w:szCs w:val="28"/>
        </w:rPr>
      </w:pPr>
    </w:p>
    <w:p w14:paraId="6D89AA14" w14:textId="77777777" w:rsidR="00764287" w:rsidRDefault="00764287" w:rsidP="008F7DC0">
      <w:pPr>
        <w:jc w:val="both"/>
        <w:rPr>
          <w:rFonts w:ascii="Arial" w:hAnsi="Arial" w:cs="Arial"/>
          <w:b/>
          <w:bCs/>
          <w:sz w:val="28"/>
          <w:szCs w:val="28"/>
        </w:rPr>
      </w:pPr>
    </w:p>
    <w:p w14:paraId="471684B9" w14:textId="77777777" w:rsidR="00764287" w:rsidRDefault="00764287" w:rsidP="008F7DC0">
      <w:pPr>
        <w:jc w:val="both"/>
        <w:rPr>
          <w:rFonts w:ascii="Arial" w:hAnsi="Arial" w:cs="Arial"/>
          <w:b/>
          <w:bCs/>
          <w:sz w:val="28"/>
          <w:szCs w:val="28"/>
        </w:rPr>
      </w:pPr>
    </w:p>
    <w:p w14:paraId="6B3B4378" w14:textId="77777777" w:rsidR="00764287" w:rsidRDefault="00764287" w:rsidP="008F7DC0">
      <w:pPr>
        <w:jc w:val="both"/>
        <w:rPr>
          <w:rFonts w:ascii="Arial" w:hAnsi="Arial" w:cs="Arial"/>
          <w:b/>
          <w:bCs/>
          <w:sz w:val="28"/>
          <w:szCs w:val="28"/>
        </w:rPr>
      </w:pPr>
    </w:p>
    <w:p w14:paraId="7A0CB78D" w14:textId="77777777" w:rsidR="00764287" w:rsidRDefault="00764287" w:rsidP="008F7DC0">
      <w:pPr>
        <w:jc w:val="both"/>
        <w:rPr>
          <w:rFonts w:ascii="Arial" w:hAnsi="Arial" w:cs="Arial"/>
          <w:b/>
          <w:bCs/>
          <w:sz w:val="28"/>
          <w:szCs w:val="28"/>
        </w:rPr>
      </w:pPr>
    </w:p>
    <w:p w14:paraId="45B1083E" w14:textId="77777777" w:rsidR="00764287" w:rsidRDefault="00764287" w:rsidP="008F7DC0">
      <w:pPr>
        <w:jc w:val="both"/>
        <w:rPr>
          <w:rFonts w:ascii="Arial" w:hAnsi="Arial" w:cs="Arial"/>
          <w:b/>
          <w:bCs/>
          <w:sz w:val="28"/>
          <w:szCs w:val="28"/>
        </w:rPr>
      </w:pPr>
    </w:p>
    <w:p w14:paraId="1C5CD4DE" w14:textId="77777777" w:rsidR="00764287" w:rsidRDefault="00764287" w:rsidP="008F7DC0">
      <w:pPr>
        <w:jc w:val="both"/>
        <w:rPr>
          <w:rFonts w:ascii="Arial" w:hAnsi="Arial" w:cs="Arial"/>
          <w:b/>
          <w:bCs/>
          <w:sz w:val="28"/>
          <w:szCs w:val="28"/>
        </w:rPr>
      </w:pPr>
    </w:p>
    <w:p w14:paraId="49766CB7" w14:textId="77777777" w:rsidR="00764287" w:rsidRDefault="00764287" w:rsidP="008F7DC0">
      <w:pPr>
        <w:jc w:val="both"/>
        <w:rPr>
          <w:rFonts w:ascii="Arial" w:hAnsi="Arial" w:cs="Arial"/>
          <w:b/>
          <w:bCs/>
          <w:sz w:val="28"/>
          <w:szCs w:val="28"/>
        </w:rPr>
      </w:pPr>
    </w:p>
    <w:p w14:paraId="2442650A" w14:textId="77777777" w:rsidR="00764287" w:rsidRDefault="00764287" w:rsidP="008F7DC0">
      <w:pPr>
        <w:jc w:val="both"/>
        <w:rPr>
          <w:rFonts w:ascii="Arial" w:hAnsi="Arial" w:cs="Arial"/>
          <w:b/>
          <w:bCs/>
          <w:sz w:val="28"/>
          <w:szCs w:val="28"/>
        </w:rPr>
      </w:pPr>
    </w:p>
    <w:p w14:paraId="647AA0F3" w14:textId="77777777" w:rsidR="00764287" w:rsidRDefault="00764287" w:rsidP="008F7DC0">
      <w:pPr>
        <w:jc w:val="both"/>
        <w:rPr>
          <w:rFonts w:ascii="Arial" w:hAnsi="Arial" w:cs="Arial"/>
          <w:b/>
          <w:bCs/>
          <w:sz w:val="28"/>
          <w:szCs w:val="28"/>
        </w:rPr>
      </w:pPr>
    </w:p>
    <w:p w14:paraId="1E11040A" w14:textId="77777777" w:rsidR="00764287" w:rsidRDefault="00764287" w:rsidP="008F7DC0">
      <w:pPr>
        <w:jc w:val="both"/>
        <w:rPr>
          <w:rFonts w:ascii="Arial" w:hAnsi="Arial" w:cs="Arial"/>
          <w:b/>
          <w:bCs/>
          <w:sz w:val="28"/>
          <w:szCs w:val="28"/>
        </w:rPr>
      </w:pPr>
    </w:p>
    <w:p w14:paraId="3451F55E" w14:textId="77777777" w:rsidR="00764287" w:rsidRDefault="00764287" w:rsidP="008F7DC0">
      <w:pPr>
        <w:jc w:val="both"/>
        <w:rPr>
          <w:rFonts w:ascii="Arial" w:hAnsi="Arial" w:cs="Arial"/>
          <w:b/>
          <w:bCs/>
          <w:sz w:val="28"/>
          <w:szCs w:val="28"/>
        </w:rPr>
      </w:pPr>
    </w:p>
    <w:p w14:paraId="0DAFBF39" w14:textId="77777777" w:rsidR="00DF42AA" w:rsidRDefault="00DF42AA" w:rsidP="008F7DC0">
      <w:pPr>
        <w:jc w:val="both"/>
        <w:rPr>
          <w:rFonts w:ascii="Arial" w:hAnsi="Arial" w:cs="Arial"/>
          <w:b/>
          <w:bCs/>
          <w:sz w:val="28"/>
          <w:szCs w:val="28"/>
        </w:rPr>
      </w:pPr>
    </w:p>
    <w:p w14:paraId="1C3854A2" w14:textId="77777777" w:rsidR="00DF42AA" w:rsidRDefault="00DF42AA" w:rsidP="008F7DC0">
      <w:pPr>
        <w:jc w:val="both"/>
        <w:rPr>
          <w:rFonts w:ascii="Arial" w:hAnsi="Arial" w:cs="Arial"/>
          <w:b/>
          <w:bCs/>
          <w:sz w:val="28"/>
          <w:szCs w:val="28"/>
        </w:rPr>
      </w:pPr>
    </w:p>
    <w:p w14:paraId="5FCB03B6" w14:textId="77777777" w:rsidR="00DF42AA" w:rsidRDefault="00DF42AA" w:rsidP="008F7DC0">
      <w:pPr>
        <w:jc w:val="both"/>
        <w:rPr>
          <w:rFonts w:ascii="Arial" w:hAnsi="Arial" w:cs="Arial"/>
          <w:b/>
          <w:bCs/>
          <w:sz w:val="28"/>
          <w:szCs w:val="28"/>
        </w:rPr>
      </w:pPr>
    </w:p>
    <w:p w14:paraId="53B01717" w14:textId="77777777" w:rsidR="00764287" w:rsidRDefault="00764287" w:rsidP="008F7DC0">
      <w:pPr>
        <w:jc w:val="both"/>
        <w:rPr>
          <w:rFonts w:ascii="Arial" w:hAnsi="Arial" w:cs="Arial"/>
          <w:b/>
          <w:bCs/>
          <w:sz w:val="28"/>
          <w:szCs w:val="28"/>
        </w:rPr>
      </w:pPr>
    </w:p>
    <w:p w14:paraId="3DACB67F" w14:textId="77777777" w:rsidR="00764287" w:rsidRDefault="00764287" w:rsidP="008F7DC0">
      <w:pPr>
        <w:jc w:val="both"/>
        <w:rPr>
          <w:rFonts w:ascii="Arial" w:hAnsi="Arial" w:cs="Arial"/>
          <w:b/>
          <w:bCs/>
          <w:sz w:val="28"/>
          <w:szCs w:val="28"/>
        </w:rPr>
      </w:pPr>
    </w:p>
    <w:sdt>
      <w:sdtPr>
        <w:rPr>
          <w:b w:val="0"/>
          <w:sz w:val="20"/>
        </w:rPr>
        <w:id w:val="1027519326"/>
        <w:docPartObj>
          <w:docPartGallery w:val="Bibliographies"/>
          <w:docPartUnique/>
        </w:docPartObj>
      </w:sdtPr>
      <w:sdtEndPr>
        <w:rPr>
          <w:sz w:val="24"/>
          <w:szCs w:val="24"/>
        </w:rPr>
      </w:sdtEndPr>
      <w:sdtContent>
        <w:p w14:paraId="4A005335" w14:textId="719C9222" w:rsidR="00764287" w:rsidRDefault="00764287">
          <w:pPr>
            <w:pStyle w:val="Heading1"/>
          </w:pPr>
          <w:r>
            <w:t>References</w:t>
          </w:r>
        </w:p>
        <w:sdt>
          <w:sdtPr>
            <w:rPr>
              <w:sz w:val="24"/>
              <w:szCs w:val="24"/>
            </w:rPr>
            <w:id w:val="-573587230"/>
            <w:bibliography/>
          </w:sdtPr>
          <w:sdtEndPr/>
          <w:sdtContent>
            <w:p w14:paraId="7A72A934" w14:textId="77777777" w:rsidR="00A94900" w:rsidRDefault="00A94900" w:rsidP="00764287">
              <w:pPr>
                <w:pStyle w:val="Bibliography"/>
                <w:ind w:left="720" w:hanging="720"/>
                <w:rPr>
                  <w:sz w:val="24"/>
                  <w:szCs w:val="24"/>
                </w:rPr>
              </w:pPr>
            </w:p>
            <w:p w14:paraId="4FAB67E7" w14:textId="77777777" w:rsidR="00111E23" w:rsidRPr="00DF42AA" w:rsidRDefault="00764287" w:rsidP="00111E23">
              <w:pPr>
                <w:pStyle w:val="Bibliography"/>
                <w:rPr>
                  <w:noProof/>
                  <w:sz w:val="24"/>
                  <w:szCs w:val="24"/>
                </w:rPr>
              </w:pPr>
              <w:r w:rsidRPr="00DF42AA">
                <w:rPr>
                  <w:sz w:val="24"/>
                  <w:szCs w:val="24"/>
                </w:rPr>
                <w:fldChar w:fldCharType="begin"/>
              </w:r>
              <w:r w:rsidRPr="00DF42AA">
                <w:rPr>
                  <w:sz w:val="24"/>
                  <w:szCs w:val="24"/>
                </w:rPr>
                <w:instrText xml:space="preserve"> BIBLIOGRAPHY </w:instrText>
              </w:r>
              <w:r w:rsidRPr="00DF42AA">
                <w:rPr>
                  <w:sz w:val="24"/>
                  <w:szCs w:val="24"/>
                </w:rPr>
                <w:fldChar w:fldCharType="separate"/>
              </w:r>
              <w:r w:rsidR="00111E23" w:rsidRPr="00DF42AA">
                <w:rPr>
                  <w:noProof/>
                  <w:sz w:val="24"/>
                  <w:szCs w:val="24"/>
                </w:rPr>
                <w:t xml:space="preserve">D.BEVLEVELD &amp; BROWNSWORD, R., 2007. </w:t>
              </w:r>
              <w:r w:rsidR="00111E23" w:rsidRPr="00DF42AA">
                <w:rPr>
                  <w:i/>
                  <w:iCs/>
                  <w:noProof/>
                  <w:sz w:val="24"/>
                  <w:szCs w:val="24"/>
                </w:rPr>
                <w:t xml:space="preserve">CONSENT IN LAW. </w:t>
              </w:r>
              <w:r w:rsidR="00111E23" w:rsidRPr="00DF42AA">
                <w:rPr>
                  <w:noProof/>
                  <w:sz w:val="24"/>
                  <w:szCs w:val="24"/>
                </w:rPr>
                <w:t>s.l.:BLOOMSBURY PUBLISHING.</w:t>
              </w:r>
            </w:p>
            <w:p w14:paraId="6F6ADD0A" w14:textId="77777777" w:rsidR="00DF42AA" w:rsidRPr="00DF42AA" w:rsidRDefault="00DF42AA" w:rsidP="00111E23">
              <w:pPr>
                <w:pStyle w:val="Bibliography"/>
                <w:rPr>
                  <w:noProof/>
                  <w:sz w:val="24"/>
                  <w:szCs w:val="24"/>
                </w:rPr>
              </w:pPr>
            </w:p>
            <w:p w14:paraId="7DBDE2AE" w14:textId="6244407D" w:rsidR="00111E23" w:rsidRPr="00DF42AA" w:rsidRDefault="00111E23" w:rsidP="00111E23">
              <w:pPr>
                <w:pStyle w:val="Bibliography"/>
                <w:rPr>
                  <w:noProof/>
                  <w:sz w:val="24"/>
                  <w:szCs w:val="24"/>
                </w:rPr>
              </w:pPr>
              <w:r w:rsidRPr="00DF42AA">
                <w:rPr>
                  <w:noProof/>
                  <w:sz w:val="24"/>
                  <w:szCs w:val="24"/>
                </w:rPr>
                <w:t xml:space="preserve">j.Smith &amp; DOE, A., 2005. </w:t>
              </w:r>
              <w:r w:rsidRPr="00DF42AA">
                <w:rPr>
                  <w:i/>
                  <w:iCs/>
                  <w:noProof/>
                  <w:sz w:val="24"/>
                  <w:szCs w:val="24"/>
                </w:rPr>
                <w:t xml:space="preserve">understanding consent: a comprehansive guide. </w:t>
              </w:r>
              <w:r w:rsidRPr="00DF42AA">
                <w:rPr>
                  <w:noProof/>
                  <w:sz w:val="24"/>
                  <w:szCs w:val="24"/>
                </w:rPr>
                <w:t>s.l.:HAVARD LAW REVIEW.</w:t>
              </w:r>
            </w:p>
            <w:p w14:paraId="78AE1E46" w14:textId="77777777" w:rsidR="00111E23" w:rsidRPr="00DF42AA" w:rsidRDefault="00111E23" w:rsidP="00111E23">
              <w:pPr>
                <w:pStyle w:val="Bibliography"/>
                <w:rPr>
                  <w:noProof/>
                  <w:sz w:val="24"/>
                  <w:szCs w:val="24"/>
                </w:rPr>
              </w:pPr>
              <w:r w:rsidRPr="00DF42AA">
                <w:rPr>
                  <w:noProof/>
                  <w:sz w:val="24"/>
                  <w:szCs w:val="24"/>
                </w:rPr>
                <w:t>Sears, J. M., 2005. Context is key for voluntary and informed consent. pp. 47-48.</w:t>
              </w:r>
            </w:p>
            <w:p w14:paraId="02631AE6" w14:textId="77777777" w:rsidR="00856417" w:rsidRPr="00DF42AA" w:rsidRDefault="00856417" w:rsidP="00856417">
              <w:pPr>
                <w:rPr>
                  <w:sz w:val="24"/>
                  <w:szCs w:val="24"/>
                </w:rPr>
              </w:pPr>
            </w:p>
            <w:p w14:paraId="0C2ADBAC" w14:textId="77777777" w:rsidR="00DF42AA" w:rsidRDefault="00856417" w:rsidP="00856417">
              <w:pPr>
                <w:rPr>
                  <w:rFonts w:ascii="Segoe UI" w:hAnsi="Segoe UI" w:cs="Segoe UI"/>
                  <w:sz w:val="24"/>
                  <w:szCs w:val="24"/>
                  <w:shd w:val="clear" w:color="auto" w:fill="F7F7F8"/>
                </w:rPr>
              </w:pPr>
              <w:r w:rsidRPr="00DF42AA">
                <w:rPr>
                  <w:rFonts w:ascii="Segoe UI" w:hAnsi="Segoe UI" w:cs="Segoe UI"/>
                  <w:sz w:val="24"/>
                  <w:szCs w:val="24"/>
                  <w:shd w:val="clear" w:color="auto" w:fill="F7F7F8"/>
                </w:rPr>
                <w:t>Dershowitz, A. M. (1967). The Law of Consent. Harvard Law Review, 80(7), 1435-1457. Epstein, R. A. (1989).</w:t>
              </w:r>
            </w:p>
            <w:p w14:paraId="42C1AAB2" w14:textId="77777777" w:rsidR="00DF42AA" w:rsidRDefault="00DF42AA" w:rsidP="00856417">
              <w:pPr>
                <w:rPr>
                  <w:rFonts w:ascii="Segoe UI" w:hAnsi="Segoe UI" w:cs="Segoe UI"/>
                  <w:sz w:val="24"/>
                  <w:szCs w:val="24"/>
                  <w:shd w:val="clear" w:color="auto" w:fill="F7F7F8"/>
                </w:rPr>
              </w:pPr>
            </w:p>
            <w:p w14:paraId="6D3D7A70" w14:textId="6339FD92" w:rsidR="00856417" w:rsidRPr="00DF42AA" w:rsidRDefault="00856417" w:rsidP="00856417">
              <w:pPr>
                <w:rPr>
                  <w:rFonts w:ascii="Segoe UI" w:hAnsi="Segoe UI" w:cs="Segoe UI"/>
                  <w:sz w:val="24"/>
                  <w:szCs w:val="24"/>
                  <w:shd w:val="clear" w:color="auto" w:fill="F7F7F8"/>
                </w:rPr>
              </w:pPr>
              <w:r w:rsidRPr="00DF42AA">
                <w:rPr>
                  <w:rFonts w:ascii="Segoe UI" w:hAnsi="Segoe UI" w:cs="Segoe UI"/>
                  <w:sz w:val="24"/>
                  <w:szCs w:val="24"/>
                  <w:shd w:val="clear" w:color="auto" w:fill="F7F7F8"/>
                </w:rPr>
                <w:t xml:space="preserve"> Cases and Materials on Torts. Little, Brown &amp; Co. Restatement (Second) of Torts. Section 892A.</w:t>
              </w:r>
            </w:p>
            <w:p w14:paraId="578140E7" w14:textId="77777777" w:rsidR="00DF42AA" w:rsidRPr="00DF42AA" w:rsidRDefault="00DF42AA" w:rsidP="00856417">
              <w:pPr>
                <w:rPr>
                  <w:rFonts w:ascii="Segoe UI" w:hAnsi="Segoe UI" w:cs="Segoe UI"/>
                  <w:sz w:val="24"/>
                  <w:szCs w:val="24"/>
                  <w:shd w:val="clear" w:color="auto" w:fill="F7F7F8"/>
                </w:rPr>
              </w:pPr>
            </w:p>
            <w:p w14:paraId="001B1D20" w14:textId="77777777" w:rsidR="00354872" w:rsidRDefault="00354872" w:rsidP="00354872">
              <w:pPr>
                <w:rPr>
                  <w:rFonts w:ascii="Arial" w:hAnsi="Arial" w:cs="Arial"/>
                  <w:sz w:val="24"/>
                  <w:szCs w:val="24"/>
                </w:rPr>
              </w:pPr>
              <w:r w:rsidRPr="00DF42AA">
                <w:rPr>
                  <w:rFonts w:ascii="Arial" w:hAnsi="Arial" w:cs="Arial"/>
                  <w:sz w:val="24"/>
                  <w:szCs w:val="24"/>
                </w:rPr>
                <w:t>Smith, M., &amp; Downe, J. (2019) is the reference. Rethinking Consent in Sexual Offences: The Need for an Affirmative Model. 39(4) Legal Studies, 545–566.</w:t>
              </w:r>
            </w:p>
            <w:p w14:paraId="0F651667" w14:textId="77777777" w:rsidR="00846EBB" w:rsidRDefault="00846EBB" w:rsidP="00354872">
              <w:pPr>
                <w:rPr>
                  <w:rFonts w:ascii="Arial" w:hAnsi="Arial" w:cs="Arial"/>
                  <w:sz w:val="24"/>
                  <w:szCs w:val="24"/>
                </w:rPr>
              </w:pPr>
            </w:p>
            <w:p w14:paraId="48C08B45" w14:textId="77777777" w:rsidR="00846EBB" w:rsidRPr="00856417" w:rsidRDefault="00846EBB" w:rsidP="00846EBB">
              <w:pPr>
                <w:jc w:val="both"/>
                <w:rPr>
                  <w:rFonts w:ascii="Arial" w:hAnsi="Arial" w:cs="Arial"/>
                  <w:sz w:val="24"/>
                  <w:szCs w:val="24"/>
                </w:rPr>
              </w:pPr>
              <w:r w:rsidRPr="00846EBB">
                <w:rPr>
                  <w:rFonts w:ascii="Arial" w:hAnsi="Arial" w:cs="Arial"/>
                  <w:sz w:val="24"/>
                  <w:szCs w:val="24"/>
                </w:rPr>
                <w:t>Smith, M., and Downe, J. (2019) are cited. The source's title. Editor.</w:t>
              </w:r>
            </w:p>
            <w:p w14:paraId="434F0005" w14:textId="77777777" w:rsidR="00846EBB" w:rsidRPr="00DF42AA" w:rsidRDefault="00846EBB" w:rsidP="00354872">
              <w:pPr>
                <w:rPr>
                  <w:rFonts w:ascii="Arial" w:hAnsi="Arial" w:cs="Arial"/>
                  <w:sz w:val="24"/>
                  <w:szCs w:val="24"/>
                </w:rPr>
              </w:pPr>
            </w:p>
            <w:p w14:paraId="44D38A61" w14:textId="4C5C6074" w:rsidR="00787D1F" w:rsidRPr="00DF42AA" w:rsidRDefault="00787D1F" w:rsidP="00787D1F">
              <w:pPr>
                <w:rPr>
                  <w:rFonts w:ascii="Arial" w:hAnsi="Arial" w:cs="Arial"/>
                  <w:sz w:val="24"/>
                  <w:szCs w:val="24"/>
                </w:rPr>
              </w:pPr>
              <w:r w:rsidRPr="00DF42AA">
                <w:rPr>
                  <w:rFonts w:ascii="Arial" w:hAnsi="Arial" w:cs="Arial"/>
                  <w:sz w:val="24"/>
                  <w:szCs w:val="24"/>
                </w:rPr>
                <w:t xml:space="preserve"> EWCA Crim 2849, R v. Assange [2011].</w:t>
              </w:r>
            </w:p>
            <w:p w14:paraId="35C1EA80" w14:textId="77777777" w:rsidR="00DF42AA" w:rsidRPr="00DF42AA" w:rsidRDefault="00DF42AA" w:rsidP="00787D1F">
              <w:pPr>
                <w:rPr>
                  <w:rFonts w:ascii="Arial" w:hAnsi="Arial" w:cs="Arial"/>
                  <w:sz w:val="24"/>
                  <w:szCs w:val="24"/>
                </w:rPr>
              </w:pPr>
            </w:p>
            <w:p w14:paraId="02708CE0" w14:textId="3FD53DAB" w:rsidR="00787D1F" w:rsidRPr="00DF42AA" w:rsidRDefault="00787D1F" w:rsidP="00787D1F">
              <w:pPr>
                <w:rPr>
                  <w:rFonts w:ascii="Arial" w:hAnsi="Arial" w:cs="Arial"/>
                  <w:sz w:val="24"/>
                  <w:szCs w:val="24"/>
                </w:rPr>
              </w:pPr>
              <w:r w:rsidRPr="00DF42AA">
                <w:rPr>
                  <w:rFonts w:ascii="Arial" w:hAnsi="Arial" w:cs="Arial"/>
                  <w:sz w:val="24"/>
                  <w:szCs w:val="24"/>
                </w:rPr>
                <w:t xml:space="preserve"> (2013, EWCA Crim 1051) R v. McNally.</w:t>
              </w:r>
            </w:p>
            <w:p w14:paraId="2BB5FFDE" w14:textId="77777777" w:rsidR="00DF42AA" w:rsidRPr="00DF42AA" w:rsidRDefault="00DF42AA" w:rsidP="00787D1F">
              <w:pPr>
                <w:rPr>
                  <w:rFonts w:ascii="Arial" w:hAnsi="Arial" w:cs="Arial"/>
                  <w:sz w:val="24"/>
                  <w:szCs w:val="24"/>
                </w:rPr>
              </w:pPr>
            </w:p>
            <w:p w14:paraId="32D9147D" w14:textId="380CACBB" w:rsidR="00787D1F" w:rsidRPr="00DF42AA" w:rsidRDefault="00787D1F" w:rsidP="00787D1F">
              <w:pPr>
                <w:rPr>
                  <w:rFonts w:ascii="Arial" w:hAnsi="Arial" w:cs="Arial"/>
                  <w:sz w:val="24"/>
                  <w:szCs w:val="24"/>
                </w:rPr>
              </w:pPr>
              <w:r w:rsidRPr="00DF42AA">
                <w:rPr>
                  <w:rFonts w:ascii="Arial" w:hAnsi="Arial" w:cs="Arial"/>
                  <w:sz w:val="24"/>
                  <w:szCs w:val="24"/>
                </w:rPr>
                <w:t xml:space="preserve">  2 QB 464 in R v. Olugboja [1982].</w:t>
              </w:r>
            </w:p>
            <w:p w14:paraId="2B3A8C0A" w14:textId="2E6DFA4F" w:rsidR="00354872" w:rsidRPr="00DF42AA" w:rsidRDefault="00787D1F" w:rsidP="00856417">
              <w:pPr>
                <w:rPr>
                  <w:sz w:val="24"/>
                  <w:szCs w:val="24"/>
                </w:rPr>
              </w:pPr>
              <w:r w:rsidRPr="00DF42AA">
                <w:rPr>
                  <w:rFonts w:ascii="Arial" w:hAnsi="Arial" w:cs="Arial"/>
                  <w:sz w:val="24"/>
                  <w:szCs w:val="24"/>
                </w:rPr>
                <w:t xml:space="preserve"> </w:t>
              </w:r>
            </w:p>
            <w:p w14:paraId="3C07724A" w14:textId="77777777" w:rsidR="00131EB0" w:rsidRPr="00DF42AA" w:rsidRDefault="00764287" w:rsidP="00111E23">
              <w:pPr>
                <w:rPr>
                  <w:rFonts w:ascii="Arial" w:hAnsi="Arial" w:cs="Arial"/>
                  <w:sz w:val="24"/>
                  <w:szCs w:val="24"/>
                  <w:shd w:val="clear" w:color="auto" w:fill="F7F7F8"/>
                </w:rPr>
              </w:pPr>
              <w:r w:rsidRPr="00DF42AA">
                <w:rPr>
                  <w:b/>
                  <w:bCs/>
                  <w:noProof/>
                  <w:sz w:val="24"/>
                  <w:szCs w:val="24"/>
                </w:rPr>
                <w:fldChar w:fldCharType="end"/>
              </w:r>
              <w:r w:rsidR="00787D1F" w:rsidRPr="00DF42AA">
                <w:rPr>
                  <w:rFonts w:ascii="Segoe UI" w:hAnsi="Segoe UI" w:cs="Segoe UI"/>
                  <w:color w:val="374151"/>
                  <w:sz w:val="24"/>
                  <w:szCs w:val="24"/>
                  <w:shd w:val="clear" w:color="auto" w:fill="F7F7F8"/>
                </w:rPr>
                <w:t xml:space="preserve"> </w:t>
              </w:r>
              <w:r w:rsidR="00787D1F" w:rsidRPr="00DF42AA">
                <w:rPr>
                  <w:rFonts w:ascii="Arial" w:hAnsi="Arial" w:cs="Arial"/>
                  <w:sz w:val="24"/>
                  <w:szCs w:val="24"/>
                  <w:shd w:val="clear" w:color="auto" w:fill="F7F7F8"/>
                </w:rPr>
                <w:t>Restatement (Second) of Torts. (n.d.). Section 892A. Harvard Law Review Association.</w:t>
              </w:r>
            </w:p>
            <w:p w14:paraId="3E8BE2FC" w14:textId="77777777" w:rsidR="00DF42AA" w:rsidRPr="00DF42AA" w:rsidRDefault="00DF42AA" w:rsidP="00111E23">
              <w:pPr>
                <w:rPr>
                  <w:rFonts w:ascii="Arial" w:hAnsi="Arial" w:cs="Arial"/>
                  <w:sz w:val="24"/>
                  <w:szCs w:val="24"/>
                  <w:shd w:val="clear" w:color="auto" w:fill="F7F7F8"/>
                </w:rPr>
              </w:pPr>
            </w:p>
            <w:p w14:paraId="04B86152" w14:textId="77777777" w:rsidR="00131EB0" w:rsidRPr="00DF42AA" w:rsidRDefault="00131EB0" w:rsidP="00131EB0">
              <w:pPr>
                <w:rPr>
                  <w:rFonts w:ascii="Arial" w:hAnsi="Arial" w:cs="Arial"/>
                  <w:sz w:val="24"/>
                  <w:szCs w:val="24"/>
                </w:rPr>
              </w:pPr>
              <w:r w:rsidRPr="00DF42AA">
                <w:rPr>
                  <w:rFonts w:ascii="Arial" w:hAnsi="Arial" w:cs="Arial"/>
                  <w:sz w:val="24"/>
                  <w:szCs w:val="24"/>
                </w:rPr>
                <w:t>Welsh, B. C. (2009) is cited. The degree of prior criminal activity as a predictor of recidivism. 451-464 in Crime &amp; Delinquency, 55(3).</w:t>
              </w:r>
            </w:p>
            <w:p w14:paraId="0984E702" w14:textId="3AC894F6" w:rsidR="00764287" w:rsidRPr="00A94900" w:rsidRDefault="00394ED8" w:rsidP="00111E23">
              <w:pPr>
                <w:rPr>
                  <w:sz w:val="24"/>
                  <w:szCs w:val="24"/>
                </w:rPr>
              </w:pPr>
            </w:p>
          </w:sdtContent>
        </w:sdt>
      </w:sdtContent>
    </w:sdt>
    <w:p w14:paraId="7FD71973" w14:textId="27A42B4F" w:rsidR="00AA7E26" w:rsidRPr="00AA7E26" w:rsidRDefault="00AA7E26" w:rsidP="00AA7E26">
      <w:pPr>
        <w:spacing w:before="100" w:beforeAutospacing="1" w:after="100" w:afterAutospacing="1"/>
        <w:ind w:left="360"/>
        <w:rPr>
          <w:sz w:val="24"/>
          <w:szCs w:val="24"/>
        </w:rPr>
      </w:pPr>
    </w:p>
    <w:p w14:paraId="6903988D" w14:textId="77777777" w:rsidR="00764287" w:rsidRPr="00375179" w:rsidRDefault="00764287" w:rsidP="008F7DC0">
      <w:pPr>
        <w:jc w:val="both"/>
        <w:rPr>
          <w:rFonts w:ascii="Arial" w:hAnsi="Arial" w:cs="Arial"/>
          <w:b/>
          <w:bCs/>
          <w:sz w:val="28"/>
          <w:szCs w:val="28"/>
        </w:rPr>
      </w:pPr>
    </w:p>
    <w:sectPr w:rsidR="00764287" w:rsidRPr="00375179" w:rsidSect="00171076">
      <w:footerReference w:type="default" r:id="rId13"/>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BD6D2" w14:textId="77777777" w:rsidR="00EE5E78" w:rsidRDefault="00EE5E78">
      <w:r>
        <w:separator/>
      </w:r>
    </w:p>
  </w:endnote>
  <w:endnote w:type="continuationSeparator" w:id="0">
    <w:p w14:paraId="0900A438" w14:textId="77777777" w:rsidR="00EE5E78" w:rsidRDefault="00EE5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DFFB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CBB78" w14:textId="77777777" w:rsidR="00EE5E78" w:rsidRDefault="00EE5E78">
      <w:r>
        <w:separator/>
      </w:r>
    </w:p>
  </w:footnote>
  <w:footnote w:type="continuationSeparator" w:id="0">
    <w:p w14:paraId="3230F6DA" w14:textId="77777777" w:rsidR="00EE5E78" w:rsidRDefault="00EE5E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9E01E52"/>
    <w:multiLevelType w:val="hybridMultilevel"/>
    <w:tmpl w:val="DE9A3D50"/>
    <w:lvl w:ilvl="0" w:tplc="C71E51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33E565C"/>
    <w:multiLevelType w:val="hybridMultilevel"/>
    <w:tmpl w:val="AF9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761CD7"/>
    <w:multiLevelType w:val="hybridMultilevel"/>
    <w:tmpl w:val="8F24F9C2"/>
    <w:lvl w:ilvl="0" w:tplc="C71E51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ACD3FBA"/>
    <w:multiLevelType w:val="hybridMultilevel"/>
    <w:tmpl w:val="BDD8BE88"/>
    <w:lvl w:ilvl="0" w:tplc="DA92D34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56447B"/>
    <w:multiLevelType w:val="hybridMultilevel"/>
    <w:tmpl w:val="FFD4F660"/>
    <w:lvl w:ilvl="0" w:tplc="C71E51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4794CE6"/>
    <w:multiLevelType w:val="hybridMultilevel"/>
    <w:tmpl w:val="EBF47CE0"/>
    <w:lvl w:ilvl="0" w:tplc="C42EBAC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EE064FB"/>
    <w:multiLevelType w:val="hybridMultilevel"/>
    <w:tmpl w:val="868AF7E6"/>
    <w:lvl w:ilvl="0" w:tplc="C71E51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1305815">
    <w:abstractNumId w:val="1"/>
  </w:num>
  <w:num w:numId="2" w16cid:durableId="224266199">
    <w:abstractNumId w:val="10"/>
  </w:num>
  <w:num w:numId="3" w16cid:durableId="1386104400">
    <w:abstractNumId w:val="22"/>
  </w:num>
  <w:num w:numId="4" w16cid:durableId="1165701528">
    <w:abstractNumId w:val="13"/>
  </w:num>
  <w:num w:numId="5" w16cid:durableId="667439405">
    <w:abstractNumId w:val="8"/>
  </w:num>
  <w:num w:numId="6" w16cid:durableId="1376153784">
    <w:abstractNumId w:val="21"/>
  </w:num>
  <w:num w:numId="7" w16cid:durableId="18775289">
    <w:abstractNumId w:val="2"/>
  </w:num>
  <w:num w:numId="8" w16cid:durableId="2111121255">
    <w:abstractNumId w:val="18"/>
  </w:num>
  <w:num w:numId="9" w16cid:durableId="404029972">
    <w:abstractNumId w:val="11"/>
  </w:num>
  <w:num w:numId="10" w16cid:durableId="1478303246">
    <w:abstractNumId w:val="4"/>
  </w:num>
  <w:num w:numId="11" w16cid:durableId="515731712">
    <w:abstractNumId w:val="5"/>
  </w:num>
  <w:num w:numId="12" w16cid:durableId="846751920">
    <w:abstractNumId w:val="9"/>
  </w:num>
  <w:num w:numId="13" w16cid:durableId="2117018719">
    <w:abstractNumId w:val="16"/>
  </w:num>
  <w:num w:numId="14" w16cid:durableId="587886701">
    <w:abstractNumId w:val="3"/>
  </w:num>
  <w:num w:numId="15" w16cid:durableId="349836680">
    <w:abstractNumId w:val="0"/>
  </w:num>
  <w:num w:numId="16" w16cid:durableId="1975136015">
    <w:abstractNumId w:val="6"/>
  </w:num>
  <w:num w:numId="17" w16cid:durableId="976568963">
    <w:abstractNumId w:val="19"/>
  </w:num>
  <w:num w:numId="18" w16cid:durableId="1064371496">
    <w:abstractNumId w:val="12"/>
  </w:num>
  <w:num w:numId="19" w16cid:durableId="1359619223">
    <w:abstractNumId w:val="15"/>
  </w:num>
  <w:num w:numId="20" w16cid:durableId="1644843580">
    <w:abstractNumId w:val="17"/>
  </w:num>
  <w:num w:numId="21" w16cid:durableId="408695772">
    <w:abstractNumId w:val="14"/>
  </w:num>
  <w:num w:numId="22" w16cid:durableId="1320965737">
    <w:abstractNumId w:val="20"/>
  </w:num>
  <w:num w:numId="23" w16cid:durableId="161043069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CFC"/>
    <w:rsid w:val="00011666"/>
    <w:rsid w:val="000119DB"/>
    <w:rsid w:val="000235DD"/>
    <w:rsid w:val="00026B02"/>
    <w:rsid w:val="00031D0E"/>
    <w:rsid w:val="00034AA9"/>
    <w:rsid w:val="00075723"/>
    <w:rsid w:val="00080D52"/>
    <w:rsid w:val="000822E5"/>
    <w:rsid w:val="000971FC"/>
    <w:rsid w:val="000A2A3A"/>
    <w:rsid w:val="000A492A"/>
    <w:rsid w:val="000C05A8"/>
    <w:rsid w:val="000D272F"/>
    <w:rsid w:val="000D2F80"/>
    <w:rsid w:val="000E21AB"/>
    <w:rsid w:val="000E413A"/>
    <w:rsid w:val="000E555A"/>
    <w:rsid w:val="000F5AA3"/>
    <w:rsid w:val="00100396"/>
    <w:rsid w:val="00100B5C"/>
    <w:rsid w:val="001106E9"/>
    <w:rsid w:val="00110B4A"/>
    <w:rsid w:val="00111E23"/>
    <w:rsid w:val="00113DEF"/>
    <w:rsid w:val="0011696C"/>
    <w:rsid w:val="0012431F"/>
    <w:rsid w:val="00124CA5"/>
    <w:rsid w:val="0013186B"/>
    <w:rsid w:val="00131EB0"/>
    <w:rsid w:val="00134F77"/>
    <w:rsid w:val="001363A5"/>
    <w:rsid w:val="00147374"/>
    <w:rsid w:val="00152E9D"/>
    <w:rsid w:val="00154487"/>
    <w:rsid w:val="00167A20"/>
    <w:rsid w:val="00171076"/>
    <w:rsid w:val="00171372"/>
    <w:rsid w:val="0017249C"/>
    <w:rsid w:val="0017512A"/>
    <w:rsid w:val="001810EB"/>
    <w:rsid w:val="00196958"/>
    <w:rsid w:val="00197403"/>
    <w:rsid w:val="001A1E39"/>
    <w:rsid w:val="001A24F3"/>
    <w:rsid w:val="001B2739"/>
    <w:rsid w:val="001B405C"/>
    <w:rsid w:val="001B5F45"/>
    <w:rsid w:val="001D7F39"/>
    <w:rsid w:val="001E1050"/>
    <w:rsid w:val="001E1E1F"/>
    <w:rsid w:val="001E2007"/>
    <w:rsid w:val="001E57C1"/>
    <w:rsid w:val="001F07EF"/>
    <w:rsid w:val="001F50B6"/>
    <w:rsid w:val="001F6D7A"/>
    <w:rsid w:val="00206983"/>
    <w:rsid w:val="00224849"/>
    <w:rsid w:val="0022746E"/>
    <w:rsid w:val="00235776"/>
    <w:rsid w:val="00235F71"/>
    <w:rsid w:val="002444CA"/>
    <w:rsid w:val="00253207"/>
    <w:rsid w:val="00260DE6"/>
    <w:rsid w:val="00265150"/>
    <w:rsid w:val="00273FEE"/>
    <w:rsid w:val="0028204E"/>
    <w:rsid w:val="0028591B"/>
    <w:rsid w:val="002878BF"/>
    <w:rsid w:val="00291841"/>
    <w:rsid w:val="00292F36"/>
    <w:rsid w:val="002A18AA"/>
    <w:rsid w:val="002A2CE3"/>
    <w:rsid w:val="002A65D2"/>
    <w:rsid w:val="002C449B"/>
    <w:rsid w:val="002C6040"/>
    <w:rsid w:val="002C6E70"/>
    <w:rsid w:val="002D5B3F"/>
    <w:rsid w:val="002E272E"/>
    <w:rsid w:val="002F10E1"/>
    <w:rsid w:val="002F5778"/>
    <w:rsid w:val="003223E0"/>
    <w:rsid w:val="00323165"/>
    <w:rsid w:val="00327E4F"/>
    <w:rsid w:val="003308CF"/>
    <w:rsid w:val="00340566"/>
    <w:rsid w:val="00352C4A"/>
    <w:rsid w:val="00354872"/>
    <w:rsid w:val="00362560"/>
    <w:rsid w:val="003732FD"/>
    <w:rsid w:val="00375179"/>
    <w:rsid w:val="003753B2"/>
    <w:rsid w:val="00376559"/>
    <w:rsid w:val="00382BAA"/>
    <w:rsid w:val="00384D73"/>
    <w:rsid w:val="00393EB6"/>
    <w:rsid w:val="00394ED8"/>
    <w:rsid w:val="00396D12"/>
    <w:rsid w:val="00397C9B"/>
    <w:rsid w:val="003A307A"/>
    <w:rsid w:val="003A3CE5"/>
    <w:rsid w:val="003A6EC3"/>
    <w:rsid w:val="003B1C57"/>
    <w:rsid w:val="003B366F"/>
    <w:rsid w:val="003B3F9D"/>
    <w:rsid w:val="003B6C95"/>
    <w:rsid w:val="003E43E9"/>
    <w:rsid w:val="003E5751"/>
    <w:rsid w:val="004046A9"/>
    <w:rsid w:val="00404C50"/>
    <w:rsid w:val="00423934"/>
    <w:rsid w:val="00426244"/>
    <w:rsid w:val="00451810"/>
    <w:rsid w:val="00452226"/>
    <w:rsid w:val="004621E8"/>
    <w:rsid w:val="00466B4F"/>
    <w:rsid w:val="00470A38"/>
    <w:rsid w:val="00477880"/>
    <w:rsid w:val="00483C3B"/>
    <w:rsid w:val="004866C3"/>
    <w:rsid w:val="004874DE"/>
    <w:rsid w:val="004A2439"/>
    <w:rsid w:val="004B5334"/>
    <w:rsid w:val="004B6C14"/>
    <w:rsid w:val="004C077F"/>
    <w:rsid w:val="004C0F2F"/>
    <w:rsid w:val="004D5E9B"/>
    <w:rsid w:val="004D63D9"/>
    <w:rsid w:val="004E6585"/>
    <w:rsid w:val="004E6B6A"/>
    <w:rsid w:val="004F31BB"/>
    <w:rsid w:val="004F38B4"/>
    <w:rsid w:val="0050249F"/>
    <w:rsid w:val="00523FE3"/>
    <w:rsid w:val="00524566"/>
    <w:rsid w:val="00527845"/>
    <w:rsid w:val="00527E60"/>
    <w:rsid w:val="00530BEF"/>
    <w:rsid w:val="00534458"/>
    <w:rsid w:val="00535913"/>
    <w:rsid w:val="00546CA3"/>
    <w:rsid w:val="00552351"/>
    <w:rsid w:val="00561F00"/>
    <w:rsid w:val="00562C4E"/>
    <w:rsid w:val="00562DEC"/>
    <w:rsid w:val="0057406E"/>
    <w:rsid w:val="00576AB4"/>
    <w:rsid w:val="00577917"/>
    <w:rsid w:val="0058048A"/>
    <w:rsid w:val="00587CDC"/>
    <w:rsid w:val="00590667"/>
    <w:rsid w:val="005969E2"/>
    <w:rsid w:val="005A1689"/>
    <w:rsid w:val="005B61CD"/>
    <w:rsid w:val="005D1D58"/>
    <w:rsid w:val="005D432C"/>
    <w:rsid w:val="005E285E"/>
    <w:rsid w:val="005E72F8"/>
    <w:rsid w:val="005F0579"/>
    <w:rsid w:val="005F3A53"/>
    <w:rsid w:val="006062A3"/>
    <w:rsid w:val="00610E08"/>
    <w:rsid w:val="00611A94"/>
    <w:rsid w:val="006124FC"/>
    <w:rsid w:val="006140BF"/>
    <w:rsid w:val="006161BE"/>
    <w:rsid w:val="00620787"/>
    <w:rsid w:val="00621232"/>
    <w:rsid w:val="00632434"/>
    <w:rsid w:val="0063478F"/>
    <w:rsid w:val="00635542"/>
    <w:rsid w:val="0063758D"/>
    <w:rsid w:val="00644256"/>
    <w:rsid w:val="00646ED6"/>
    <w:rsid w:val="006619D6"/>
    <w:rsid w:val="00661D6F"/>
    <w:rsid w:val="006628E9"/>
    <w:rsid w:val="0066725E"/>
    <w:rsid w:val="006716C7"/>
    <w:rsid w:val="00676BEC"/>
    <w:rsid w:val="00681208"/>
    <w:rsid w:val="00681FA9"/>
    <w:rsid w:val="00691EA9"/>
    <w:rsid w:val="00693381"/>
    <w:rsid w:val="006934D4"/>
    <w:rsid w:val="006A143A"/>
    <w:rsid w:val="006A6DC3"/>
    <w:rsid w:val="006B6BF5"/>
    <w:rsid w:val="006D49ED"/>
    <w:rsid w:val="006D55CE"/>
    <w:rsid w:val="006D637A"/>
    <w:rsid w:val="006D6F24"/>
    <w:rsid w:val="006F0F95"/>
    <w:rsid w:val="006F45BF"/>
    <w:rsid w:val="006F60E0"/>
    <w:rsid w:val="00702F71"/>
    <w:rsid w:val="00725835"/>
    <w:rsid w:val="007366DF"/>
    <w:rsid w:val="00757839"/>
    <w:rsid w:val="00764287"/>
    <w:rsid w:val="00770C81"/>
    <w:rsid w:val="00787498"/>
    <w:rsid w:val="00787D1F"/>
    <w:rsid w:val="00791024"/>
    <w:rsid w:val="00792A1F"/>
    <w:rsid w:val="00793F0A"/>
    <w:rsid w:val="007A2657"/>
    <w:rsid w:val="007A6883"/>
    <w:rsid w:val="007C3F1F"/>
    <w:rsid w:val="007C682C"/>
    <w:rsid w:val="007D2385"/>
    <w:rsid w:val="007D5DE2"/>
    <w:rsid w:val="007F214F"/>
    <w:rsid w:val="007F707A"/>
    <w:rsid w:val="00800069"/>
    <w:rsid w:val="008042F0"/>
    <w:rsid w:val="00812FCC"/>
    <w:rsid w:val="008310A0"/>
    <w:rsid w:val="00835133"/>
    <w:rsid w:val="00835D29"/>
    <w:rsid w:val="00842E7F"/>
    <w:rsid w:val="00846EBB"/>
    <w:rsid w:val="00852933"/>
    <w:rsid w:val="00856417"/>
    <w:rsid w:val="008566E5"/>
    <w:rsid w:val="008566FE"/>
    <w:rsid w:val="00863103"/>
    <w:rsid w:val="00865B46"/>
    <w:rsid w:val="00895670"/>
    <w:rsid w:val="00896134"/>
    <w:rsid w:val="008A62BC"/>
    <w:rsid w:val="008B43E7"/>
    <w:rsid w:val="008C48DE"/>
    <w:rsid w:val="008D763F"/>
    <w:rsid w:val="008F036F"/>
    <w:rsid w:val="008F1308"/>
    <w:rsid w:val="008F78C2"/>
    <w:rsid w:val="008F7DC0"/>
    <w:rsid w:val="00904568"/>
    <w:rsid w:val="00911394"/>
    <w:rsid w:val="00923EF2"/>
    <w:rsid w:val="00926D25"/>
    <w:rsid w:val="00926E9D"/>
    <w:rsid w:val="009315A0"/>
    <w:rsid w:val="00932C6E"/>
    <w:rsid w:val="00933F10"/>
    <w:rsid w:val="009433C5"/>
    <w:rsid w:val="0095075B"/>
    <w:rsid w:val="009624A8"/>
    <w:rsid w:val="00965881"/>
    <w:rsid w:val="00970B3A"/>
    <w:rsid w:val="009821C1"/>
    <w:rsid w:val="009871FF"/>
    <w:rsid w:val="00990799"/>
    <w:rsid w:val="00995D51"/>
    <w:rsid w:val="009A0631"/>
    <w:rsid w:val="009B10ED"/>
    <w:rsid w:val="009D033A"/>
    <w:rsid w:val="009D3EA4"/>
    <w:rsid w:val="009D649C"/>
    <w:rsid w:val="009E4BC1"/>
    <w:rsid w:val="009E67F3"/>
    <w:rsid w:val="009F201E"/>
    <w:rsid w:val="009F5CB2"/>
    <w:rsid w:val="00A03BB8"/>
    <w:rsid w:val="00A16E98"/>
    <w:rsid w:val="00A31BD1"/>
    <w:rsid w:val="00A327C8"/>
    <w:rsid w:val="00A3505D"/>
    <w:rsid w:val="00A4036F"/>
    <w:rsid w:val="00A406E5"/>
    <w:rsid w:val="00A423D0"/>
    <w:rsid w:val="00A4641C"/>
    <w:rsid w:val="00A50F02"/>
    <w:rsid w:val="00A55876"/>
    <w:rsid w:val="00A67FB1"/>
    <w:rsid w:val="00A8046C"/>
    <w:rsid w:val="00A824AA"/>
    <w:rsid w:val="00A84343"/>
    <w:rsid w:val="00A85BFE"/>
    <w:rsid w:val="00A94900"/>
    <w:rsid w:val="00AA22D9"/>
    <w:rsid w:val="00AA7E26"/>
    <w:rsid w:val="00AB5913"/>
    <w:rsid w:val="00AB6FE7"/>
    <w:rsid w:val="00AB7AD7"/>
    <w:rsid w:val="00AD2430"/>
    <w:rsid w:val="00AD6C15"/>
    <w:rsid w:val="00AE41A6"/>
    <w:rsid w:val="00AF0E34"/>
    <w:rsid w:val="00AF271D"/>
    <w:rsid w:val="00AF56C2"/>
    <w:rsid w:val="00B004E6"/>
    <w:rsid w:val="00B0744D"/>
    <w:rsid w:val="00B50EA8"/>
    <w:rsid w:val="00B64082"/>
    <w:rsid w:val="00B72325"/>
    <w:rsid w:val="00B73AAA"/>
    <w:rsid w:val="00B74815"/>
    <w:rsid w:val="00B81AD3"/>
    <w:rsid w:val="00B829D8"/>
    <w:rsid w:val="00B84B5B"/>
    <w:rsid w:val="00B86446"/>
    <w:rsid w:val="00BA1176"/>
    <w:rsid w:val="00BB3623"/>
    <w:rsid w:val="00BC31DF"/>
    <w:rsid w:val="00BE0B01"/>
    <w:rsid w:val="00BE79C7"/>
    <w:rsid w:val="00BF3CB5"/>
    <w:rsid w:val="00BF5A29"/>
    <w:rsid w:val="00C01A3F"/>
    <w:rsid w:val="00C073F1"/>
    <w:rsid w:val="00C1285B"/>
    <w:rsid w:val="00C1361B"/>
    <w:rsid w:val="00C14E1F"/>
    <w:rsid w:val="00C315AF"/>
    <w:rsid w:val="00C36D9A"/>
    <w:rsid w:val="00C44A72"/>
    <w:rsid w:val="00C46F3F"/>
    <w:rsid w:val="00C54AD4"/>
    <w:rsid w:val="00C61FC2"/>
    <w:rsid w:val="00C63274"/>
    <w:rsid w:val="00C705F9"/>
    <w:rsid w:val="00C70B18"/>
    <w:rsid w:val="00C80F0F"/>
    <w:rsid w:val="00C8667A"/>
    <w:rsid w:val="00C919FE"/>
    <w:rsid w:val="00C93BCB"/>
    <w:rsid w:val="00CC241A"/>
    <w:rsid w:val="00CE4035"/>
    <w:rsid w:val="00CE65AB"/>
    <w:rsid w:val="00CF4266"/>
    <w:rsid w:val="00D21BBB"/>
    <w:rsid w:val="00D22D9C"/>
    <w:rsid w:val="00D23996"/>
    <w:rsid w:val="00D241F1"/>
    <w:rsid w:val="00D275CB"/>
    <w:rsid w:val="00D30DFA"/>
    <w:rsid w:val="00D463A5"/>
    <w:rsid w:val="00D4710D"/>
    <w:rsid w:val="00D47D25"/>
    <w:rsid w:val="00D54103"/>
    <w:rsid w:val="00D62ACD"/>
    <w:rsid w:val="00D93D89"/>
    <w:rsid w:val="00DA36EE"/>
    <w:rsid w:val="00DB116D"/>
    <w:rsid w:val="00DD17CC"/>
    <w:rsid w:val="00DE217A"/>
    <w:rsid w:val="00DE3EA7"/>
    <w:rsid w:val="00DE67C2"/>
    <w:rsid w:val="00DF321B"/>
    <w:rsid w:val="00DF42AA"/>
    <w:rsid w:val="00E230E0"/>
    <w:rsid w:val="00E255F8"/>
    <w:rsid w:val="00E27F15"/>
    <w:rsid w:val="00E3049E"/>
    <w:rsid w:val="00E34692"/>
    <w:rsid w:val="00E51AAC"/>
    <w:rsid w:val="00E52241"/>
    <w:rsid w:val="00E66CC0"/>
    <w:rsid w:val="00E728A9"/>
    <w:rsid w:val="00E807D9"/>
    <w:rsid w:val="00EA0F4E"/>
    <w:rsid w:val="00EA295B"/>
    <w:rsid w:val="00EA3B9B"/>
    <w:rsid w:val="00EA6801"/>
    <w:rsid w:val="00EB4F96"/>
    <w:rsid w:val="00ED7072"/>
    <w:rsid w:val="00EE3132"/>
    <w:rsid w:val="00EE3D9D"/>
    <w:rsid w:val="00EE59FD"/>
    <w:rsid w:val="00EE5E78"/>
    <w:rsid w:val="00EE6F25"/>
    <w:rsid w:val="00F02126"/>
    <w:rsid w:val="00F03D85"/>
    <w:rsid w:val="00F07C8C"/>
    <w:rsid w:val="00F249F1"/>
    <w:rsid w:val="00F25B9D"/>
    <w:rsid w:val="00F2664E"/>
    <w:rsid w:val="00F31163"/>
    <w:rsid w:val="00F311D9"/>
    <w:rsid w:val="00F31C04"/>
    <w:rsid w:val="00F437B4"/>
    <w:rsid w:val="00F442A7"/>
    <w:rsid w:val="00F51A41"/>
    <w:rsid w:val="00F56D90"/>
    <w:rsid w:val="00F57A89"/>
    <w:rsid w:val="00F61A20"/>
    <w:rsid w:val="00F63DD9"/>
    <w:rsid w:val="00F67644"/>
    <w:rsid w:val="00F767BC"/>
    <w:rsid w:val="00F8381F"/>
    <w:rsid w:val="00F847F3"/>
    <w:rsid w:val="00F87919"/>
    <w:rsid w:val="00F9523E"/>
    <w:rsid w:val="00FA04CD"/>
    <w:rsid w:val="00FA25F5"/>
    <w:rsid w:val="00FA2810"/>
    <w:rsid w:val="00FA68F8"/>
    <w:rsid w:val="00FB19C5"/>
    <w:rsid w:val="00FB1DC0"/>
    <w:rsid w:val="00FB3085"/>
    <w:rsid w:val="00FB3B4E"/>
    <w:rsid w:val="00FB4521"/>
    <w:rsid w:val="00FB4F84"/>
    <w:rsid w:val="00FB5CF8"/>
    <w:rsid w:val="00FD6F39"/>
    <w:rsid w:val="00FE4FB7"/>
    <w:rsid w:val="00FF1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9711AF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1Char">
    <w:name w:val="Heading 1 Char"/>
    <w:basedOn w:val="DefaultParagraphFont"/>
    <w:link w:val="Heading1"/>
    <w:uiPriority w:val="9"/>
    <w:rsid w:val="00C46F3F"/>
    <w:rPr>
      <w:b/>
      <w:sz w:val="36"/>
      <w:shd w:val="pct15" w:color="auto" w:fill="auto"/>
      <w:lang w:eastAsia="en-GB"/>
    </w:rPr>
  </w:style>
  <w:style w:type="paragraph" w:styleId="Bibliography">
    <w:name w:val="Bibliography"/>
    <w:basedOn w:val="Normal"/>
    <w:next w:val="Normal"/>
    <w:uiPriority w:val="37"/>
    <w:unhideWhenUsed/>
    <w:rsid w:val="007642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890584">
      <w:bodyDiv w:val="1"/>
      <w:marLeft w:val="0"/>
      <w:marRight w:val="0"/>
      <w:marTop w:val="0"/>
      <w:marBottom w:val="0"/>
      <w:divBdr>
        <w:top w:val="none" w:sz="0" w:space="0" w:color="auto"/>
        <w:left w:val="none" w:sz="0" w:space="0" w:color="auto"/>
        <w:bottom w:val="none" w:sz="0" w:space="0" w:color="auto"/>
        <w:right w:val="none" w:sz="0" w:space="0" w:color="auto"/>
      </w:divBdr>
    </w:div>
    <w:div w:id="14694723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161261">
      <w:bodyDiv w:val="1"/>
      <w:marLeft w:val="0"/>
      <w:marRight w:val="0"/>
      <w:marTop w:val="0"/>
      <w:marBottom w:val="0"/>
      <w:divBdr>
        <w:top w:val="none" w:sz="0" w:space="0" w:color="auto"/>
        <w:left w:val="none" w:sz="0" w:space="0" w:color="auto"/>
        <w:bottom w:val="none" w:sz="0" w:space="0" w:color="auto"/>
        <w:right w:val="none" w:sz="0" w:space="0" w:color="auto"/>
      </w:divBdr>
    </w:div>
    <w:div w:id="446581875">
      <w:bodyDiv w:val="1"/>
      <w:marLeft w:val="0"/>
      <w:marRight w:val="0"/>
      <w:marTop w:val="0"/>
      <w:marBottom w:val="0"/>
      <w:divBdr>
        <w:top w:val="none" w:sz="0" w:space="0" w:color="auto"/>
        <w:left w:val="none" w:sz="0" w:space="0" w:color="auto"/>
        <w:bottom w:val="none" w:sz="0" w:space="0" w:color="auto"/>
        <w:right w:val="none" w:sz="0" w:space="0" w:color="auto"/>
      </w:divBdr>
    </w:div>
    <w:div w:id="738673725">
      <w:bodyDiv w:val="1"/>
      <w:marLeft w:val="0"/>
      <w:marRight w:val="0"/>
      <w:marTop w:val="0"/>
      <w:marBottom w:val="0"/>
      <w:divBdr>
        <w:top w:val="none" w:sz="0" w:space="0" w:color="auto"/>
        <w:left w:val="none" w:sz="0" w:space="0" w:color="auto"/>
        <w:bottom w:val="none" w:sz="0" w:space="0" w:color="auto"/>
        <w:right w:val="none" w:sz="0" w:space="0" w:color="auto"/>
      </w:divBdr>
    </w:div>
    <w:div w:id="13925750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494398">
      <w:bodyDiv w:val="1"/>
      <w:marLeft w:val="0"/>
      <w:marRight w:val="0"/>
      <w:marTop w:val="0"/>
      <w:marBottom w:val="0"/>
      <w:divBdr>
        <w:top w:val="none" w:sz="0" w:space="0" w:color="auto"/>
        <w:left w:val="none" w:sz="0" w:space="0" w:color="auto"/>
        <w:bottom w:val="none" w:sz="0" w:space="0" w:color="auto"/>
        <w:right w:val="none" w:sz="0" w:space="0" w:color="auto"/>
      </w:divBdr>
    </w:div>
    <w:div w:id="19274969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jSm05</b:Tag>
    <b:SourceType>Book</b:SourceType>
    <b:Guid>{C0978F76-B11B-45B1-B74E-610A3446AA32}</b:Guid>
    <b:Title>understanding consent: a comprehansive guide</b:Title>
    <b:Year>2005</b:Year>
    <b:Publisher>HAVARD LAW REVIEW</b:Publisher>
    <b:Author>
      <b:Author>
        <b:NameList>
          <b:Person>
            <b:Last>j.Smith</b:Last>
          </b:Person>
          <b:Person>
            <b:Last>DOE</b:Last>
            <b:First>A</b:First>
          </b:Person>
        </b:NameList>
      </b:Author>
    </b:Author>
    <b:RefOrder>1</b:RefOrder>
  </b:Source>
  <b:Source>
    <b:Tag>DBE07</b:Tag>
    <b:SourceType>Book</b:SourceType>
    <b:Guid>{FAED3FBD-F46C-4DCC-9E06-F5CDB792CC70}</b:Guid>
    <b:Author>
      <b:Author>
        <b:NameList>
          <b:Person>
            <b:Last>D.BEVLEVELD</b:Last>
          </b:Person>
          <b:Person>
            <b:Last>BROWNSWORD</b:Last>
            <b:First>R</b:First>
          </b:Person>
        </b:NameList>
      </b:Author>
    </b:Author>
    <b:Title>CONSENT IN LAW</b:Title>
    <b:Year>2007</b:Year>
    <b:Publisher>BLOOMSBURY PUBLISHING</b:Publisher>
    <b:RefOrder>2</b:RefOrder>
  </b:Source>
  <b:Source>
    <b:Tag>Sea05</b:Tag>
    <b:SourceType>ArticleInAPeriodical</b:SourceType>
    <b:Guid>{5C2F1F0D-25BF-4D0B-9464-0FB3F4B47B57}</b:Guid>
    <b:Author>
      <b:Author>
        <b:NameList>
          <b:Person>
            <b:Last>Sears</b:Last>
            <b:First>Jeanne</b:First>
            <b:Middle>M</b:Middle>
          </b:Person>
        </b:NameList>
      </b:Author>
    </b:Author>
    <b:Title>Context is key for voluntary and informed consent</b:Title>
    <b:Year>2005</b:Year>
    <b:Pages>47-48</b:Pages>
    <b:RefOrder>3</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397db36009e4fc205c46803ff36fef33">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62f4b7fb1db907fcb6fbdd3f7ed1db91"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A05C21-FAEF-41F4-9428-579DCB2F432F}">
  <ds:schemaRefs>
    <ds:schemaRef ds:uri="http://schemas.openxmlformats.org/officeDocument/2006/bibliography"/>
  </ds:schemaRefs>
</ds:datastoreItem>
</file>

<file path=customXml/itemProps2.xml><?xml version="1.0" encoding="utf-8"?>
<ds:datastoreItem xmlns:ds="http://schemas.openxmlformats.org/officeDocument/2006/customXml" ds:itemID="{DF508C3E-D6A3-4D8D-BCC8-733D8E202A83}">
  <ds:schemaRefs>
    <ds:schemaRef ds:uri="http://schemas.microsoft.com/sharepoint/v3/contenttype/forms"/>
  </ds:schemaRefs>
</ds:datastoreItem>
</file>

<file path=customXml/itemProps3.xml><?xml version="1.0" encoding="utf-8"?>
<ds:datastoreItem xmlns:ds="http://schemas.openxmlformats.org/officeDocument/2006/customXml" ds:itemID="{9DAA38D3-46BF-4AFF-9889-2FBDB251D935}">
  <ds:schemaRefs>
    <ds:schemaRef ds:uri="http://schemas.microsoft.com/office/2006/metadata/properties"/>
    <ds:schemaRef ds:uri="http://schemas.microsoft.com/office/infopath/2007/PartnerControls"/>
    <ds:schemaRef ds:uri="d8e79d84-78fb-44a9-92e9-d04bdd8f0359"/>
  </ds:schemaRefs>
</ds:datastoreItem>
</file>

<file path=customXml/itemProps4.xml><?xml version="1.0" encoding="utf-8"?>
<ds:datastoreItem xmlns:ds="http://schemas.openxmlformats.org/officeDocument/2006/customXml" ds:itemID="{13DAB37D-E07F-4DA2-98A8-2B960B75E3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775</TotalTime>
  <Pages>6</Pages>
  <Words>2115</Words>
  <Characters>12096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14183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 Sohail</cp:lastModifiedBy>
  <cp:revision>109</cp:revision>
  <cp:lastPrinted>2014-10-10T07:42:00Z</cp:lastPrinted>
  <dcterms:created xsi:type="dcterms:W3CDTF">2023-09-12T12:05:00Z</dcterms:created>
  <dcterms:modified xsi:type="dcterms:W3CDTF">2023-11-07T00:16:00Z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0x010100A20804DBFC42F64693D899720BA9B0FE</vt:lpwstr>
  </property>
</Properties>
</file>