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DD0FB" w14:textId="6D1A3667" w:rsidR="00F643ED" w:rsidRDefault="00F643ED">
      <w:r>
        <w:t xml:space="preserve">Damian Golina </w:t>
      </w:r>
    </w:p>
    <w:p w14:paraId="79122DC4" w14:textId="4FF272A6" w:rsidR="00F643ED" w:rsidRDefault="00A6348B">
      <w:r>
        <w:t>2210589</w:t>
      </w:r>
    </w:p>
    <w:p w14:paraId="721FD4A8" w14:textId="77777777" w:rsidR="00DF6E73" w:rsidRDefault="00DF6E73"/>
    <w:p w14:paraId="629845DE" w14:textId="77777777" w:rsidR="00194FA2" w:rsidRDefault="00194FA2" w:rsidP="00194FA2">
      <w:r>
        <w:t>Title: The State of Civil Legal Aid: Assessing its Decline in Delivering Access to Justice</w:t>
      </w:r>
    </w:p>
    <w:p w14:paraId="06BD33E9" w14:textId="77777777" w:rsidR="00194FA2" w:rsidRDefault="00194FA2" w:rsidP="00194FA2"/>
    <w:p w14:paraId="237D3874" w14:textId="77777777" w:rsidR="00194FA2" w:rsidRDefault="00194FA2" w:rsidP="00194FA2">
      <w:r>
        <w:t>Introduction:</w:t>
      </w:r>
    </w:p>
    <w:p w14:paraId="15EB8692" w14:textId="77777777" w:rsidR="00194FA2" w:rsidRDefault="00194FA2" w:rsidP="00194FA2">
      <w:r>
        <w:t>In the contemporary landscape of legal systems, civil legal aid stands as an indispensable service, designed to ensure that every individual has equal access to justice, regardless of their financial circumstances. However, a declaration made by the Law Society in 2024 has brought attention to a concerning issue - the decline of civil legal aid in fulfilling its primary objective of delivering access to justice. This essay aims to delve deeply into this matter, providing a comprehensive analysis of the current state of civil legal aid. By employing the PEEL (Point, Evidence, Explanation, and Link) process, we will evaluate the challenges faced by civil legal aid and explore the measures taken to address them, shedding light on the extent of its decline.</w:t>
      </w:r>
    </w:p>
    <w:p w14:paraId="07964D02" w14:textId="77777777" w:rsidR="00194FA2" w:rsidRDefault="00194FA2" w:rsidP="00194FA2"/>
    <w:p w14:paraId="2C150185" w14:textId="77777777" w:rsidR="00194FA2" w:rsidRDefault="00194FA2" w:rsidP="00194FA2">
      <w:r>
        <w:t>Point:</w:t>
      </w:r>
    </w:p>
    <w:p w14:paraId="3CE82335" w14:textId="77777777" w:rsidR="00194FA2" w:rsidRDefault="00194FA2" w:rsidP="00194FA2">
      <w:r>
        <w:t>The Law Society asserts that civil legal aid has experienced a concerning decline, significantly deviating from its core objective of delivering access to justice.</w:t>
      </w:r>
    </w:p>
    <w:p w14:paraId="309B8491" w14:textId="77777777" w:rsidR="00194FA2" w:rsidRDefault="00194FA2" w:rsidP="00194FA2"/>
    <w:p w14:paraId="5939801F" w14:textId="77777777" w:rsidR="00194FA2" w:rsidRDefault="00194FA2" w:rsidP="00194FA2">
      <w:r>
        <w:t>Main Body:</w:t>
      </w:r>
    </w:p>
    <w:p w14:paraId="0DF5101D" w14:textId="77777777" w:rsidR="00194FA2" w:rsidRDefault="00194FA2" w:rsidP="00194FA2"/>
    <w:p w14:paraId="0D77DCC3" w14:textId="77777777" w:rsidR="00194FA2" w:rsidRDefault="00194FA2" w:rsidP="00194FA2">
      <w:r>
        <w:t>Paragraph 1 (Point)</w:t>
      </w:r>
    </w:p>
    <w:p w14:paraId="4A5CEF78" w14:textId="77777777" w:rsidR="00194FA2" w:rsidRDefault="00194FA2" w:rsidP="00194FA2">
      <w:r>
        <w:t>One of the primary challenges contributing to the decline of civil legal aid is the issue of inadequate funding.</w:t>
      </w:r>
    </w:p>
    <w:p w14:paraId="6A5BA522" w14:textId="77777777" w:rsidR="00194FA2" w:rsidRDefault="00194FA2" w:rsidP="00194FA2"/>
    <w:p w14:paraId="58DB01AF" w14:textId="77777777" w:rsidR="00194FA2" w:rsidRDefault="00194FA2" w:rsidP="00194FA2">
      <w:r>
        <w:t>Evidence:</w:t>
      </w:r>
    </w:p>
    <w:p w14:paraId="64DC8BD6" w14:textId="77777777" w:rsidR="00194FA2" w:rsidRDefault="00194FA2" w:rsidP="00194FA2">
      <w:r>
        <w:t xml:space="preserve">A report published by the Legal Services Corporation (LSC) in 2020 reveals that funding for civil legal aid has failed to keep pace with the escalating demand for services. The report </w:t>
      </w:r>
      <w:proofErr w:type="spellStart"/>
      <w:r>
        <w:t>emphasizes</w:t>
      </w:r>
      <w:proofErr w:type="spellEnd"/>
      <w:r>
        <w:t xml:space="preserve"> that limited resources result in only one out of every five eligible individuals receiving the assistance they require.</w:t>
      </w:r>
    </w:p>
    <w:p w14:paraId="7BED74D8" w14:textId="77777777" w:rsidR="00194FA2" w:rsidRDefault="00194FA2" w:rsidP="00194FA2"/>
    <w:p w14:paraId="5FA87615" w14:textId="77777777" w:rsidR="00194FA2" w:rsidRDefault="00194FA2" w:rsidP="00194FA2">
      <w:r>
        <w:lastRenderedPageBreak/>
        <w:t>Explanation:</w:t>
      </w:r>
    </w:p>
    <w:p w14:paraId="5CC6E7F5" w14:textId="77777777" w:rsidR="00194FA2" w:rsidRDefault="00194FA2" w:rsidP="00194FA2">
      <w:r>
        <w:t xml:space="preserve">The insufficiency of funding severely restricts the scope and availability of civil legal aid services, making it arduous for individuals to access justice. Consequently, vulnerable populations, such as low-income families and </w:t>
      </w:r>
      <w:proofErr w:type="spellStart"/>
      <w:r>
        <w:t>marginalized</w:t>
      </w:r>
      <w:proofErr w:type="spellEnd"/>
      <w:r>
        <w:t xml:space="preserve"> communities, face formidable barriers when attempting to exercise their legal rights. The lack of financial support hampers the ability of civil legal aid </w:t>
      </w:r>
      <w:proofErr w:type="spellStart"/>
      <w:r>
        <w:t>organizations</w:t>
      </w:r>
      <w:proofErr w:type="spellEnd"/>
      <w:r>
        <w:t xml:space="preserve"> to hire and retain skilled professionals, invest in necessary resources, and expand their reach to cater to the increasing demand for legal assistance.</w:t>
      </w:r>
    </w:p>
    <w:p w14:paraId="55BD8429" w14:textId="77777777" w:rsidR="00194FA2" w:rsidRDefault="00194FA2" w:rsidP="00194FA2"/>
    <w:p w14:paraId="6283F0C9" w14:textId="77777777" w:rsidR="00194FA2" w:rsidRDefault="00194FA2" w:rsidP="00194FA2">
      <w:r>
        <w:t>Link:</w:t>
      </w:r>
    </w:p>
    <w:p w14:paraId="7AB92B54" w14:textId="77777777" w:rsidR="00194FA2" w:rsidRDefault="00194FA2" w:rsidP="00194FA2">
      <w:r>
        <w:t>The dearth of adequate funding poses a significant obstacle to the accomplishment of civil legal aid's primary objective, reinforcing the Law Society's claim regarding its decline. Without sufficient financial resources, the ability of civil legal aid to effectively deliver access to justice is severely hampered.</w:t>
      </w:r>
    </w:p>
    <w:p w14:paraId="2CC02D54" w14:textId="77777777" w:rsidR="00194FA2" w:rsidRDefault="00194FA2" w:rsidP="00194FA2"/>
    <w:p w14:paraId="6397B413" w14:textId="77777777" w:rsidR="00194FA2" w:rsidRDefault="00194FA2" w:rsidP="00194FA2">
      <w:r>
        <w:t>Paragraph 2 (Point)</w:t>
      </w:r>
    </w:p>
    <w:p w14:paraId="4DE41E75" w14:textId="77777777" w:rsidR="00194FA2" w:rsidRDefault="00194FA2" w:rsidP="00194FA2">
      <w:r>
        <w:t>Another crucial challenge contributing to the decline of civil legal aid is the stringent eligibility criteria.</w:t>
      </w:r>
    </w:p>
    <w:p w14:paraId="43715B60" w14:textId="77777777" w:rsidR="00194FA2" w:rsidRDefault="00194FA2" w:rsidP="00194FA2"/>
    <w:p w14:paraId="6ECB48CA" w14:textId="77777777" w:rsidR="00194FA2" w:rsidRDefault="00194FA2" w:rsidP="00194FA2">
      <w:r>
        <w:t>Evidence:</w:t>
      </w:r>
    </w:p>
    <w:p w14:paraId="07B46233" w14:textId="77777777" w:rsidR="00194FA2" w:rsidRDefault="00194FA2" w:rsidP="00194FA2">
      <w:r>
        <w:t>A study conducted by the Access to Justice Foundation in 2019 revealed that the means tests employed to determine eligibility for civil legal aid are often excessively restrictive. Consequently, numerous individuals who fall just above the threshold are unable to access the necessary support.</w:t>
      </w:r>
    </w:p>
    <w:p w14:paraId="2E27F8E6" w14:textId="77777777" w:rsidR="00194FA2" w:rsidRDefault="00194FA2" w:rsidP="00194FA2"/>
    <w:p w14:paraId="4E845623" w14:textId="77777777" w:rsidR="00194FA2" w:rsidRDefault="00194FA2" w:rsidP="00194FA2">
      <w:r>
        <w:t>Explanation:</w:t>
      </w:r>
    </w:p>
    <w:p w14:paraId="45E95A9A" w14:textId="77777777" w:rsidR="00194FA2" w:rsidRDefault="00194FA2" w:rsidP="00194FA2">
      <w:r>
        <w:t xml:space="preserve">The strict eligibility criteria create a gap where individuals who cannot afford legal representation or advice are left without the necessary assistance. This exacerbates existing inequalities and impedes individuals from effectively navigating the complexities of the legal system. Many individuals who are unable to meet the stringent criteria may find themselves unable to access justice, as they are unable to afford private legal representation and do not qualify for civil legal aid. This further perpetuates the imbalance in power dynamics within the legal system, disproportionately affecting those who are already </w:t>
      </w:r>
      <w:proofErr w:type="spellStart"/>
      <w:r>
        <w:t>marginalized</w:t>
      </w:r>
      <w:proofErr w:type="spellEnd"/>
      <w:r>
        <w:t xml:space="preserve"> or vulnerable.</w:t>
      </w:r>
    </w:p>
    <w:p w14:paraId="24459047" w14:textId="77777777" w:rsidR="00194FA2" w:rsidRDefault="00194FA2" w:rsidP="00194FA2"/>
    <w:p w14:paraId="1BBCAE77" w14:textId="77777777" w:rsidR="00194FA2" w:rsidRDefault="00194FA2" w:rsidP="00194FA2">
      <w:r>
        <w:t>Link:</w:t>
      </w:r>
    </w:p>
    <w:p w14:paraId="307DC753" w14:textId="77777777" w:rsidR="00194FA2" w:rsidRDefault="00194FA2" w:rsidP="00194FA2">
      <w:r>
        <w:t>The inflexible eligibility criteria pose a significant hindrance to the achievement of civil legal aid's primary objective, reinforcing the Law Society's argument regarding its decline. By creating barriers to access, these criteria undermine the fundamental principle of equal access to justice.</w:t>
      </w:r>
    </w:p>
    <w:p w14:paraId="6454888D" w14:textId="77777777" w:rsidR="00194FA2" w:rsidRDefault="00194FA2" w:rsidP="00194FA2"/>
    <w:p w14:paraId="1A077B6A" w14:textId="77777777" w:rsidR="00194FA2" w:rsidRDefault="00194FA2" w:rsidP="00194FA2">
      <w:r>
        <w:t>Paragraph 3 (Point)</w:t>
      </w:r>
    </w:p>
    <w:p w14:paraId="2C166474" w14:textId="77777777" w:rsidR="00194FA2" w:rsidRDefault="00194FA2" w:rsidP="00194FA2">
      <w:r>
        <w:t>The limited scope of civil legal aid is another factor contributing to its decline in meeting its objective of delivering access to justice.</w:t>
      </w:r>
    </w:p>
    <w:p w14:paraId="721892E6" w14:textId="77777777" w:rsidR="00194FA2" w:rsidRDefault="00194FA2" w:rsidP="00194FA2"/>
    <w:p w14:paraId="33C87CD0" w14:textId="77777777" w:rsidR="00194FA2" w:rsidRDefault="00194FA2" w:rsidP="00194FA2">
      <w:r>
        <w:t>Evidence:</w:t>
      </w:r>
    </w:p>
    <w:p w14:paraId="2D6909C3" w14:textId="77777777" w:rsidR="00194FA2" w:rsidRDefault="00194FA2" w:rsidP="00194FA2">
      <w:r>
        <w:t>Research conducted by the Legal Action Group in 2018 revealed that civil legal aid predominantly focuses on areas such as family, housing, and welfare benefits, while neglecting other critical areas such as immigration, employment, and consumer rights.</w:t>
      </w:r>
    </w:p>
    <w:p w14:paraId="31A83B48" w14:textId="77777777" w:rsidR="00194FA2" w:rsidRDefault="00194FA2" w:rsidP="00194FA2"/>
    <w:p w14:paraId="1DF710E6" w14:textId="77777777" w:rsidR="00194FA2" w:rsidRDefault="00194FA2" w:rsidP="00194FA2">
      <w:r>
        <w:t>Explanation:</w:t>
      </w:r>
    </w:p>
    <w:p w14:paraId="2A5015EE" w14:textId="77777777" w:rsidR="00194FA2" w:rsidRDefault="00194FA2" w:rsidP="00194FA2">
      <w:r>
        <w:t>The evolving legal landscape necessitates a broader scope of assistance to address the diverse legal needs of individuals. The failure to expand the coverage of civil legal aid restricts access to justice for those in need, particularly in areas where legal representation is indispensable. Individuals facing immigration challenges, workplace discrimination, or consumer rights violations often find themselves without the necessary support to navigate these complex legal issues. This limited scope not only leaves individuals without recourse but also hampers efforts to address systemic inequalities and protect individuals' basic legal rights.</w:t>
      </w:r>
    </w:p>
    <w:p w14:paraId="5D662526" w14:textId="77777777" w:rsidR="00194FA2" w:rsidRDefault="00194FA2" w:rsidP="00194FA2"/>
    <w:p w14:paraId="32AC0CE7" w14:textId="77777777" w:rsidR="00194FA2" w:rsidRDefault="00194FA2" w:rsidP="00194FA2">
      <w:r>
        <w:t>Link:</w:t>
      </w:r>
    </w:p>
    <w:p w14:paraId="0D77DB8E" w14:textId="77777777" w:rsidR="00194FA2" w:rsidRDefault="00194FA2" w:rsidP="00194FA2">
      <w:r>
        <w:t>The limited scope of civil legal aid impedes its ability to provide comprehensive access to justice, reinforcing the Law Society's claim regarding its decline. To address this issue, there is a need to expand the coverage of civil legal aid to ensure that individuals facing a wide range of legal challenges can access the support they need.</w:t>
      </w:r>
    </w:p>
    <w:p w14:paraId="4A2E7DB3" w14:textId="77777777" w:rsidR="00194FA2" w:rsidRDefault="00194FA2" w:rsidP="00194FA2"/>
    <w:p w14:paraId="2DADA3BD" w14:textId="77777777" w:rsidR="00147787" w:rsidRDefault="00147787" w:rsidP="00194FA2"/>
    <w:p w14:paraId="3CD6AA63" w14:textId="77777777" w:rsidR="00147787" w:rsidRDefault="00194FA2" w:rsidP="00194FA2">
      <w:r>
        <w:lastRenderedPageBreak/>
        <w:t>Conclusion:</w:t>
      </w:r>
      <w:r w:rsidR="00147787">
        <w:t xml:space="preserve"> </w:t>
      </w:r>
    </w:p>
    <w:p w14:paraId="607BAA65" w14:textId="796F45D3" w:rsidR="00194FA2" w:rsidRDefault="00194FA2" w:rsidP="00194FA2">
      <w:r>
        <w:t xml:space="preserve">In conclusion, the Law Society's assertion that civil legal aid has fallen into a state of decline, failing to meet its primary objective of delivering access to justice, is supported by a meticulous examination of the challenges faced by the system. The issues of inadequate funding, stringent eligibility criteria, and a limited scope of coverage all contribute to the decline of civil legal aid. However, it is imperative to acknowledge that measures have been taken to address these challenges and mitigate the decline of civil legal aid. One of the measures taken to address the issue of inadequate funding is the advocacy for increased government support and investment in civil legal aid. Various legal </w:t>
      </w:r>
      <w:proofErr w:type="spellStart"/>
      <w:r>
        <w:t>organizations</w:t>
      </w:r>
      <w:proofErr w:type="spellEnd"/>
      <w:r>
        <w:t xml:space="preserve">, non-governmental </w:t>
      </w:r>
      <w:proofErr w:type="spellStart"/>
      <w:r>
        <w:t>organizations</w:t>
      </w:r>
      <w:proofErr w:type="spellEnd"/>
      <w:r>
        <w:t xml:space="preserve">, and advocacy groups have been actively lobbying for increased funding to ensure that civil legal aid services can adequately meet the growing demand. These efforts aim to highlight the importance of civil legal aid in promoting access to justice and securing the rights of </w:t>
      </w:r>
      <w:proofErr w:type="spellStart"/>
      <w:r>
        <w:t>marginalized</w:t>
      </w:r>
      <w:proofErr w:type="spellEnd"/>
      <w:r>
        <w:t xml:space="preserve"> individuals and communities. By raising awareness and garnering support from policymakers, these initiatives seek to secure sustainable funding for civil legal aid </w:t>
      </w:r>
      <w:proofErr w:type="spellStart"/>
      <w:r>
        <w:t>organizations</w:t>
      </w:r>
      <w:proofErr w:type="spellEnd"/>
      <w:r>
        <w:t>, enabling them to expand their services and reach a larger population in need.</w:t>
      </w:r>
      <w:r w:rsidR="00134D9F">
        <w:t xml:space="preserve"> </w:t>
      </w:r>
      <w:r>
        <w:t xml:space="preserve">In addition to advocating for increased funding, efforts have been made to explore alternative funding models and partnerships. Civil legal aid </w:t>
      </w:r>
      <w:proofErr w:type="spellStart"/>
      <w:r>
        <w:t>organizations</w:t>
      </w:r>
      <w:proofErr w:type="spellEnd"/>
      <w:r>
        <w:t xml:space="preserve"> have been collaborating with private law firms, corporate entities, and philanthropic foundations to secure additional financial resources. These partnerships not only provide financial support but also offer access to expertise and resources that can enhance the effectiveness and efficiency of civil legal aid services. By diversifying funding sources and exploring innovative models, civil legal aid </w:t>
      </w:r>
      <w:proofErr w:type="spellStart"/>
      <w:r>
        <w:t>organizations</w:t>
      </w:r>
      <w:proofErr w:type="spellEnd"/>
      <w:r>
        <w:t xml:space="preserve"> can mitigate the impact of inadequate government funding and sustain their operations.</w:t>
      </w:r>
    </w:p>
    <w:p w14:paraId="130CEDF8" w14:textId="77777777" w:rsidR="0000441A" w:rsidRDefault="00194FA2" w:rsidP="00194FA2">
      <w:r>
        <w:t>To address the issue of stringent eligibility criteria, there have been calls for a review and reform of the existing means tests. The aim is to ensure that the criteria are more inclusive and reflect the financial realities faced by individuals seeking civil legal aid. By adopting a more nuanced approach that takes into account various factors such as income, assets, and expenditure, the eligibility criteria can be adjusted to accommodate a broader range of individuals who require legal assistance. This would help bridge the gap and ensure that those who are in need but fall just above the current threshold can access the necessary support.</w:t>
      </w:r>
      <w:r w:rsidR="00B55717">
        <w:t xml:space="preserve"> To answer </w:t>
      </w:r>
      <w:r w:rsidR="004B7411">
        <w:t>this essay question there comes some new ideas such :</w:t>
      </w:r>
    </w:p>
    <w:p w14:paraId="2D39F579" w14:textId="24F62C44" w:rsidR="0009509B" w:rsidRDefault="00CD5222" w:rsidP="00194FA2">
      <w:r w:rsidRPr="00CD5222">
        <w:t xml:space="preserve"> Collaboration and Knowledge Sharing: Encouraging collaboration and knowledge sharing among civil legal aid </w:t>
      </w:r>
      <w:proofErr w:type="spellStart"/>
      <w:r w:rsidRPr="00CD5222">
        <w:t>organizations</w:t>
      </w:r>
      <w:proofErr w:type="spellEnd"/>
      <w:r w:rsidRPr="00CD5222">
        <w:t xml:space="preserve"> can lead to innovative solutions and best practices. By sharing experiences, resources, and expertise, </w:t>
      </w:r>
      <w:proofErr w:type="spellStart"/>
      <w:r w:rsidRPr="00CD5222">
        <w:t>organizations</w:t>
      </w:r>
      <w:proofErr w:type="spellEnd"/>
      <w:r w:rsidRPr="00CD5222">
        <w:t xml:space="preserve"> can learn from each other's successes and challenges, ultimately improving the quality and effectiveness of civil legal aid services.</w:t>
      </w:r>
      <w:r w:rsidR="0009509B" w:rsidRPr="0009509B">
        <w:t xml:space="preserve"> </w:t>
      </w:r>
    </w:p>
    <w:p w14:paraId="1C5FDEE1" w14:textId="77777777" w:rsidR="0000441A" w:rsidRDefault="0009509B" w:rsidP="00194FA2">
      <w:r w:rsidRPr="0009509B">
        <w:lastRenderedPageBreak/>
        <w:t>Education and Awareness: Increasing public awareness about civil legal aid and its importance in ensuring access to justice is crucial. Educating individuals about their legal rights, the available resources, and the benefits of seeking legal assistance can empower them to assert their rights and seek the support they need. This can be achieved through community outreach programs, public campaigns, and partnerships with educational institutions.</w:t>
      </w:r>
      <w:r w:rsidR="00FA55B7" w:rsidRPr="00FA55B7">
        <w:t xml:space="preserve"> </w:t>
      </w:r>
    </w:p>
    <w:p w14:paraId="1D84DE34" w14:textId="56B5ED5D" w:rsidR="00D725E6" w:rsidRDefault="00FA55B7" w:rsidP="00194FA2">
      <w:r w:rsidRPr="00FA55B7">
        <w:t xml:space="preserve">Policy Reform: Advocating for policy reforms at the government level is essential to address the decline of civil legal aid. By lobbying for legislative changes that </w:t>
      </w:r>
      <w:proofErr w:type="spellStart"/>
      <w:r w:rsidRPr="00FA55B7">
        <w:t>prioritize</w:t>
      </w:r>
      <w:proofErr w:type="spellEnd"/>
      <w:r w:rsidRPr="00FA55B7">
        <w:t xml:space="preserve"> access to justice, reform eligibility criteria, and allocate adequate funding, civil legal aid </w:t>
      </w:r>
      <w:proofErr w:type="spellStart"/>
      <w:r w:rsidRPr="00FA55B7">
        <w:t>organizations</w:t>
      </w:r>
      <w:proofErr w:type="spellEnd"/>
      <w:r w:rsidRPr="00FA55B7">
        <w:t xml:space="preserve"> can create a more supportive and enabling legal environment.</w:t>
      </w:r>
    </w:p>
    <w:p w14:paraId="261BFBF5" w14:textId="77777777" w:rsidR="00194FA2" w:rsidRDefault="00194FA2" w:rsidP="00194FA2">
      <w:r>
        <w:t xml:space="preserve">Furthermore, efforts have been made to expand the scope of civil legal aid services to encompass a wider range of legal issues. </w:t>
      </w:r>
      <w:proofErr w:type="spellStart"/>
      <w:r>
        <w:t>Recognizing</w:t>
      </w:r>
      <w:proofErr w:type="spellEnd"/>
      <w:r>
        <w:t xml:space="preserve"> the evolving needs of society, there have been calls to include areas such as immigration, employment, and consumer rights within the purview of civil legal aid. By expanding the coverage, individuals facing legal challenges in these areas would have access to the necessary legal support and representation. This would not only address the immediate needs of individuals but also contribute to the overall goal of promoting equality and justice within society.</w:t>
      </w:r>
    </w:p>
    <w:p w14:paraId="668E7A49" w14:textId="2EE44984" w:rsidR="00DF6E73" w:rsidRDefault="00194FA2">
      <w:r>
        <w:t>In conclusion, while the decline of civil legal aid in delivering access to justice presents significant challenges, there are measures being taken to address and mitigate these issues. Through advocacy for increased funding, exploring alternative funding models, reviewing and reforming eligibility criteria, and expanding the scope of services, efforts are underway to revive and strengthen civil legal aid. By addressing these challenges, society can strive towards a legal system that truly ensures equal access to justice for all, irrespective of their financial circumstances.</w:t>
      </w:r>
    </w:p>
    <w:p w14:paraId="30D8DFFC" w14:textId="77777777" w:rsidR="005D55F1" w:rsidRDefault="005D55F1"/>
    <w:p w14:paraId="5757EBE7" w14:textId="77777777" w:rsidR="005D55F1" w:rsidRDefault="005D55F1"/>
    <w:p w14:paraId="229C0EDE" w14:textId="77777777" w:rsidR="005D55F1" w:rsidRDefault="005D55F1" w:rsidP="005D55F1">
      <w:r>
        <w:t xml:space="preserve">1. Alston, P., &amp; </w:t>
      </w:r>
      <w:proofErr w:type="spellStart"/>
      <w:r>
        <w:t>Macdonald</w:t>
      </w:r>
      <w:proofErr w:type="spellEnd"/>
      <w:r>
        <w:t>, E. (Eds.). (2012). The future of human rights impact assessments of trade agreements. Cambridge University Press.</w:t>
      </w:r>
    </w:p>
    <w:p w14:paraId="229FB13B" w14:textId="77777777" w:rsidR="005D55F1" w:rsidRDefault="005D55F1" w:rsidP="005D55F1">
      <w:r>
        <w:t xml:space="preserve">2. </w:t>
      </w:r>
      <w:proofErr w:type="spellStart"/>
      <w:r>
        <w:t>Baderin</w:t>
      </w:r>
      <w:proofErr w:type="spellEnd"/>
      <w:r>
        <w:t xml:space="preserve">, M. (Ed.). (2016). International human rights law: Six decades after the UDHR and beyond. </w:t>
      </w:r>
      <w:proofErr w:type="spellStart"/>
      <w:r>
        <w:t>Routledge</w:t>
      </w:r>
      <w:proofErr w:type="spellEnd"/>
      <w:r>
        <w:t>.</w:t>
      </w:r>
    </w:p>
    <w:p w14:paraId="4A1A8578" w14:textId="77777777" w:rsidR="005D55F1" w:rsidRDefault="005D55F1" w:rsidP="005D55F1">
      <w:r>
        <w:t xml:space="preserve">3. </w:t>
      </w:r>
      <w:proofErr w:type="spellStart"/>
      <w:r>
        <w:t>Cavadino</w:t>
      </w:r>
      <w:proofErr w:type="spellEnd"/>
      <w:r>
        <w:t xml:space="preserve">, M., &amp; </w:t>
      </w:r>
      <w:proofErr w:type="spellStart"/>
      <w:r>
        <w:t>Dignan</w:t>
      </w:r>
      <w:proofErr w:type="spellEnd"/>
      <w:r>
        <w:t>, J. (2007). The penal system: An introduction. Sage Publications.</w:t>
      </w:r>
    </w:p>
    <w:p w14:paraId="07E3B723" w14:textId="77777777" w:rsidR="005D55F1" w:rsidRDefault="005D55F1" w:rsidP="005D55F1">
      <w:r>
        <w:t>4. Currie, E. (2012). The global justice reader. Wiley-Blackwell.</w:t>
      </w:r>
    </w:p>
    <w:p w14:paraId="51F416B9" w14:textId="77777777" w:rsidR="005D55F1" w:rsidRDefault="005D55F1" w:rsidP="005D55F1">
      <w:r>
        <w:t>5. Deakin, S., &amp; Morris, G. (2016). Labour law: Text and materials. Oxford University Press.</w:t>
      </w:r>
    </w:p>
    <w:p w14:paraId="014C01FD" w14:textId="0E40406C" w:rsidR="005D55F1" w:rsidRDefault="005D55F1" w:rsidP="005D55F1">
      <w:r>
        <w:lastRenderedPageBreak/>
        <w:t xml:space="preserve">6. Ewing, K. D., &amp; </w:t>
      </w:r>
      <w:proofErr w:type="spellStart"/>
      <w:r>
        <w:t>Gearty</w:t>
      </w:r>
      <w:proofErr w:type="spellEnd"/>
      <w:r>
        <w:t>, C. A. (2014). The struggle for civil liberties: Political freedom and the rule of law in Britain, 1914-1945. Oxford University Press.</w:t>
      </w:r>
    </w:p>
    <w:p w14:paraId="5D25BCF1" w14:textId="77777777" w:rsidR="005D55F1" w:rsidRDefault="005D55F1" w:rsidP="005D55F1">
      <w:r>
        <w:t>7. Goldstein, N. S. (2012). International law: Rights and politics. Westview Press.</w:t>
      </w:r>
    </w:p>
    <w:p w14:paraId="0682BC65" w14:textId="77777777" w:rsidR="005D55F1" w:rsidRDefault="005D55F1" w:rsidP="005D55F1">
      <w:r>
        <w:t>8. Halliday, S., &amp; Schmidt, M. (2012). Human rights brought home: Socio-legal perspectives on human rights in the national context. Hart Publishing.</w:t>
      </w:r>
    </w:p>
    <w:p w14:paraId="7CE10C38" w14:textId="77777777" w:rsidR="005D55F1" w:rsidRDefault="005D55F1" w:rsidP="005D55F1">
      <w:r>
        <w:t>9. Hoffmann, R., &amp; Rowe, J. (Eds.). (2011). Human rights in the UK: An introduction to the Human Rights Act 1998. Pearson Education.</w:t>
      </w:r>
    </w:p>
    <w:p w14:paraId="4433D948" w14:textId="77777777" w:rsidR="005D55F1" w:rsidRDefault="005D55F1" w:rsidP="005D55F1">
      <w:r>
        <w:t xml:space="preserve">10. </w:t>
      </w:r>
      <w:proofErr w:type="spellStart"/>
      <w:r>
        <w:t>Hutter</w:t>
      </w:r>
      <w:proofErr w:type="spellEnd"/>
      <w:r>
        <w:t>, B. M. (2012). Compliance: Regulation and environment. Oxford University Press.</w:t>
      </w:r>
    </w:p>
    <w:p w14:paraId="2E28145B" w14:textId="7449B94D" w:rsidR="005D55F1" w:rsidRDefault="005D55F1" w:rsidP="005D55F1">
      <w:r>
        <w:t>11. Koenig, T. (2014). The Rule of Law: Definition, Measures, Patterns and Causes. Springer.</w:t>
      </w:r>
    </w:p>
    <w:p w14:paraId="205E4127" w14:textId="349F1413" w:rsidR="005D55F1" w:rsidRDefault="005D55F1" w:rsidP="005D55F1">
      <w:r>
        <w:t xml:space="preserve"> 12. Lacey, N., &amp; </w:t>
      </w:r>
      <w:proofErr w:type="spellStart"/>
      <w:r>
        <w:t>Soskice</w:t>
      </w:r>
      <w:proofErr w:type="spellEnd"/>
      <w:r>
        <w:t>, D. (Eds.). (2007). The political economy of the rule of law: Proceedings of the British Academy, Volume 161. Oxford University Press.</w:t>
      </w:r>
    </w:p>
    <w:p w14:paraId="3575BA95" w14:textId="77777777" w:rsidR="005D55F1" w:rsidRDefault="005D55F1" w:rsidP="005D55F1">
      <w:r>
        <w:t>13. Marshall, T. H. (2013). Citizenship and social class. Pluto Press.</w:t>
      </w:r>
    </w:p>
    <w:p w14:paraId="5732183E" w14:textId="77777777" w:rsidR="005D55F1" w:rsidRDefault="005D55F1" w:rsidP="005D55F1">
      <w:r>
        <w:t>14. Mather, L., Maiman, R. J., &amp; Cross, H. (2011). Fundamentals of legal research. Foundation Press.</w:t>
      </w:r>
    </w:p>
    <w:p w14:paraId="5BA95ED7" w14:textId="16680EF7" w:rsidR="005D55F1" w:rsidRDefault="005D55F1">
      <w:r>
        <w:t xml:space="preserve">15. </w:t>
      </w:r>
      <w:proofErr w:type="spellStart"/>
      <w:r>
        <w:t>Trubek</w:t>
      </w:r>
      <w:proofErr w:type="spellEnd"/>
      <w:r>
        <w:t xml:space="preserve">, D. M., &amp; </w:t>
      </w:r>
      <w:proofErr w:type="spellStart"/>
      <w:r>
        <w:t>Galanter</w:t>
      </w:r>
      <w:proofErr w:type="spellEnd"/>
      <w:r>
        <w:t>, M. (2012). Scholars in self-estrangement: Some reflections on the crisis in law and development studies in the United States. Wisconsin Law Review, 1067-1091</w:t>
      </w:r>
    </w:p>
    <w:sectPr w:rsidR="005D55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3ED"/>
    <w:rsid w:val="0000441A"/>
    <w:rsid w:val="0009509B"/>
    <w:rsid w:val="000A0345"/>
    <w:rsid w:val="00134D9F"/>
    <w:rsid w:val="00147787"/>
    <w:rsid w:val="00194FA2"/>
    <w:rsid w:val="004B7411"/>
    <w:rsid w:val="005D55F1"/>
    <w:rsid w:val="00A6348B"/>
    <w:rsid w:val="00B55717"/>
    <w:rsid w:val="00CD5222"/>
    <w:rsid w:val="00D725E6"/>
    <w:rsid w:val="00DF6E73"/>
    <w:rsid w:val="00F643ED"/>
    <w:rsid w:val="00FA5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EBA3E3"/>
  <w15:chartTrackingRefBased/>
  <w15:docId w15:val="{A6754AF3-9525-E143-9807-C70754E5E9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3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3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3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3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3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3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3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3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3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3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3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3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3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3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3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3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3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3ED"/>
    <w:rPr>
      <w:rFonts w:eastAsiaTheme="majorEastAsia" w:cstheme="majorBidi"/>
      <w:color w:val="272727" w:themeColor="text1" w:themeTint="D8"/>
    </w:rPr>
  </w:style>
  <w:style w:type="paragraph" w:styleId="Title">
    <w:name w:val="Title"/>
    <w:basedOn w:val="Normal"/>
    <w:next w:val="Normal"/>
    <w:link w:val="TitleChar"/>
    <w:uiPriority w:val="10"/>
    <w:qFormat/>
    <w:rsid w:val="00F643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3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3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3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3ED"/>
    <w:pPr>
      <w:spacing w:before="160"/>
      <w:jc w:val="center"/>
    </w:pPr>
    <w:rPr>
      <w:i/>
      <w:iCs/>
      <w:color w:val="404040" w:themeColor="text1" w:themeTint="BF"/>
    </w:rPr>
  </w:style>
  <w:style w:type="character" w:customStyle="1" w:styleId="QuoteChar">
    <w:name w:val="Quote Char"/>
    <w:basedOn w:val="DefaultParagraphFont"/>
    <w:link w:val="Quote"/>
    <w:uiPriority w:val="29"/>
    <w:rsid w:val="00F643ED"/>
    <w:rPr>
      <w:i/>
      <w:iCs/>
      <w:color w:val="404040" w:themeColor="text1" w:themeTint="BF"/>
    </w:rPr>
  </w:style>
  <w:style w:type="paragraph" w:styleId="ListParagraph">
    <w:name w:val="List Paragraph"/>
    <w:basedOn w:val="Normal"/>
    <w:uiPriority w:val="34"/>
    <w:qFormat/>
    <w:rsid w:val="00F643ED"/>
    <w:pPr>
      <w:ind w:left="720"/>
      <w:contextualSpacing/>
    </w:pPr>
  </w:style>
  <w:style w:type="character" w:styleId="IntenseEmphasis">
    <w:name w:val="Intense Emphasis"/>
    <w:basedOn w:val="DefaultParagraphFont"/>
    <w:uiPriority w:val="21"/>
    <w:qFormat/>
    <w:rsid w:val="00F643ED"/>
    <w:rPr>
      <w:i/>
      <w:iCs/>
      <w:color w:val="0F4761" w:themeColor="accent1" w:themeShade="BF"/>
    </w:rPr>
  </w:style>
  <w:style w:type="paragraph" w:styleId="IntenseQuote">
    <w:name w:val="Intense Quote"/>
    <w:basedOn w:val="Normal"/>
    <w:next w:val="Normal"/>
    <w:link w:val="IntenseQuoteChar"/>
    <w:uiPriority w:val="30"/>
    <w:qFormat/>
    <w:rsid w:val="00F643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3ED"/>
    <w:rPr>
      <w:i/>
      <w:iCs/>
      <w:color w:val="0F4761" w:themeColor="accent1" w:themeShade="BF"/>
    </w:rPr>
  </w:style>
  <w:style w:type="character" w:styleId="IntenseReference">
    <w:name w:val="Intense Reference"/>
    <w:basedOn w:val="DefaultParagraphFont"/>
    <w:uiPriority w:val="32"/>
    <w:qFormat/>
    <w:rsid w:val="00F643E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TotalTime>
  <Pages>6</Pages>
  <Words>1801</Words>
  <Characters>10268</Characters>
  <Application>Microsoft Office Word</Application>
  <DocSecurity>0</DocSecurity>
  <Lines>85</Lines>
  <Paragraphs>24</Paragraphs>
  <ScaleCrop>false</ScaleCrop>
  <Company/>
  <LinksUpToDate>false</LinksUpToDate>
  <CharactersWithSpaces>12045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Golina (2210589)</dc:creator>
  <cp:keywords/>
  <dc:description/>
  <cp:lastModifiedBy>Damian Golina (2210589)</cp:lastModifiedBy>
  <cp:revision>12</cp:revision>
  <dcterms:created xsi:type="dcterms:W3CDTF">2024-05-03T20:08:00Z</dcterms:created>
  <dcterms:modified xsi:type="dcterms:W3CDTF">2024-05-03T20:18:00Z</dcterms:modified>
</cp:coreProperties>
</file>