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7E1888EF" w14:textId="77777777" w:rsidR="008375B5" w:rsidRPr="00FC6810" w:rsidRDefault="008375B5" w:rsidP="00FC6810">
      <w:pPr>
        <w:spacing w:line="360" w:lineRule="auto"/>
        <w:rPr>
          <w:rStyle w:val="Strong"/>
          <w:rFonts w:ascii="Arial" w:hAnsi="Arial" w:cs="Arial"/>
          <w:color w:val="1D2125"/>
          <w:sz w:val="22"/>
          <w:szCs w:val="22"/>
        </w:rPr>
      </w:pPr>
      <w:r w:rsidRPr="00FC6810">
        <w:rPr>
          <w:rStyle w:val="Strong"/>
          <w:rFonts w:ascii="Arial" w:hAnsi="Arial" w:cs="Arial"/>
          <w:color w:val="1D2125"/>
          <w:sz w:val="22"/>
          <w:szCs w:val="22"/>
        </w:rPr>
        <w:t>Digital Transformation in the Health and Care Professions (BMHP6026)</w:t>
      </w:r>
    </w:p>
    <w:p w14:paraId="0E4A258C" w14:textId="6A642F35" w:rsidR="008375B5" w:rsidRPr="001D1F3C" w:rsidRDefault="00407594" w:rsidP="00AE266B">
      <w:pPr>
        <w:spacing w:line="360" w:lineRule="auto"/>
        <w:rPr>
          <w:rStyle w:val="Strong"/>
          <w:rFonts w:ascii="Arial" w:hAnsi="Arial" w:cs="Arial"/>
          <w:color w:val="1D2125"/>
          <w:sz w:val="22"/>
          <w:szCs w:val="22"/>
        </w:rPr>
      </w:pPr>
      <w:r w:rsidRPr="00FC6810">
        <w:rPr>
          <w:rStyle w:val="Strong"/>
          <w:rFonts w:ascii="Arial" w:hAnsi="Arial" w:cs="Arial"/>
          <w:color w:val="1D2125"/>
          <w:sz w:val="22"/>
          <w:szCs w:val="22"/>
        </w:rPr>
        <w:t xml:space="preserve">          </w:t>
      </w:r>
      <w:r w:rsidR="00781A2C" w:rsidRPr="00FC6810">
        <w:rPr>
          <w:rStyle w:val="Strong"/>
          <w:rFonts w:ascii="Arial" w:hAnsi="Arial" w:cs="Arial"/>
          <w:color w:val="1D2125"/>
          <w:sz w:val="22"/>
          <w:szCs w:val="22"/>
        </w:rPr>
        <w:t>T</w:t>
      </w:r>
      <w:r w:rsidR="00C50D84" w:rsidRPr="00FC6810">
        <w:rPr>
          <w:rStyle w:val="Strong"/>
          <w:rFonts w:ascii="Arial" w:hAnsi="Arial" w:cs="Arial"/>
          <w:color w:val="1D2125"/>
          <w:sz w:val="22"/>
          <w:szCs w:val="22"/>
        </w:rPr>
        <w:t xml:space="preserve">opic: </w:t>
      </w:r>
      <w:r w:rsidR="001D1F3C" w:rsidRPr="001D1F3C">
        <w:rPr>
          <w:rFonts w:ascii="Arial" w:eastAsia="Times New Roman" w:hAnsi="Arial" w:cs="Arial"/>
          <w:b/>
          <w:bCs/>
          <w:kern w:val="36"/>
          <w:sz w:val="22"/>
          <w:szCs w:val="22"/>
          <w:lang w:eastAsia="en-GB"/>
        </w:rPr>
        <w:t>Genomic Sequencing in UK Health and Social Care</w:t>
      </w:r>
    </w:p>
    <w:p w14:paraId="03B7C5EA" w14:textId="4C872E73" w:rsidR="008375B5" w:rsidRPr="00FC6810" w:rsidRDefault="000F7094" w:rsidP="008375B5">
      <w:pPr>
        <w:spacing w:line="360" w:lineRule="auto"/>
        <w:rPr>
          <w:rStyle w:val="Strong"/>
          <w:rFonts w:ascii="Arial" w:hAnsi="Arial" w:cs="Arial"/>
          <w:b w:val="0"/>
          <w:bCs w:val="0"/>
          <w:color w:val="1D2125"/>
          <w:sz w:val="22"/>
          <w:szCs w:val="22"/>
        </w:rPr>
      </w:pPr>
      <w:r w:rsidRPr="00FC6810">
        <w:rPr>
          <w:rStyle w:val="Strong"/>
          <w:rFonts w:ascii="Arial" w:hAnsi="Arial" w:cs="Arial"/>
          <w:color w:val="1D2125"/>
          <w:sz w:val="22"/>
          <w:szCs w:val="22"/>
        </w:rPr>
        <w:t xml:space="preserve">        </w:t>
      </w:r>
      <w:r w:rsidR="00AE266B" w:rsidRPr="00FC6810">
        <w:rPr>
          <w:rStyle w:val="Strong"/>
          <w:rFonts w:ascii="Arial" w:hAnsi="Arial" w:cs="Arial"/>
          <w:color w:val="1D2125"/>
          <w:sz w:val="22"/>
          <w:szCs w:val="22"/>
        </w:rPr>
        <w:t xml:space="preserve"> </w:t>
      </w:r>
      <w:r w:rsidRPr="00FC6810">
        <w:rPr>
          <w:rStyle w:val="Strong"/>
          <w:rFonts w:ascii="Arial" w:hAnsi="Arial" w:cs="Arial"/>
          <w:color w:val="1D2125"/>
          <w:sz w:val="22"/>
          <w:szCs w:val="22"/>
        </w:rPr>
        <w:t xml:space="preserve"> </w:t>
      </w:r>
      <w:r w:rsidR="008375B5" w:rsidRPr="00FC6810">
        <w:rPr>
          <w:rFonts w:ascii="Arial" w:hAnsi="Arial" w:cs="Arial"/>
          <w:b/>
          <w:bCs/>
          <w:color w:val="000000"/>
          <w:sz w:val="22"/>
          <w:szCs w:val="22"/>
        </w:rPr>
        <w:t>Component 1: Written Report</w:t>
      </w:r>
    </w:p>
    <w:p w14:paraId="3C3042AD" w14:textId="06795238" w:rsidR="008375B5" w:rsidRPr="00FC6810" w:rsidRDefault="005A15CE" w:rsidP="008375B5">
      <w:pPr>
        <w:spacing w:line="360" w:lineRule="auto"/>
        <w:rPr>
          <w:rStyle w:val="Strong"/>
          <w:rFonts w:ascii="Arial" w:hAnsi="Arial" w:cs="Arial"/>
          <w:color w:val="1D2125"/>
          <w:sz w:val="22"/>
          <w:szCs w:val="22"/>
        </w:rPr>
      </w:pPr>
      <w:r w:rsidRPr="00FC6810">
        <w:rPr>
          <w:rStyle w:val="Strong"/>
          <w:rFonts w:ascii="Arial" w:hAnsi="Arial" w:cs="Arial"/>
          <w:color w:val="1D2125"/>
          <w:sz w:val="22"/>
          <w:szCs w:val="22"/>
        </w:rPr>
        <w:t xml:space="preserve">           </w:t>
      </w:r>
      <w:r w:rsidR="008375B5" w:rsidRPr="00FC6810">
        <w:rPr>
          <w:rStyle w:val="Strong"/>
          <w:rFonts w:ascii="Arial" w:hAnsi="Arial" w:cs="Arial"/>
          <w:color w:val="1D2125"/>
          <w:sz w:val="22"/>
          <w:szCs w:val="22"/>
        </w:rPr>
        <w:t>Student name:</w:t>
      </w:r>
      <w:r w:rsidR="00F37D85" w:rsidRPr="00FC6810">
        <w:rPr>
          <w:rStyle w:val="Strong"/>
          <w:rFonts w:ascii="Arial" w:hAnsi="Arial" w:cs="Arial"/>
          <w:color w:val="1D2125"/>
          <w:sz w:val="22"/>
          <w:szCs w:val="22"/>
        </w:rPr>
        <w:t xml:space="preserve"> Florence Mirembe</w:t>
      </w:r>
    </w:p>
    <w:p w14:paraId="227AC82E" w14:textId="44688C85" w:rsidR="008375B5" w:rsidRPr="00FC6810" w:rsidRDefault="005A15CE" w:rsidP="008375B5">
      <w:pPr>
        <w:spacing w:line="360" w:lineRule="auto"/>
        <w:rPr>
          <w:rStyle w:val="Strong"/>
          <w:rFonts w:ascii="Arial" w:hAnsi="Arial" w:cs="Arial"/>
          <w:color w:val="1D2125"/>
          <w:sz w:val="22"/>
          <w:szCs w:val="22"/>
        </w:rPr>
      </w:pPr>
      <w:r w:rsidRPr="00FC6810">
        <w:rPr>
          <w:rStyle w:val="Strong"/>
          <w:rFonts w:ascii="Arial" w:hAnsi="Arial" w:cs="Arial"/>
          <w:color w:val="1D2125"/>
          <w:sz w:val="22"/>
          <w:szCs w:val="22"/>
        </w:rPr>
        <w:t xml:space="preserve">           </w:t>
      </w:r>
      <w:r w:rsidR="008375B5" w:rsidRPr="00FC6810">
        <w:rPr>
          <w:rStyle w:val="Strong"/>
          <w:rFonts w:ascii="Arial" w:hAnsi="Arial" w:cs="Arial"/>
          <w:color w:val="1D2125"/>
          <w:sz w:val="22"/>
          <w:szCs w:val="22"/>
        </w:rPr>
        <w:t>Student number:</w:t>
      </w:r>
      <w:r w:rsidR="00F37D85" w:rsidRPr="00FC6810">
        <w:rPr>
          <w:rStyle w:val="Strong"/>
          <w:rFonts w:ascii="Arial" w:hAnsi="Arial" w:cs="Arial"/>
          <w:color w:val="1D2125"/>
          <w:sz w:val="22"/>
          <w:szCs w:val="22"/>
        </w:rPr>
        <w:t xml:space="preserve"> </w:t>
      </w:r>
      <w:r w:rsidR="00587BD2" w:rsidRPr="00FC6810">
        <w:rPr>
          <w:rStyle w:val="Strong"/>
          <w:rFonts w:ascii="Arial" w:hAnsi="Arial" w:cs="Arial"/>
          <w:color w:val="1D2125"/>
          <w:sz w:val="22"/>
          <w:szCs w:val="22"/>
        </w:rPr>
        <w:t>2313074</w:t>
      </w:r>
    </w:p>
    <w:p w14:paraId="5B5E64AD" w14:textId="271B92DD" w:rsidR="008375B5" w:rsidRPr="00FC6810" w:rsidRDefault="005A15CE" w:rsidP="008375B5">
      <w:pPr>
        <w:spacing w:line="360" w:lineRule="auto"/>
        <w:rPr>
          <w:rStyle w:val="Strong"/>
          <w:rFonts w:ascii="Arial" w:hAnsi="Arial" w:cs="Arial"/>
          <w:color w:val="1D2125"/>
          <w:sz w:val="22"/>
          <w:szCs w:val="22"/>
        </w:rPr>
      </w:pPr>
      <w:r w:rsidRPr="00FC6810">
        <w:rPr>
          <w:rStyle w:val="Strong"/>
          <w:rFonts w:ascii="Arial" w:hAnsi="Arial" w:cs="Arial"/>
          <w:color w:val="1D2125"/>
          <w:sz w:val="22"/>
          <w:szCs w:val="22"/>
        </w:rPr>
        <w:t xml:space="preserve">           </w:t>
      </w:r>
      <w:r w:rsidR="008375B5" w:rsidRPr="00FC6810">
        <w:rPr>
          <w:rStyle w:val="Strong"/>
          <w:rFonts w:ascii="Arial" w:hAnsi="Arial" w:cs="Arial"/>
          <w:color w:val="1D2125"/>
          <w:sz w:val="22"/>
          <w:szCs w:val="22"/>
        </w:rPr>
        <w:t>Lecturer’s name:</w:t>
      </w:r>
      <w:r w:rsidR="00587BD2" w:rsidRPr="00FC6810">
        <w:rPr>
          <w:rStyle w:val="Strong"/>
          <w:rFonts w:ascii="Arial" w:hAnsi="Arial" w:cs="Arial"/>
          <w:color w:val="1D2125"/>
          <w:sz w:val="22"/>
          <w:szCs w:val="22"/>
        </w:rPr>
        <w:t xml:space="preserve"> Shepherd </w:t>
      </w:r>
      <w:r w:rsidR="008014D8" w:rsidRPr="00FC6810">
        <w:rPr>
          <w:rStyle w:val="Strong"/>
          <w:rFonts w:ascii="Arial" w:hAnsi="Arial" w:cs="Arial"/>
          <w:color w:val="1D2125"/>
          <w:sz w:val="22"/>
          <w:szCs w:val="22"/>
        </w:rPr>
        <w:t>Ziko</w:t>
      </w:r>
    </w:p>
    <w:p w14:paraId="2940BF73" w14:textId="77777777" w:rsidR="00525114" w:rsidRDefault="00525114" w:rsidP="008375B5">
      <w:pPr>
        <w:spacing w:line="360" w:lineRule="auto"/>
        <w:rPr>
          <w:rStyle w:val="Strong"/>
          <w:rFonts w:ascii="Arial" w:hAnsi="Arial" w:cs="Arial"/>
          <w:color w:val="1D2125"/>
          <w:sz w:val="32"/>
          <w:szCs w:val="32"/>
        </w:rPr>
      </w:pPr>
    </w:p>
    <w:p w14:paraId="4ADB7EA9" w14:textId="5FF50F38" w:rsidR="008907C0" w:rsidRPr="00525114" w:rsidRDefault="004A20C5" w:rsidP="008375B5">
      <w:pPr>
        <w:spacing w:line="360" w:lineRule="auto"/>
        <w:rPr>
          <w:rStyle w:val="Strong"/>
          <w:rFonts w:ascii="Arial" w:hAnsi="Arial" w:cs="Arial"/>
          <w:color w:val="1D2125"/>
          <w:sz w:val="22"/>
          <w:szCs w:val="22"/>
        </w:rPr>
      </w:pPr>
      <w:r w:rsidRPr="00525114">
        <w:rPr>
          <w:rFonts w:ascii="Arial" w:hAnsi="Arial" w:cs="Arial"/>
          <w:b/>
          <w:bCs/>
          <w:color w:val="1D2125"/>
          <w:sz w:val="22"/>
          <w:szCs w:val="22"/>
        </w:rPr>
        <w:t>Use of AI Acknowledgement</w:t>
      </w:r>
    </w:p>
    <w:p w14:paraId="003E1233" w14:textId="796F73F9" w:rsidR="00294214" w:rsidRDefault="006342CC" w:rsidP="004D0560">
      <w:pPr>
        <w:spacing w:line="360" w:lineRule="auto"/>
        <w:jc w:val="both"/>
        <w:rPr>
          <w:rFonts w:ascii="Arial" w:hAnsi="Arial" w:cs="Arial"/>
          <w:color w:val="1D2125"/>
          <w:sz w:val="22"/>
          <w:szCs w:val="22"/>
          <w:lang w:val="en-US"/>
        </w:rPr>
      </w:pPr>
      <w:r w:rsidRPr="006342CC">
        <w:rPr>
          <w:rFonts w:ascii="Arial" w:hAnsi="Arial" w:cs="Arial"/>
          <w:color w:val="1D2125"/>
          <w:sz w:val="22"/>
          <w:szCs w:val="22"/>
          <w:lang w:val="en-US"/>
        </w:rPr>
        <w:t xml:space="preserve">I certify that this project was neither developed </w:t>
      </w:r>
      <w:r w:rsidR="00525114" w:rsidRPr="006342CC">
        <w:rPr>
          <w:rFonts w:ascii="Arial" w:hAnsi="Arial" w:cs="Arial"/>
          <w:color w:val="1D2125"/>
          <w:sz w:val="22"/>
          <w:szCs w:val="22"/>
          <w:lang w:val="en-US"/>
        </w:rPr>
        <w:t>nor</w:t>
      </w:r>
      <w:r w:rsidRPr="006342CC">
        <w:rPr>
          <w:rFonts w:ascii="Arial" w:hAnsi="Arial" w:cs="Arial"/>
          <w:color w:val="1D2125"/>
          <w:sz w:val="22"/>
          <w:szCs w:val="22"/>
          <w:lang w:val="en-US"/>
        </w:rPr>
        <w:t xml:space="preserve"> researched using artificial intelligence.</w:t>
      </w:r>
      <w:r w:rsidR="00294214" w:rsidRPr="00294214">
        <w:t xml:space="preserve"> </w:t>
      </w:r>
      <w:r w:rsidR="00294214" w:rsidRPr="00294214">
        <w:rPr>
          <w:rFonts w:ascii="Arial" w:hAnsi="Arial" w:cs="Arial"/>
          <w:color w:val="1D2125"/>
          <w:sz w:val="22"/>
          <w:szCs w:val="22"/>
          <w:lang w:val="en-US"/>
        </w:rPr>
        <w:t>I certify that I am not the proprietor of any work created by computer programs. Copies of the notes, drafts, and other documents I utili</w:t>
      </w:r>
      <w:r w:rsidR="00805DD7">
        <w:rPr>
          <w:rFonts w:ascii="Arial" w:hAnsi="Arial" w:cs="Arial"/>
          <w:color w:val="1D2125"/>
          <w:sz w:val="22"/>
          <w:szCs w:val="22"/>
          <w:lang w:val="en-US"/>
        </w:rPr>
        <w:t>s</w:t>
      </w:r>
      <w:r w:rsidR="00294214" w:rsidRPr="00294214">
        <w:rPr>
          <w:rFonts w:ascii="Arial" w:hAnsi="Arial" w:cs="Arial"/>
          <w:color w:val="1D2125"/>
          <w:sz w:val="22"/>
          <w:szCs w:val="22"/>
          <w:lang w:val="en-US"/>
        </w:rPr>
        <w:t>ed as evidence could need to be presented.</w:t>
      </w:r>
    </w:p>
    <w:p w14:paraId="67E35067" w14:textId="77777777" w:rsidR="00294214" w:rsidRDefault="00294214" w:rsidP="004D0560">
      <w:pPr>
        <w:spacing w:line="360" w:lineRule="auto"/>
        <w:jc w:val="both"/>
        <w:rPr>
          <w:rFonts w:ascii="Arial" w:hAnsi="Arial" w:cs="Arial"/>
          <w:color w:val="1D2125"/>
          <w:sz w:val="22"/>
          <w:szCs w:val="22"/>
          <w:lang w:val="en-US"/>
        </w:rPr>
      </w:pPr>
    </w:p>
    <w:p w14:paraId="3D550CC6" w14:textId="77777777" w:rsidR="00294214" w:rsidRDefault="00294214" w:rsidP="004D0560">
      <w:pPr>
        <w:spacing w:line="360" w:lineRule="auto"/>
        <w:jc w:val="both"/>
        <w:rPr>
          <w:rFonts w:ascii="Arial" w:hAnsi="Arial" w:cs="Arial"/>
          <w:color w:val="1D2125"/>
          <w:sz w:val="22"/>
          <w:szCs w:val="22"/>
          <w:lang w:val="en-US"/>
        </w:rPr>
      </w:pPr>
    </w:p>
    <w:p w14:paraId="5E13BA96" w14:textId="77777777" w:rsidR="008375B5" w:rsidRDefault="008375B5" w:rsidP="008375B5">
      <w:pPr>
        <w:spacing w:line="360" w:lineRule="auto"/>
        <w:rPr>
          <w:rFonts w:ascii="Arial" w:hAnsi="Arial" w:cs="Arial"/>
          <w:sz w:val="36"/>
          <w:szCs w:val="36"/>
        </w:rPr>
      </w:pPr>
    </w:p>
    <w:p w14:paraId="29FB05F1" w14:textId="77777777" w:rsidR="000D64AE" w:rsidRDefault="000D64AE" w:rsidP="008375B5">
      <w:pPr>
        <w:spacing w:line="360" w:lineRule="auto"/>
        <w:rPr>
          <w:rFonts w:ascii="Arial" w:hAnsi="Arial" w:cs="Arial"/>
          <w:sz w:val="36"/>
          <w:szCs w:val="36"/>
        </w:rPr>
      </w:pPr>
    </w:p>
    <w:p w14:paraId="420750A4" w14:textId="77777777" w:rsidR="000D64AE" w:rsidRDefault="000D64AE" w:rsidP="008375B5">
      <w:pPr>
        <w:spacing w:line="360" w:lineRule="auto"/>
        <w:rPr>
          <w:rFonts w:ascii="Arial" w:hAnsi="Arial" w:cs="Arial"/>
          <w:sz w:val="36"/>
          <w:szCs w:val="36"/>
        </w:rPr>
      </w:pPr>
    </w:p>
    <w:p w14:paraId="745DBBC8" w14:textId="77777777" w:rsidR="000D64AE" w:rsidRDefault="000D64AE" w:rsidP="008375B5">
      <w:pPr>
        <w:spacing w:line="360" w:lineRule="auto"/>
        <w:rPr>
          <w:rFonts w:ascii="Arial" w:hAnsi="Arial" w:cs="Arial"/>
          <w:sz w:val="36"/>
          <w:szCs w:val="36"/>
        </w:rPr>
      </w:pPr>
    </w:p>
    <w:p w14:paraId="6DA012EE" w14:textId="77777777" w:rsidR="000D64AE" w:rsidRDefault="000D64AE" w:rsidP="008375B5">
      <w:pPr>
        <w:spacing w:line="360" w:lineRule="auto"/>
        <w:rPr>
          <w:rFonts w:ascii="Arial" w:hAnsi="Arial" w:cs="Arial"/>
          <w:sz w:val="36"/>
          <w:szCs w:val="36"/>
        </w:rPr>
      </w:pPr>
    </w:p>
    <w:p w14:paraId="5F0066EA" w14:textId="77777777" w:rsidR="00501220" w:rsidRPr="00501220" w:rsidRDefault="00501220" w:rsidP="00501220"/>
    <w:sdt>
      <w:sdtPr>
        <w:rPr>
          <w:rFonts w:ascii="Aptos" w:eastAsia="Aptos" w:hAnsi="Aptos" w:cs="Times New Roman"/>
          <w:color w:val="auto"/>
          <w:kern w:val="2"/>
          <w:sz w:val="24"/>
          <w:szCs w:val="24"/>
          <w:lang w:val="en-GB"/>
        </w:rPr>
        <w:id w:val="40484203"/>
        <w:docPartObj>
          <w:docPartGallery w:val="Table of Contents"/>
          <w:docPartUnique/>
        </w:docPartObj>
      </w:sdtPr>
      <w:sdtEndPr>
        <w:rPr>
          <w:b/>
          <w:bCs/>
          <w:noProof/>
        </w:rPr>
      </w:sdtEndPr>
      <w:sdtContent>
        <w:p w14:paraId="38485942" w14:textId="290A0A2A" w:rsidR="00F85433" w:rsidRDefault="00F85433">
          <w:pPr>
            <w:pStyle w:val="TOCHeading"/>
          </w:pPr>
          <w:r>
            <w:t>Contents</w:t>
          </w:r>
        </w:p>
        <w:p w14:paraId="32D57C3D" w14:textId="552BB479"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r>
            <w:fldChar w:fldCharType="begin"/>
          </w:r>
          <w:r>
            <w:instrText xml:space="preserve"> TOC \o "1-3" \h \z \u </w:instrText>
          </w:r>
          <w:r>
            <w:fldChar w:fldCharType="separate"/>
          </w:r>
          <w:hyperlink w:anchor="_Toc213071911" w:history="1">
            <w:r w:rsidRPr="00375AB3">
              <w:rPr>
                <w:rStyle w:val="Hyperlink"/>
                <w:rFonts w:ascii="Arial" w:hAnsi="Arial" w:cs="Arial"/>
                <w:noProof/>
                <w:sz w:val="22"/>
                <w:szCs w:val="22"/>
                <w:lang w:eastAsia="en-GB"/>
              </w:rPr>
              <w:t>Introduction</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_Toc213071911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3</w:t>
            </w:r>
            <w:r w:rsidRPr="00375AB3">
              <w:rPr>
                <w:rFonts w:ascii="Arial" w:hAnsi="Arial" w:cs="Arial"/>
                <w:noProof/>
                <w:webHidden/>
                <w:sz w:val="22"/>
                <w:szCs w:val="22"/>
              </w:rPr>
              <w:fldChar w:fldCharType="end"/>
            </w:r>
          </w:hyperlink>
        </w:p>
        <w:p w14:paraId="430C0F9E" w14:textId="7E13C494"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2" w:history="1">
            <w:r w:rsidRPr="00375AB3">
              <w:rPr>
                <w:rStyle w:val="Hyperlink"/>
                <w:rFonts w:ascii="Arial" w:hAnsi="Arial" w:cs="Arial"/>
                <w:noProof/>
                <w:sz w:val="22"/>
                <w:szCs w:val="22"/>
                <w:lang w:eastAsia="en-GB"/>
              </w:rPr>
              <w:t>The Technology: Genomic Sequencing</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_Toc213071912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3</w:t>
            </w:r>
            <w:r w:rsidRPr="00375AB3">
              <w:rPr>
                <w:rFonts w:ascii="Arial" w:hAnsi="Arial" w:cs="Arial"/>
                <w:noProof/>
                <w:webHidden/>
                <w:sz w:val="22"/>
                <w:szCs w:val="22"/>
              </w:rPr>
              <w:fldChar w:fldCharType="end"/>
            </w:r>
          </w:hyperlink>
        </w:p>
        <w:p w14:paraId="40C009F9" w14:textId="01CECE2F"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3" w:history="1">
            <w:r w:rsidRPr="00375AB3">
              <w:rPr>
                <w:rStyle w:val="Hyperlink"/>
                <w:rFonts w:ascii="Arial" w:hAnsi="Arial" w:cs="Arial"/>
                <w:noProof/>
                <w:sz w:val="22"/>
                <w:szCs w:val="22"/>
                <w:lang w:eastAsia="en-GB"/>
              </w:rPr>
              <w:t>Impact on Workforce: Positive Outcome</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_Toc213071913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4</w:t>
            </w:r>
            <w:r w:rsidRPr="00375AB3">
              <w:rPr>
                <w:rFonts w:ascii="Arial" w:hAnsi="Arial" w:cs="Arial"/>
                <w:noProof/>
                <w:webHidden/>
                <w:sz w:val="22"/>
                <w:szCs w:val="22"/>
              </w:rPr>
              <w:fldChar w:fldCharType="end"/>
            </w:r>
          </w:hyperlink>
        </w:p>
        <w:p w14:paraId="224B6CAD" w14:textId="2D78BA0F"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4" w:history="1">
            <w:r w:rsidRPr="00375AB3">
              <w:rPr>
                <w:rStyle w:val="Hyperlink"/>
                <w:rFonts w:ascii="Arial" w:hAnsi="Arial" w:cs="Arial"/>
                <w:noProof/>
                <w:sz w:val="22"/>
                <w:szCs w:val="22"/>
                <w:lang w:eastAsia="en-GB"/>
              </w:rPr>
              <w:t>Impact on Workforce: Negative Outcomes and Critical Challenges</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_Toc213071914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4</w:t>
            </w:r>
            <w:r w:rsidRPr="00375AB3">
              <w:rPr>
                <w:rFonts w:ascii="Arial" w:hAnsi="Arial" w:cs="Arial"/>
                <w:noProof/>
                <w:webHidden/>
                <w:sz w:val="22"/>
                <w:szCs w:val="22"/>
              </w:rPr>
              <w:fldChar w:fldCharType="end"/>
            </w:r>
          </w:hyperlink>
        </w:p>
        <w:p w14:paraId="4294ECCF" w14:textId="46499FDE"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5" w:history="1">
            <w:r w:rsidRPr="00375AB3">
              <w:rPr>
                <w:rStyle w:val="Hyperlink"/>
                <w:rFonts w:ascii="Arial" w:hAnsi="Arial" w:cs="Arial"/>
                <w:noProof/>
                <w:sz w:val="22"/>
                <w:szCs w:val="22"/>
                <w:lang w:eastAsia="en-GB"/>
              </w:rPr>
              <w:t>Impact on Service Delivery: Before and After Genomic Sequencing</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_Toc213071915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5</w:t>
            </w:r>
            <w:r w:rsidRPr="00375AB3">
              <w:rPr>
                <w:rFonts w:ascii="Arial" w:hAnsi="Arial" w:cs="Arial"/>
                <w:noProof/>
                <w:webHidden/>
                <w:sz w:val="22"/>
                <w:szCs w:val="22"/>
              </w:rPr>
              <w:fldChar w:fldCharType="end"/>
            </w:r>
          </w:hyperlink>
        </w:p>
        <w:p w14:paraId="664D915F" w14:textId="7F937DEC"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6" w:history="1">
            <w:r w:rsidRPr="00375AB3">
              <w:rPr>
                <w:rStyle w:val="Hyperlink"/>
                <w:rFonts w:ascii="Arial" w:hAnsi="Arial" w:cs="Arial"/>
                <w:noProof/>
                <w:sz w:val="22"/>
                <w:szCs w:val="22"/>
                <w:lang w:eastAsia="en-GB"/>
              </w:rPr>
              <w:t>Impact on Patient: Experience Perception</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_Toc213071916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6</w:t>
            </w:r>
            <w:r w:rsidRPr="00375AB3">
              <w:rPr>
                <w:rFonts w:ascii="Arial" w:hAnsi="Arial" w:cs="Arial"/>
                <w:noProof/>
                <w:webHidden/>
                <w:sz w:val="22"/>
                <w:szCs w:val="22"/>
              </w:rPr>
              <w:fldChar w:fldCharType="end"/>
            </w:r>
          </w:hyperlink>
        </w:p>
        <w:p w14:paraId="48CED0FD" w14:textId="7A05BE2C"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7" w:history="1">
            <w:r w:rsidRPr="00375AB3">
              <w:rPr>
                <w:rStyle w:val="Hyperlink"/>
                <w:rFonts w:ascii="Arial" w:hAnsi="Arial" w:cs="Arial"/>
                <w:noProof/>
                <w:sz w:val="22"/>
                <w:szCs w:val="22"/>
                <w:lang w:eastAsia="en-GB"/>
              </w:rPr>
              <w:t>Impact on Communities: Benefits, Challenges, and Inequalities</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_Toc213071917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7</w:t>
            </w:r>
            <w:r w:rsidRPr="00375AB3">
              <w:rPr>
                <w:rFonts w:ascii="Arial" w:hAnsi="Arial" w:cs="Arial"/>
                <w:noProof/>
                <w:webHidden/>
                <w:sz w:val="22"/>
                <w:szCs w:val="22"/>
              </w:rPr>
              <w:fldChar w:fldCharType="end"/>
            </w:r>
          </w:hyperlink>
        </w:p>
        <w:p w14:paraId="41344DD5" w14:textId="289B7CFA"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8" w:history="1">
            <w:r w:rsidRPr="00375AB3">
              <w:rPr>
                <w:rStyle w:val="Hyperlink"/>
                <w:rFonts w:ascii="Arial" w:hAnsi="Arial" w:cs="Arial"/>
                <w:noProof/>
                <w:sz w:val="22"/>
                <w:szCs w:val="22"/>
                <w:lang w:eastAsia="en-GB"/>
              </w:rPr>
              <w:t>Conclusion</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_Toc213071918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8</w:t>
            </w:r>
            <w:r w:rsidRPr="00375AB3">
              <w:rPr>
                <w:rFonts w:ascii="Arial" w:hAnsi="Arial" w:cs="Arial"/>
                <w:noProof/>
                <w:webHidden/>
                <w:sz w:val="22"/>
                <w:szCs w:val="22"/>
              </w:rPr>
              <w:fldChar w:fldCharType="end"/>
            </w:r>
          </w:hyperlink>
        </w:p>
        <w:p w14:paraId="0E9AA8A4" w14:textId="20056996" w:rsidR="00F85433" w:rsidRPr="00375AB3" w:rsidRDefault="00F85433" w:rsidP="00375AB3">
          <w:pPr>
            <w:pStyle w:val="TOC2"/>
            <w:tabs>
              <w:tab w:val="right" w:leader="dot" w:pos="9016"/>
            </w:tabs>
            <w:spacing w:line="360" w:lineRule="auto"/>
            <w:rPr>
              <w:rFonts w:ascii="Arial" w:eastAsiaTheme="minorEastAsia" w:hAnsi="Arial" w:cs="Arial"/>
              <w:noProof/>
              <w:sz w:val="22"/>
              <w:szCs w:val="22"/>
              <w:lang w:eastAsia="en-GB"/>
              <w14:ligatures w14:val="standardContextual"/>
            </w:rPr>
          </w:pPr>
          <w:hyperlink w:anchor="_Toc213071919" w:history="1">
            <w:r w:rsidRPr="00375AB3">
              <w:rPr>
                <w:rStyle w:val="Hyperlink"/>
                <w:rFonts w:ascii="Arial" w:hAnsi="Arial" w:cs="Arial"/>
                <w:noProof/>
                <w:sz w:val="22"/>
                <w:szCs w:val="22"/>
                <w:lang w:eastAsia="en-GB"/>
              </w:rPr>
              <w:t>References</w:t>
            </w:r>
            <w:r w:rsidRPr="00375AB3">
              <w:rPr>
                <w:rFonts w:ascii="Arial" w:hAnsi="Arial" w:cs="Arial"/>
                <w:noProof/>
                <w:webHidden/>
                <w:sz w:val="22"/>
                <w:szCs w:val="22"/>
              </w:rPr>
              <w:tab/>
            </w:r>
            <w:r w:rsidRPr="00375AB3">
              <w:rPr>
                <w:rFonts w:ascii="Arial" w:hAnsi="Arial" w:cs="Arial"/>
                <w:noProof/>
                <w:webHidden/>
                <w:sz w:val="22"/>
                <w:szCs w:val="22"/>
              </w:rPr>
              <w:fldChar w:fldCharType="begin"/>
            </w:r>
            <w:r w:rsidRPr="00375AB3">
              <w:rPr>
                <w:rFonts w:ascii="Arial" w:hAnsi="Arial" w:cs="Arial"/>
                <w:noProof/>
                <w:webHidden/>
                <w:sz w:val="22"/>
                <w:szCs w:val="22"/>
              </w:rPr>
              <w:instrText xml:space="preserve"> PAGEREF _Toc213071919 \h </w:instrText>
            </w:r>
            <w:r w:rsidRPr="00375AB3">
              <w:rPr>
                <w:rFonts w:ascii="Arial" w:hAnsi="Arial" w:cs="Arial"/>
                <w:noProof/>
                <w:webHidden/>
                <w:sz w:val="22"/>
                <w:szCs w:val="22"/>
              </w:rPr>
            </w:r>
            <w:r w:rsidRPr="00375AB3">
              <w:rPr>
                <w:rFonts w:ascii="Arial" w:hAnsi="Arial" w:cs="Arial"/>
                <w:noProof/>
                <w:webHidden/>
                <w:sz w:val="22"/>
                <w:szCs w:val="22"/>
              </w:rPr>
              <w:fldChar w:fldCharType="separate"/>
            </w:r>
            <w:r w:rsidRPr="00375AB3">
              <w:rPr>
                <w:rFonts w:ascii="Arial" w:hAnsi="Arial" w:cs="Arial"/>
                <w:noProof/>
                <w:webHidden/>
                <w:sz w:val="22"/>
                <w:szCs w:val="22"/>
              </w:rPr>
              <w:t>9</w:t>
            </w:r>
            <w:r w:rsidRPr="00375AB3">
              <w:rPr>
                <w:rFonts w:ascii="Arial" w:hAnsi="Arial" w:cs="Arial"/>
                <w:noProof/>
                <w:webHidden/>
                <w:sz w:val="22"/>
                <w:szCs w:val="22"/>
              </w:rPr>
              <w:fldChar w:fldCharType="end"/>
            </w:r>
          </w:hyperlink>
        </w:p>
        <w:p w14:paraId="4A950CBF" w14:textId="0AB0506D" w:rsidR="00F85433" w:rsidRDefault="00F85433">
          <w:r>
            <w:rPr>
              <w:b/>
              <w:bCs/>
              <w:noProof/>
            </w:rPr>
            <w:fldChar w:fldCharType="end"/>
          </w:r>
        </w:p>
      </w:sdtContent>
    </w:sdt>
    <w:p w14:paraId="6997D827" w14:textId="77777777" w:rsidR="008375B5" w:rsidRPr="00263C28" w:rsidRDefault="008375B5" w:rsidP="008375B5">
      <w:pPr>
        <w:pStyle w:val="NormalWeb"/>
        <w:spacing w:line="360" w:lineRule="auto"/>
        <w:rPr>
          <w:rFonts w:ascii="Arial" w:hAnsi="Arial" w:cs="Arial"/>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Pr="007326E0" w:rsidRDefault="008375B5" w:rsidP="008375B5">
      <w:pPr>
        <w:pStyle w:val="NormalWeb"/>
        <w:spacing w:line="360" w:lineRule="auto"/>
        <w:rPr>
          <w:rFonts w:ascii="Arial" w:hAnsi="Arial" w:cs="Arial"/>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6D010FBC" w14:textId="0956E0C0" w:rsidR="00A9474F" w:rsidRDefault="00A9474F" w:rsidP="008375B5">
      <w:pPr>
        <w:spacing w:line="360" w:lineRule="auto"/>
        <w:rPr>
          <w:rFonts w:ascii="Arial" w:hAnsi="Arial" w:cs="Arial"/>
          <w:b/>
          <w:bCs/>
          <w:sz w:val="28"/>
          <w:szCs w:val="28"/>
        </w:rPr>
      </w:pPr>
    </w:p>
    <w:p w14:paraId="0067AA62" w14:textId="77777777" w:rsidR="00CA4966" w:rsidRDefault="00CA4966" w:rsidP="008375B5">
      <w:pPr>
        <w:spacing w:line="360" w:lineRule="auto"/>
        <w:rPr>
          <w:rFonts w:ascii="Arial" w:hAnsi="Arial" w:cs="Arial"/>
          <w:b/>
          <w:bCs/>
          <w:sz w:val="28"/>
          <w:szCs w:val="28"/>
        </w:rPr>
      </w:pPr>
    </w:p>
    <w:p w14:paraId="25DB85E5" w14:textId="77777777" w:rsidR="00B940D1" w:rsidRDefault="00B940D1" w:rsidP="0087546B">
      <w:pPr>
        <w:spacing w:before="100" w:beforeAutospacing="1" w:after="100" w:afterAutospacing="1" w:line="360" w:lineRule="auto"/>
        <w:jc w:val="both"/>
        <w:outlineLvl w:val="1"/>
        <w:rPr>
          <w:rFonts w:ascii="Arial" w:eastAsia="Times New Roman" w:hAnsi="Arial" w:cs="Arial"/>
          <w:b/>
          <w:bCs/>
          <w:kern w:val="0"/>
          <w:sz w:val="22"/>
          <w:szCs w:val="22"/>
          <w:lang w:eastAsia="en-GB"/>
        </w:rPr>
      </w:pPr>
      <w:bookmarkStart w:id="0" w:name="_Toc211282803"/>
    </w:p>
    <w:p w14:paraId="7ED4AAF5" w14:textId="77777777" w:rsidR="00B940D1" w:rsidRDefault="00B940D1" w:rsidP="0087546B">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1A8DB24A" w14:textId="55731AB7" w:rsidR="00B940D1" w:rsidRPr="00A03C40" w:rsidRDefault="00861608" w:rsidP="00A03C40">
      <w:pPr>
        <w:pStyle w:val="Heading2"/>
        <w:spacing w:line="360" w:lineRule="auto"/>
        <w:rPr>
          <w:rFonts w:ascii="Arial" w:hAnsi="Arial" w:cs="Arial"/>
          <w:b/>
          <w:bCs/>
          <w:color w:val="000000" w:themeColor="text1"/>
          <w:sz w:val="22"/>
          <w:szCs w:val="22"/>
          <w:lang w:eastAsia="en-GB"/>
        </w:rPr>
      </w:pPr>
      <w:bookmarkStart w:id="1" w:name="_Toc213071911"/>
      <w:r w:rsidRPr="00A03C40">
        <w:rPr>
          <w:rFonts w:ascii="Arial" w:hAnsi="Arial" w:cs="Arial"/>
          <w:b/>
          <w:bCs/>
          <w:color w:val="000000" w:themeColor="text1"/>
          <w:sz w:val="22"/>
          <w:szCs w:val="22"/>
          <w:lang w:eastAsia="en-GB"/>
        </w:rPr>
        <w:t>Introduction</w:t>
      </w:r>
      <w:bookmarkEnd w:id="0"/>
      <w:bookmarkEnd w:id="1"/>
    </w:p>
    <w:p w14:paraId="7E3DAFEF" w14:textId="11D5EDF5" w:rsidR="0001435C" w:rsidRPr="00A03C40" w:rsidRDefault="00B7379E" w:rsidP="00A74C89">
      <w:pPr>
        <w:spacing w:line="360" w:lineRule="auto"/>
        <w:jc w:val="both"/>
        <w:rPr>
          <w:rFonts w:ascii="Arial" w:hAnsi="Arial" w:cs="Arial"/>
          <w:sz w:val="22"/>
          <w:szCs w:val="22"/>
          <w:lang w:eastAsia="en-GB"/>
        </w:rPr>
      </w:pPr>
      <w:r w:rsidRPr="00A03C40">
        <w:rPr>
          <w:rFonts w:ascii="Arial" w:hAnsi="Arial" w:cs="Arial"/>
          <w:sz w:val="22"/>
          <w:szCs w:val="22"/>
          <w:lang w:eastAsia="en-GB"/>
        </w:rPr>
        <w:t xml:space="preserve">Genomic sequencing technology has fundamentally changed how the NHS diagnoses and treats disease. Genomic sequencing reads the complete genetic code of patients, identifying </w:t>
      </w:r>
      <w:r w:rsidR="00434F34" w:rsidRPr="00A03C40">
        <w:rPr>
          <w:rFonts w:ascii="Arial" w:hAnsi="Arial" w:cs="Arial"/>
          <w:sz w:val="22"/>
          <w:szCs w:val="22"/>
          <w:lang w:eastAsia="en-GB"/>
        </w:rPr>
        <w:t>changes</w:t>
      </w:r>
      <w:r w:rsidRPr="00A03C40">
        <w:rPr>
          <w:rFonts w:ascii="Arial" w:hAnsi="Arial" w:cs="Arial"/>
          <w:sz w:val="22"/>
          <w:szCs w:val="22"/>
          <w:lang w:eastAsia="en-GB"/>
        </w:rPr>
        <w:t xml:space="preserve"> that cause inherited conditions, cancers, and rare diseases. The UK launched its 100,000 Genomes Project in 2012, making it the first country to sequence whole genomes within the NHS (Health, 2018).</w:t>
      </w:r>
    </w:p>
    <w:p w14:paraId="6334FDEB" w14:textId="60865BEB" w:rsidR="00762DAF" w:rsidRPr="00A03C40" w:rsidRDefault="00B7379E" w:rsidP="00A74C89">
      <w:pPr>
        <w:spacing w:line="360" w:lineRule="auto"/>
        <w:jc w:val="both"/>
        <w:rPr>
          <w:rFonts w:ascii="Arial" w:hAnsi="Arial" w:cs="Arial"/>
          <w:sz w:val="22"/>
          <w:szCs w:val="22"/>
          <w:lang w:eastAsia="en-GB"/>
        </w:rPr>
      </w:pPr>
      <w:r w:rsidRPr="00A03C40">
        <w:rPr>
          <w:rFonts w:ascii="Arial" w:hAnsi="Arial" w:cs="Arial"/>
          <w:sz w:val="22"/>
          <w:szCs w:val="22"/>
          <w:lang w:eastAsia="en-GB"/>
        </w:rPr>
        <w:t xml:space="preserve">This report evaluates how genomic sequencing has transformed the health and social care workforce, service delivery, patient experiences, and communities across the UK over the last decade. It is important to understand that genomic sequencing moved from laboratory research into routine clinical practice between 2015 and 2025. The technology has created new jobs, changed existing roles, and fundamentally altered how clinicians diagnose patients. However, this transformation has created significant challenges. The workforce lacks sufficient trained </w:t>
      </w:r>
      <w:r w:rsidR="00D433C3" w:rsidRPr="00A03C40">
        <w:rPr>
          <w:rFonts w:ascii="Arial" w:hAnsi="Arial" w:cs="Arial"/>
          <w:sz w:val="22"/>
          <w:szCs w:val="22"/>
          <w:lang w:eastAsia="en-GB"/>
        </w:rPr>
        <w:t>professionals</w:t>
      </w:r>
      <w:r w:rsidR="0058195C">
        <w:rPr>
          <w:rFonts w:ascii="Arial" w:hAnsi="Arial" w:cs="Arial"/>
          <w:sz w:val="22"/>
          <w:szCs w:val="22"/>
          <w:lang w:eastAsia="en-GB"/>
        </w:rPr>
        <w:t>,</w:t>
      </w:r>
      <w:r w:rsidRPr="00A03C40">
        <w:rPr>
          <w:rFonts w:ascii="Arial" w:hAnsi="Arial" w:cs="Arial"/>
          <w:sz w:val="22"/>
          <w:szCs w:val="22"/>
          <w:lang w:eastAsia="en-GB"/>
        </w:rPr>
        <w:t xml:space="preserve"> </w:t>
      </w:r>
      <w:r w:rsidR="00864EAB" w:rsidRPr="00A03C40">
        <w:rPr>
          <w:rFonts w:ascii="Arial" w:hAnsi="Arial" w:cs="Arial"/>
          <w:sz w:val="22"/>
          <w:szCs w:val="22"/>
          <w:lang w:eastAsia="en-GB"/>
        </w:rPr>
        <w:t>s</w:t>
      </w:r>
      <w:r w:rsidRPr="00A03C40">
        <w:rPr>
          <w:rFonts w:ascii="Arial" w:hAnsi="Arial" w:cs="Arial"/>
          <w:sz w:val="22"/>
          <w:szCs w:val="22"/>
          <w:lang w:eastAsia="en-GB"/>
        </w:rPr>
        <w:t>ervice delivery models are inconsistent across regions</w:t>
      </w:r>
      <w:r w:rsidR="00E91D44" w:rsidRPr="00A03C40">
        <w:rPr>
          <w:rFonts w:ascii="Arial" w:hAnsi="Arial" w:cs="Arial"/>
          <w:sz w:val="22"/>
          <w:szCs w:val="22"/>
          <w:lang w:eastAsia="en-GB"/>
        </w:rPr>
        <w:t xml:space="preserve"> and</w:t>
      </w:r>
      <w:r w:rsidRPr="00A03C40">
        <w:rPr>
          <w:rFonts w:ascii="Arial" w:hAnsi="Arial" w:cs="Arial"/>
          <w:sz w:val="22"/>
          <w:szCs w:val="22"/>
          <w:lang w:eastAsia="en-GB"/>
        </w:rPr>
        <w:t xml:space="preserve"> </w:t>
      </w:r>
      <w:r w:rsidR="00E91D44" w:rsidRPr="00A03C40">
        <w:rPr>
          <w:rFonts w:ascii="Arial" w:hAnsi="Arial" w:cs="Arial"/>
          <w:sz w:val="22"/>
          <w:szCs w:val="22"/>
          <w:lang w:eastAsia="en-GB"/>
        </w:rPr>
        <w:t>p</w:t>
      </w:r>
      <w:r w:rsidRPr="00A03C40">
        <w:rPr>
          <w:rFonts w:ascii="Arial" w:hAnsi="Arial" w:cs="Arial"/>
          <w:sz w:val="22"/>
          <w:szCs w:val="22"/>
          <w:lang w:eastAsia="en-GB"/>
        </w:rPr>
        <w:t>atients face uncertainty about their genetic information.</w:t>
      </w:r>
      <w:r w:rsidR="00BE406B" w:rsidRPr="00A03C40">
        <w:rPr>
          <w:rFonts w:ascii="Arial" w:hAnsi="Arial" w:cs="Arial"/>
          <w:sz w:val="22"/>
          <w:szCs w:val="22"/>
        </w:rPr>
        <w:t xml:space="preserve"> Access inequalities persist, meaning some communities may not benefit equally from genomic medicine</w:t>
      </w:r>
      <w:r w:rsidR="000C04D9" w:rsidRPr="00A03C40">
        <w:rPr>
          <w:rFonts w:ascii="Arial" w:hAnsi="Arial" w:cs="Arial"/>
          <w:sz w:val="22"/>
          <w:szCs w:val="22"/>
        </w:rPr>
        <w:t>.</w:t>
      </w:r>
      <w:r w:rsidRPr="00A03C40">
        <w:rPr>
          <w:rFonts w:ascii="Arial" w:hAnsi="Arial" w:cs="Arial"/>
          <w:sz w:val="22"/>
          <w:szCs w:val="22"/>
          <w:lang w:eastAsia="en-GB"/>
        </w:rPr>
        <w:t xml:space="preserve"> The analysis will demonstrate that genomic sequencing represents both substantial progress and unresolved problems in NHS modernisation.</w:t>
      </w:r>
      <w:r w:rsidR="00361994" w:rsidRPr="00A03C40">
        <w:rPr>
          <w:rFonts w:ascii="Arial" w:hAnsi="Arial" w:cs="Arial"/>
          <w:sz w:val="22"/>
          <w:szCs w:val="22"/>
        </w:rPr>
        <w:t xml:space="preserve"> </w:t>
      </w:r>
      <w:r w:rsidR="00A927F1" w:rsidRPr="00A03C40">
        <w:rPr>
          <w:rFonts w:ascii="Arial" w:hAnsi="Arial" w:cs="Arial"/>
          <w:sz w:val="22"/>
          <w:szCs w:val="22"/>
        </w:rPr>
        <w:t>This report is organised into sections</w:t>
      </w:r>
      <w:r w:rsidR="00C411AC" w:rsidRPr="00A03C40">
        <w:rPr>
          <w:rFonts w:ascii="Arial" w:hAnsi="Arial" w:cs="Arial"/>
          <w:sz w:val="22"/>
          <w:szCs w:val="22"/>
        </w:rPr>
        <w:t xml:space="preserve"> that evalua</w:t>
      </w:r>
      <w:r w:rsidR="003F160C" w:rsidRPr="00A03C40">
        <w:rPr>
          <w:rFonts w:ascii="Arial" w:hAnsi="Arial" w:cs="Arial"/>
          <w:sz w:val="22"/>
          <w:szCs w:val="22"/>
        </w:rPr>
        <w:t xml:space="preserve">te workforce </w:t>
      </w:r>
      <w:r w:rsidR="00BB0A5B" w:rsidRPr="00A03C40">
        <w:rPr>
          <w:rFonts w:ascii="Arial" w:hAnsi="Arial" w:cs="Arial"/>
          <w:sz w:val="22"/>
          <w:szCs w:val="22"/>
        </w:rPr>
        <w:t>development, service delivery, patient experience</w:t>
      </w:r>
      <w:r w:rsidR="002B66A8" w:rsidRPr="00A03C40">
        <w:rPr>
          <w:rFonts w:ascii="Arial" w:hAnsi="Arial" w:cs="Arial"/>
          <w:sz w:val="22"/>
          <w:szCs w:val="22"/>
        </w:rPr>
        <w:t xml:space="preserve"> and community impact.</w:t>
      </w:r>
      <w:r w:rsidR="00265C7D" w:rsidRPr="00A03C40">
        <w:rPr>
          <w:rFonts w:ascii="Arial" w:hAnsi="Arial" w:cs="Arial"/>
          <w:sz w:val="22"/>
          <w:szCs w:val="22"/>
        </w:rPr>
        <w:t xml:space="preserve"> Understanding these developments is crucial for guiding NHS policy and ensuring that genomic medicine benefits </w:t>
      </w:r>
      <w:r w:rsidR="005623CD" w:rsidRPr="00A03C40">
        <w:rPr>
          <w:rFonts w:ascii="Arial" w:hAnsi="Arial" w:cs="Arial"/>
          <w:sz w:val="22"/>
          <w:szCs w:val="22"/>
        </w:rPr>
        <w:t>everyb</w:t>
      </w:r>
      <w:r w:rsidR="00644E38" w:rsidRPr="00A03C40">
        <w:rPr>
          <w:rFonts w:ascii="Arial" w:hAnsi="Arial" w:cs="Arial"/>
          <w:sz w:val="22"/>
          <w:szCs w:val="22"/>
        </w:rPr>
        <w:t>ody</w:t>
      </w:r>
      <w:r w:rsidR="00265C7D" w:rsidRPr="00A03C40">
        <w:rPr>
          <w:rFonts w:ascii="Arial" w:hAnsi="Arial" w:cs="Arial"/>
          <w:sz w:val="22"/>
          <w:szCs w:val="22"/>
        </w:rPr>
        <w:t>.</w:t>
      </w:r>
    </w:p>
    <w:p w14:paraId="7E2253DB" w14:textId="77777777" w:rsidR="00861608" w:rsidRPr="00A03C40" w:rsidRDefault="00861608" w:rsidP="00A74C89">
      <w:pPr>
        <w:pStyle w:val="Heading2"/>
        <w:spacing w:line="360" w:lineRule="auto"/>
        <w:jc w:val="both"/>
        <w:rPr>
          <w:rFonts w:ascii="Arial" w:hAnsi="Arial" w:cs="Arial"/>
          <w:b/>
          <w:bCs/>
          <w:color w:val="000000" w:themeColor="text1"/>
          <w:sz w:val="22"/>
          <w:szCs w:val="22"/>
          <w:lang w:eastAsia="en-GB"/>
        </w:rPr>
      </w:pPr>
      <w:bookmarkStart w:id="2" w:name="_Toc211282804"/>
      <w:bookmarkStart w:id="3" w:name="_Toc213071912"/>
      <w:r w:rsidRPr="00A03C40">
        <w:rPr>
          <w:rFonts w:ascii="Arial" w:hAnsi="Arial" w:cs="Arial"/>
          <w:b/>
          <w:bCs/>
          <w:color w:val="000000" w:themeColor="text1"/>
          <w:sz w:val="22"/>
          <w:szCs w:val="22"/>
          <w:lang w:eastAsia="en-GB"/>
        </w:rPr>
        <w:t>The Technology: Genomic Sequencing</w:t>
      </w:r>
      <w:bookmarkEnd w:id="2"/>
      <w:bookmarkEnd w:id="3"/>
    </w:p>
    <w:p w14:paraId="25666FAC" w14:textId="640A5218" w:rsidR="00A41D4C" w:rsidRPr="00F066C3" w:rsidRDefault="00CA0FE7" w:rsidP="00A74C89">
      <w:pPr>
        <w:spacing w:line="360" w:lineRule="auto"/>
        <w:jc w:val="both"/>
        <w:rPr>
          <w:rFonts w:ascii="Arial" w:hAnsi="Arial" w:cs="Arial"/>
        </w:rPr>
      </w:pPr>
      <w:r w:rsidRPr="00A03C40">
        <w:rPr>
          <w:rFonts w:ascii="Arial" w:hAnsi="Arial" w:cs="Arial"/>
          <w:sz w:val="22"/>
          <w:szCs w:val="22"/>
          <w:lang w:eastAsia="en-GB"/>
        </w:rPr>
        <w:t xml:space="preserve">Genomic sequencing decodes a person's entire DNA blueprint. Unlike traditional genetic testing, which examines single genes, genomic sequencing identifies thousands of genetic variations simultaneously (CDC, 2024). </w:t>
      </w:r>
      <w:r w:rsidR="000F66C6" w:rsidRPr="00A03C40">
        <w:rPr>
          <w:rFonts w:ascii="Arial" w:hAnsi="Arial" w:cs="Arial"/>
          <w:sz w:val="22"/>
          <w:szCs w:val="22"/>
          <w:lang w:eastAsia="en-GB"/>
        </w:rPr>
        <w:t xml:space="preserve">Individuals with rare genetic disorders, cancer, certain infectious diseases and other conditions can now receive genome sequencing through the </w:t>
      </w:r>
      <w:r w:rsidR="00D12673" w:rsidRPr="00A03C40">
        <w:rPr>
          <w:rFonts w:ascii="Arial" w:hAnsi="Arial" w:cs="Arial"/>
          <w:sz w:val="22"/>
          <w:szCs w:val="22"/>
          <w:lang w:eastAsia="en-GB"/>
        </w:rPr>
        <w:t>NHS</w:t>
      </w:r>
      <w:r w:rsidR="00D12673">
        <w:rPr>
          <w:rFonts w:ascii="Arial" w:hAnsi="Arial" w:cs="Arial"/>
          <w:sz w:val="22"/>
          <w:szCs w:val="22"/>
          <w:lang w:eastAsia="en-GB"/>
        </w:rPr>
        <w:t>. A</w:t>
      </w:r>
      <w:r w:rsidRPr="00A03C40">
        <w:rPr>
          <w:rFonts w:ascii="Arial" w:hAnsi="Arial" w:cs="Arial"/>
          <w:sz w:val="22"/>
          <w:szCs w:val="22"/>
          <w:lang w:eastAsia="en-GB"/>
        </w:rPr>
        <w:t xml:space="preserve"> patient provides a blood or saliva </w:t>
      </w:r>
      <w:r w:rsidR="00BF37C7" w:rsidRPr="00A03C40">
        <w:rPr>
          <w:rFonts w:ascii="Arial" w:hAnsi="Arial" w:cs="Arial"/>
          <w:sz w:val="22"/>
          <w:szCs w:val="22"/>
          <w:lang w:eastAsia="en-GB"/>
        </w:rPr>
        <w:t>sample</w:t>
      </w:r>
      <w:r w:rsidR="00E065E9">
        <w:rPr>
          <w:rFonts w:ascii="Arial" w:hAnsi="Arial" w:cs="Arial"/>
          <w:sz w:val="22"/>
          <w:szCs w:val="22"/>
          <w:lang w:eastAsia="en-GB"/>
        </w:rPr>
        <w:t>,</w:t>
      </w:r>
      <w:r w:rsidR="005A5181" w:rsidRPr="00A03C40">
        <w:rPr>
          <w:rFonts w:ascii="Arial" w:hAnsi="Arial" w:cs="Arial"/>
          <w:sz w:val="22"/>
          <w:szCs w:val="22"/>
          <w:lang w:eastAsia="en-GB"/>
        </w:rPr>
        <w:t xml:space="preserve"> DNA</w:t>
      </w:r>
      <w:r w:rsidR="003E2998" w:rsidRPr="00A03C40">
        <w:rPr>
          <w:rFonts w:ascii="Arial" w:hAnsi="Arial" w:cs="Arial"/>
          <w:sz w:val="22"/>
          <w:szCs w:val="22"/>
          <w:lang w:eastAsia="en-GB"/>
        </w:rPr>
        <w:t xml:space="preserve"> is extracted in </w:t>
      </w:r>
      <w:r w:rsidR="00AF1C9C" w:rsidRPr="00A03C40">
        <w:rPr>
          <w:rFonts w:ascii="Arial" w:hAnsi="Arial" w:cs="Arial"/>
          <w:sz w:val="22"/>
          <w:szCs w:val="22"/>
          <w:lang w:eastAsia="en-GB"/>
        </w:rPr>
        <w:t>Laboratories</w:t>
      </w:r>
      <w:r w:rsidRPr="00A03C40">
        <w:rPr>
          <w:rFonts w:ascii="Arial" w:hAnsi="Arial" w:cs="Arial"/>
          <w:sz w:val="22"/>
          <w:szCs w:val="22"/>
          <w:lang w:eastAsia="en-GB"/>
        </w:rPr>
        <w:t xml:space="preserve"> </w:t>
      </w:r>
      <w:r w:rsidR="006802C7" w:rsidRPr="00A03C40">
        <w:rPr>
          <w:rFonts w:ascii="Arial" w:hAnsi="Arial" w:cs="Arial"/>
          <w:sz w:val="22"/>
          <w:szCs w:val="22"/>
          <w:lang w:eastAsia="en-GB"/>
        </w:rPr>
        <w:t xml:space="preserve">and sequenced </w:t>
      </w:r>
      <w:r w:rsidR="0052757E" w:rsidRPr="00A03C40">
        <w:rPr>
          <w:rFonts w:ascii="Arial" w:hAnsi="Arial" w:cs="Arial"/>
          <w:sz w:val="22"/>
          <w:szCs w:val="22"/>
          <w:lang w:eastAsia="en-GB"/>
        </w:rPr>
        <w:t xml:space="preserve">using advanced </w:t>
      </w:r>
      <w:r w:rsidR="005A5181" w:rsidRPr="00A03C40">
        <w:rPr>
          <w:rFonts w:ascii="Arial" w:hAnsi="Arial" w:cs="Arial"/>
          <w:sz w:val="22"/>
          <w:szCs w:val="22"/>
          <w:lang w:eastAsia="en-GB"/>
        </w:rPr>
        <w:t xml:space="preserve">genomic technologies. </w:t>
      </w:r>
      <w:r w:rsidRPr="00A03C40">
        <w:rPr>
          <w:rFonts w:ascii="Arial" w:hAnsi="Arial" w:cs="Arial"/>
          <w:sz w:val="22"/>
          <w:szCs w:val="22"/>
          <w:lang w:eastAsia="en-GB"/>
        </w:rPr>
        <w:t xml:space="preserve">Bioinformaticians analyse the raw data, clinicians interpret findings and communicate results to </w:t>
      </w:r>
      <w:r w:rsidR="006F486B" w:rsidRPr="00A03C40">
        <w:rPr>
          <w:rFonts w:ascii="Arial" w:hAnsi="Arial" w:cs="Arial"/>
          <w:sz w:val="22"/>
          <w:szCs w:val="22"/>
          <w:lang w:eastAsia="en-GB"/>
        </w:rPr>
        <w:t>patients.</w:t>
      </w:r>
      <w:r w:rsidR="00C54A13" w:rsidRPr="00A03C40">
        <w:rPr>
          <w:rFonts w:ascii="Arial" w:hAnsi="Arial" w:cs="Arial"/>
          <w:sz w:val="22"/>
          <w:szCs w:val="22"/>
        </w:rPr>
        <w:t xml:space="preserve"> </w:t>
      </w:r>
      <w:r w:rsidR="00C54A13" w:rsidRPr="00A03C40">
        <w:rPr>
          <w:rFonts w:ascii="Arial" w:hAnsi="Arial" w:cs="Arial"/>
          <w:sz w:val="22"/>
          <w:szCs w:val="22"/>
          <w:lang w:eastAsia="en-GB"/>
        </w:rPr>
        <w:t>The goal of the 100,000 Genomes Project was to analyse 100,000 genomes from cancer patients and NHS patients with uncommon disorders and their relatives.</w:t>
      </w:r>
      <w:r w:rsidR="006F486B" w:rsidRPr="00A03C40">
        <w:rPr>
          <w:rFonts w:ascii="Arial" w:hAnsi="Arial" w:cs="Arial"/>
          <w:sz w:val="22"/>
          <w:szCs w:val="22"/>
          <w:lang w:eastAsia="en-GB"/>
        </w:rPr>
        <w:t xml:space="preserve"> </w:t>
      </w:r>
      <w:r w:rsidRPr="00A03C40">
        <w:rPr>
          <w:rFonts w:ascii="Arial" w:hAnsi="Arial" w:cs="Arial"/>
          <w:sz w:val="22"/>
          <w:szCs w:val="22"/>
          <w:lang w:eastAsia="en-GB"/>
        </w:rPr>
        <w:t>(Samuel and Farsides, 2017).</w:t>
      </w:r>
      <w:r w:rsidR="004C39C3" w:rsidRPr="004C39C3">
        <w:rPr>
          <w:rFonts w:ascii="Arial" w:hAnsi="Arial" w:cs="Arial"/>
        </w:rPr>
        <w:t xml:space="preserve"> </w:t>
      </w:r>
      <w:r w:rsidR="004C39C3" w:rsidRPr="00F066C3">
        <w:rPr>
          <w:rFonts w:ascii="Arial" w:hAnsi="Arial" w:cs="Arial"/>
          <w:sz w:val="22"/>
          <w:szCs w:val="22"/>
        </w:rPr>
        <w:t xml:space="preserve">This project established the infrastructure, trained personnel and set the standards that enable genomic </w:t>
      </w:r>
      <w:r w:rsidR="004C39C3" w:rsidRPr="00F066C3">
        <w:rPr>
          <w:rFonts w:ascii="Arial" w:hAnsi="Arial" w:cs="Arial"/>
          <w:sz w:val="22"/>
          <w:szCs w:val="22"/>
        </w:rPr>
        <w:lastRenderedPageBreak/>
        <w:t>sequencing today.</w:t>
      </w:r>
      <w:r w:rsidRPr="00F066C3">
        <w:rPr>
          <w:rFonts w:ascii="Arial" w:hAnsi="Arial" w:cs="Arial"/>
          <w:sz w:val="22"/>
          <w:szCs w:val="22"/>
          <w:lang w:eastAsia="en-GB"/>
        </w:rPr>
        <w:t xml:space="preserve"> </w:t>
      </w:r>
      <w:r w:rsidRPr="00A03C40">
        <w:rPr>
          <w:rFonts w:ascii="Arial" w:hAnsi="Arial" w:cs="Arial"/>
          <w:sz w:val="22"/>
          <w:szCs w:val="22"/>
          <w:lang w:eastAsia="en-GB"/>
        </w:rPr>
        <w:t>You should recognise that this represents the most ambitious genomic medicine programme globally.</w:t>
      </w:r>
      <w:bookmarkStart w:id="4" w:name="_Toc211282805"/>
    </w:p>
    <w:p w14:paraId="7A41F358" w14:textId="2E8E552D" w:rsidR="00C80368" w:rsidRPr="00A03C40" w:rsidRDefault="00861608" w:rsidP="00A74C89">
      <w:pPr>
        <w:pStyle w:val="Heading2"/>
        <w:spacing w:line="360" w:lineRule="auto"/>
        <w:jc w:val="both"/>
        <w:rPr>
          <w:rFonts w:ascii="Arial" w:hAnsi="Arial" w:cs="Arial"/>
          <w:b/>
          <w:bCs/>
          <w:color w:val="000000" w:themeColor="text1"/>
          <w:sz w:val="22"/>
          <w:szCs w:val="22"/>
          <w:lang w:eastAsia="en-GB"/>
        </w:rPr>
      </w:pPr>
      <w:bookmarkStart w:id="5" w:name="_Toc213071913"/>
      <w:r w:rsidRPr="00A03C40">
        <w:rPr>
          <w:rFonts w:ascii="Arial" w:hAnsi="Arial" w:cs="Arial"/>
          <w:b/>
          <w:bCs/>
          <w:color w:val="000000" w:themeColor="text1"/>
          <w:sz w:val="22"/>
          <w:szCs w:val="22"/>
          <w:lang w:eastAsia="en-GB"/>
        </w:rPr>
        <w:t>Impact on Workforce: Positive Outcom</w:t>
      </w:r>
      <w:r w:rsidR="004207C6" w:rsidRPr="00A03C40">
        <w:rPr>
          <w:rFonts w:ascii="Arial" w:hAnsi="Arial" w:cs="Arial"/>
          <w:b/>
          <w:bCs/>
          <w:color w:val="000000" w:themeColor="text1"/>
          <w:sz w:val="22"/>
          <w:szCs w:val="22"/>
          <w:lang w:eastAsia="en-GB"/>
        </w:rPr>
        <w:t>e</w:t>
      </w:r>
      <w:bookmarkEnd w:id="4"/>
      <w:bookmarkEnd w:id="5"/>
    </w:p>
    <w:p w14:paraId="2A37305E" w14:textId="24ADF971" w:rsidR="008A4D63" w:rsidRPr="00DF1622" w:rsidRDefault="008A4D63" w:rsidP="00A74C89">
      <w:pPr>
        <w:spacing w:line="360" w:lineRule="auto"/>
        <w:jc w:val="both"/>
        <w:rPr>
          <w:rFonts w:ascii="Arial" w:hAnsi="Arial" w:cs="Arial"/>
        </w:rPr>
      </w:pPr>
      <w:r w:rsidRPr="00A03C40">
        <w:rPr>
          <w:rFonts w:ascii="Arial" w:hAnsi="Arial" w:cs="Arial"/>
          <w:sz w:val="22"/>
          <w:szCs w:val="22"/>
          <w:lang w:eastAsia="en-GB"/>
        </w:rPr>
        <w:t xml:space="preserve">Genomic sequencing has created new career pathways in the NHS. Between 2015 and 2025, the NHS employed an estimated 2,000 additional professionals with genomic expertise (England, 2024). These roles include genomic counsellors, genomic scientists and clinical geneticists. </w:t>
      </w:r>
      <w:r w:rsidR="00183978">
        <w:rPr>
          <w:rFonts w:ascii="Arial" w:hAnsi="Arial" w:cs="Arial"/>
          <w:sz w:val="22"/>
          <w:szCs w:val="22"/>
          <w:lang w:eastAsia="en-GB"/>
        </w:rPr>
        <w:t xml:space="preserve">People </w:t>
      </w:r>
      <w:r w:rsidRPr="00A03C40">
        <w:rPr>
          <w:rFonts w:ascii="Arial" w:hAnsi="Arial" w:cs="Arial"/>
          <w:sz w:val="22"/>
          <w:szCs w:val="22"/>
          <w:lang w:eastAsia="en-GB"/>
        </w:rPr>
        <w:t xml:space="preserve">directly benefit from this specialisation because these professionals develop deeper expertise than generalist clinicians. </w:t>
      </w:r>
      <w:r w:rsidR="00DF1622" w:rsidRPr="00DF1622">
        <w:rPr>
          <w:rFonts w:ascii="Arial" w:hAnsi="Arial" w:cs="Arial"/>
          <w:sz w:val="22"/>
          <w:szCs w:val="22"/>
        </w:rPr>
        <w:t xml:space="preserve">Clinical geneticists work in multidisciplinary teams across cancer services, rare disease centres, and primary care. Previously, they spent most of their time in specialist genetic </w:t>
      </w:r>
      <w:r w:rsidR="00DF1622" w:rsidRPr="00DF1622">
        <w:rPr>
          <w:rFonts w:ascii="Arial" w:hAnsi="Arial" w:cs="Arial"/>
          <w:sz w:val="22"/>
          <w:szCs w:val="22"/>
        </w:rPr>
        <w:t>centres.</w:t>
      </w:r>
      <w:r w:rsidR="00DF1622" w:rsidRPr="00A03C40">
        <w:rPr>
          <w:rFonts w:ascii="Arial" w:hAnsi="Arial" w:cs="Arial"/>
          <w:sz w:val="22"/>
          <w:szCs w:val="22"/>
          <w:lang w:eastAsia="en-GB"/>
        </w:rPr>
        <w:t xml:space="preserve"> </w:t>
      </w:r>
      <w:r w:rsidR="009E3D28" w:rsidRPr="009E3D28">
        <w:rPr>
          <w:rFonts w:ascii="Arial" w:hAnsi="Arial" w:cs="Arial"/>
          <w:sz w:val="22"/>
          <w:szCs w:val="22"/>
        </w:rPr>
        <w:t xml:space="preserve">Many work in oncology departments, assisting oncologists in interpreting tumour genomics and recommending targeted </w:t>
      </w:r>
      <w:r w:rsidR="00153A20" w:rsidRPr="009E3D28">
        <w:rPr>
          <w:rFonts w:ascii="Arial" w:hAnsi="Arial" w:cs="Arial"/>
          <w:sz w:val="22"/>
          <w:szCs w:val="22"/>
        </w:rPr>
        <w:t>treatments.</w:t>
      </w:r>
      <w:r w:rsidR="00153A20" w:rsidRPr="00A03C40">
        <w:rPr>
          <w:rFonts w:ascii="Arial" w:hAnsi="Arial" w:cs="Arial"/>
          <w:sz w:val="22"/>
          <w:szCs w:val="22"/>
          <w:lang w:eastAsia="en-GB"/>
        </w:rPr>
        <w:t xml:space="preserve"> This</w:t>
      </w:r>
      <w:r w:rsidRPr="00A03C40">
        <w:rPr>
          <w:rFonts w:ascii="Arial" w:hAnsi="Arial" w:cs="Arial"/>
          <w:sz w:val="22"/>
          <w:szCs w:val="22"/>
          <w:lang w:eastAsia="en-GB"/>
        </w:rPr>
        <w:t xml:space="preserve"> integration ensures cancer patients access genomic insights without travelling to distant centres.</w:t>
      </w:r>
      <w:r w:rsidR="00764BE0" w:rsidRPr="00A03C40">
        <w:rPr>
          <w:rFonts w:ascii="Arial" w:hAnsi="Arial" w:cs="Arial"/>
          <w:sz w:val="22"/>
          <w:szCs w:val="22"/>
        </w:rPr>
        <w:t xml:space="preserve"> </w:t>
      </w:r>
    </w:p>
    <w:p w14:paraId="3F4BDC9D" w14:textId="41471B46" w:rsidR="006262DB" w:rsidRPr="00A03C40" w:rsidRDefault="00674241" w:rsidP="00A74C89">
      <w:pPr>
        <w:spacing w:line="360" w:lineRule="auto"/>
        <w:jc w:val="both"/>
        <w:rPr>
          <w:rFonts w:ascii="Arial" w:hAnsi="Arial" w:cs="Arial"/>
          <w:sz w:val="22"/>
          <w:szCs w:val="22"/>
          <w:lang w:eastAsia="en-GB"/>
        </w:rPr>
      </w:pPr>
      <w:r w:rsidRPr="00A03C40">
        <w:rPr>
          <w:rFonts w:ascii="Arial" w:hAnsi="Arial" w:cs="Arial"/>
          <w:sz w:val="22"/>
          <w:szCs w:val="22"/>
          <w:lang w:eastAsia="en-GB"/>
        </w:rPr>
        <w:t>Bioinformaticians have become essential, writing software, managing data and analysing genomic sequences. The NHS once had fewer than 100 bioinformaticians, but now dozens work in each genomic laboratory, enhancing data communications and transforming complex genomic information into actionable insights for patients. They bridge medicine and technology, supporting clinical decisions. Genomic counsellors support patients before and after testing, explaining genetic information in plain language and helping patients make sense of their results (Hayward et al., 2021). Until recently, this role has been essential, ensuring patients receive professionals who meet both their psychological and informational requirements.</w:t>
      </w:r>
      <w:r w:rsidR="00022AF5" w:rsidRPr="00A03C40">
        <w:rPr>
          <w:rFonts w:ascii="Arial" w:hAnsi="Arial" w:cs="Arial"/>
          <w:sz w:val="22"/>
          <w:szCs w:val="22"/>
        </w:rPr>
        <w:t xml:space="preserve"> Nevertheless, despite these developments, there are still issues with guaranteeing </w:t>
      </w:r>
      <w:r w:rsidR="00EC6FE8" w:rsidRPr="00A03C40">
        <w:rPr>
          <w:rFonts w:ascii="Arial" w:hAnsi="Arial" w:cs="Arial"/>
          <w:sz w:val="22"/>
          <w:szCs w:val="22"/>
        </w:rPr>
        <w:t>consistent</w:t>
      </w:r>
      <w:r w:rsidR="00022AF5" w:rsidRPr="00A03C40">
        <w:rPr>
          <w:rFonts w:ascii="Arial" w:hAnsi="Arial" w:cs="Arial"/>
          <w:sz w:val="22"/>
          <w:szCs w:val="22"/>
        </w:rPr>
        <w:t xml:space="preserve"> access to genomic knowledge throughout all NHS regions, which could result in variations in patient results.</w:t>
      </w:r>
    </w:p>
    <w:p w14:paraId="1016495B" w14:textId="579EBF38" w:rsidR="00861608" w:rsidRPr="00A03C40" w:rsidRDefault="00861608" w:rsidP="00A74C89">
      <w:pPr>
        <w:pStyle w:val="Heading2"/>
        <w:spacing w:line="360" w:lineRule="auto"/>
        <w:jc w:val="both"/>
        <w:rPr>
          <w:rFonts w:ascii="Arial" w:hAnsi="Arial" w:cs="Arial"/>
          <w:b/>
          <w:bCs/>
          <w:color w:val="000000" w:themeColor="text1"/>
          <w:sz w:val="22"/>
          <w:szCs w:val="22"/>
          <w:lang w:eastAsia="en-GB"/>
        </w:rPr>
      </w:pPr>
      <w:bookmarkStart w:id="6" w:name="_Toc211282806"/>
      <w:bookmarkStart w:id="7" w:name="_Toc213071914"/>
      <w:r w:rsidRPr="00A03C40">
        <w:rPr>
          <w:rFonts w:ascii="Arial" w:hAnsi="Arial" w:cs="Arial"/>
          <w:b/>
          <w:bCs/>
          <w:color w:val="000000" w:themeColor="text1"/>
          <w:sz w:val="22"/>
          <w:szCs w:val="22"/>
          <w:lang w:eastAsia="en-GB"/>
        </w:rPr>
        <w:t>Impact on Workforce: Negative Outcomes and Critical Challenges</w:t>
      </w:r>
      <w:bookmarkEnd w:id="6"/>
      <w:bookmarkEnd w:id="7"/>
    </w:p>
    <w:p w14:paraId="3D72A684" w14:textId="21D878A8" w:rsidR="008A6756" w:rsidRPr="009E29B3" w:rsidRDefault="008A6756" w:rsidP="00A74C89">
      <w:pPr>
        <w:spacing w:line="360" w:lineRule="auto"/>
        <w:jc w:val="both"/>
        <w:rPr>
          <w:rFonts w:ascii="Arial" w:hAnsi="Arial" w:cs="Arial"/>
        </w:rPr>
      </w:pPr>
      <w:r w:rsidRPr="00A03C40">
        <w:rPr>
          <w:rFonts w:ascii="Arial" w:hAnsi="Arial" w:cs="Arial"/>
          <w:sz w:val="22"/>
          <w:szCs w:val="22"/>
          <w:lang w:eastAsia="en-GB"/>
        </w:rPr>
        <w:t xml:space="preserve">Despite job creation, significant workforce problems persist. </w:t>
      </w:r>
      <w:r w:rsidR="00855A89" w:rsidRPr="00855A89">
        <w:rPr>
          <w:rFonts w:ascii="Arial" w:hAnsi="Arial" w:cs="Arial"/>
          <w:sz w:val="22"/>
          <w:szCs w:val="22"/>
        </w:rPr>
        <w:t xml:space="preserve">The NHS faces a critical shortage of trained genomic professionals. This shortage worsens diagnostic delays across multiple NHS services, which you may experience through delayed test results and limited access to specialist </w:t>
      </w:r>
      <w:r w:rsidR="00855A89" w:rsidRPr="00855A89">
        <w:rPr>
          <w:rFonts w:ascii="Arial" w:hAnsi="Arial" w:cs="Arial"/>
          <w:sz w:val="22"/>
          <w:szCs w:val="22"/>
        </w:rPr>
        <w:t>consultation.</w:t>
      </w:r>
      <w:r w:rsidR="00855A89" w:rsidRPr="00A03C40">
        <w:rPr>
          <w:rFonts w:ascii="Arial" w:hAnsi="Arial" w:cs="Arial"/>
          <w:sz w:val="22"/>
          <w:szCs w:val="22"/>
          <w:lang w:eastAsia="en-GB"/>
        </w:rPr>
        <w:t xml:space="preserve"> (</w:t>
      </w:r>
      <w:r w:rsidRPr="00A03C40">
        <w:rPr>
          <w:rFonts w:ascii="Arial" w:hAnsi="Arial" w:cs="Arial"/>
          <w:sz w:val="22"/>
          <w:szCs w:val="22"/>
          <w:lang w:eastAsia="en-GB"/>
        </w:rPr>
        <w:t xml:space="preserve">Friedrich et al., 2024). Existing clinical geneticists report burnout, </w:t>
      </w:r>
      <w:r w:rsidR="004E343B" w:rsidRPr="00A03C40">
        <w:rPr>
          <w:rFonts w:ascii="Arial" w:hAnsi="Arial" w:cs="Arial"/>
          <w:sz w:val="22"/>
          <w:szCs w:val="22"/>
          <w:lang w:eastAsia="en-GB"/>
        </w:rPr>
        <w:t xml:space="preserve">as </w:t>
      </w:r>
      <w:r w:rsidR="004E343B">
        <w:rPr>
          <w:rFonts w:ascii="Arial" w:hAnsi="Arial" w:cs="Arial"/>
          <w:sz w:val="22"/>
          <w:szCs w:val="22"/>
          <w:lang w:eastAsia="en-GB"/>
        </w:rPr>
        <w:t>demand</w:t>
      </w:r>
      <w:r w:rsidRPr="00A03C40">
        <w:rPr>
          <w:rFonts w:ascii="Arial" w:hAnsi="Arial" w:cs="Arial"/>
          <w:sz w:val="22"/>
          <w:szCs w:val="22"/>
          <w:lang w:eastAsia="en-GB"/>
        </w:rPr>
        <w:t xml:space="preserve"> for genetic services has increased </w:t>
      </w:r>
      <w:r w:rsidR="004E049A" w:rsidRPr="00A03C40">
        <w:rPr>
          <w:rFonts w:ascii="Arial" w:hAnsi="Arial" w:cs="Arial"/>
          <w:sz w:val="22"/>
          <w:szCs w:val="22"/>
          <w:lang w:eastAsia="en-GB"/>
        </w:rPr>
        <w:t>rapidly</w:t>
      </w:r>
      <w:r w:rsidRPr="00A03C40">
        <w:rPr>
          <w:rFonts w:ascii="Arial" w:hAnsi="Arial" w:cs="Arial"/>
          <w:sz w:val="22"/>
          <w:szCs w:val="22"/>
          <w:lang w:eastAsia="en-GB"/>
        </w:rPr>
        <w:t xml:space="preserve"> and clinicians now manage larger caseloads.</w:t>
      </w:r>
      <w:r w:rsidR="009E29B3" w:rsidRPr="009E29B3">
        <w:rPr>
          <w:rFonts w:ascii="Arial" w:hAnsi="Arial" w:cs="Arial"/>
          <w:sz w:val="22"/>
          <w:szCs w:val="22"/>
        </w:rPr>
        <w:t xml:space="preserve"> </w:t>
      </w:r>
      <w:r w:rsidR="009E29B3" w:rsidRPr="009E29B3">
        <w:rPr>
          <w:rFonts w:ascii="Arial" w:hAnsi="Arial" w:cs="Arial"/>
          <w:sz w:val="22"/>
          <w:szCs w:val="22"/>
        </w:rPr>
        <w:t>Throughout their careers, a sizable portion of genetic counsellors serve as students' supervisors and research shows they are more likely to experience compassion fatigue.</w:t>
      </w:r>
      <w:r w:rsidRPr="00A03C40">
        <w:rPr>
          <w:rFonts w:ascii="Arial" w:hAnsi="Arial" w:cs="Arial"/>
          <w:sz w:val="22"/>
          <w:szCs w:val="22"/>
          <w:lang w:eastAsia="en-GB"/>
        </w:rPr>
        <w:t xml:space="preserve"> As a result, you may wait longer for appointments and receive less time during consultations because clinicians are overwhelmed (Allsbrook et al., 2016).</w:t>
      </w:r>
      <w:r w:rsidR="00CB2445" w:rsidRPr="00A03C40">
        <w:rPr>
          <w:rFonts w:ascii="Arial" w:hAnsi="Arial" w:cs="Arial"/>
          <w:sz w:val="22"/>
          <w:szCs w:val="22"/>
          <w:lang w:eastAsia="en-GB"/>
        </w:rPr>
        <w:t xml:space="preserve"> Additionally,</w:t>
      </w:r>
      <w:r w:rsidRPr="00A03C40">
        <w:rPr>
          <w:rFonts w:ascii="Arial" w:hAnsi="Arial" w:cs="Arial"/>
          <w:sz w:val="22"/>
          <w:szCs w:val="22"/>
          <w:lang w:eastAsia="en-GB"/>
        </w:rPr>
        <w:t xml:space="preserve"> </w:t>
      </w:r>
      <w:r w:rsidR="00EE6764" w:rsidRPr="00A03C40">
        <w:rPr>
          <w:rFonts w:ascii="Arial" w:hAnsi="Arial" w:cs="Arial"/>
          <w:sz w:val="22"/>
          <w:szCs w:val="22"/>
          <w:lang w:eastAsia="en-GB"/>
        </w:rPr>
        <w:t>m</w:t>
      </w:r>
      <w:r w:rsidRPr="00A03C40">
        <w:rPr>
          <w:rFonts w:ascii="Arial" w:hAnsi="Arial" w:cs="Arial"/>
          <w:sz w:val="22"/>
          <w:szCs w:val="22"/>
          <w:lang w:eastAsia="en-GB"/>
        </w:rPr>
        <w:t xml:space="preserve">any </w:t>
      </w:r>
      <w:r w:rsidRPr="00A03C40">
        <w:rPr>
          <w:rFonts w:ascii="Arial" w:hAnsi="Arial" w:cs="Arial"/>
          <w:sz w:val="22"/>
          <w:szCs w:val="22"/>
          <w:lang w:eastAsia="en-GB"/>
        </w:rPr>
        <w:lastRenderedPageBreak/>
        <w:t xml:space="preserve">consultant physicians, district nurses and GPs lack understanding of when to refer patients for genomic testing and often do not know what conditions genomic sequencing can diagnose (Truong et al., 2021). </w:t>
      </w:r>
      <w:r w:rsidR="00162D80" w:rsidRPr="00162D80">
        <w:rPr>
          <w:rFonts w:ascii="Arial" w:hAnsi="Arial" w:cs="Arial"/>
          <w:sz w:val="22"/>
          <w:szCs w:val="22"/>
        </w:rPr>
        <w:t>This means people may miss out on genomic testing because their doctor lacks the necessary knowledge, highlighting a fundamental education gap in the NHS.</w:t>
      </w:r>
      <w:r w:rsidR="008624BD">
        <w:rPr>
          <w:rFonts w:ascii="Arial" w:hAnsi="Arial" w:cs="Arial"/>
          <w:sz w:val="22"/>
          <w:szCs w:val="22"/>
        </w:rPr>
        <w:t xml:space="preserve"> </w:t>
      </w:r>
      <w:r w:rsidRPr="00A03C40">
        <w:rPr>
          <w:rFonts w:ascii="Arial" w:hAnsi="Arial" w:cs="Arial"/>
          <w:sz w:val="22"/>
          <w:szCs w:val="22"/>
          <w:lang w:eastAsia="en-GB"/>
        </w:rPr>
        <w:t>Genomic medicine education varies between regions as some universities integrate it into medical curricula, while others offer minimal teaching. Collectively, these workforce pressures threaten the sustainability of genomic healthcare in the NHS.</w:t>
      </w:r>
    </w:p>
    <w:p w14:paraId="168B88D7" w14:textId="429F186A" w:rsidR="00C86845" w:rsidRPr="00A03C40" w:rsidRDefault="00C86845" w:rsidP="00A74C89">
      <w:pPr>
        <w:pStyle w:val="Heading2"/>
        <w:spacing w:line="360" w:lineRule="auto"/>
        <w:jc w:val="both"/>
        <w:rPr>
          <w:rFonts w:ascii="Arial" w:hAnsi="Arial" w:cs="Arial"/>
          <w:b/>
          <w:bCs/>
          <w:color w:val="000000" w:themeColor="text1"/>
          <w:sz w:val="22"/>
          <w:szCs w:val="22"/>
          <w:lang w:eastAsia="en-GB"/>
        </w:rPr>
      </w:pPr>
      <w:bookmarkStart w:id="8" w:name="_Toc213071915"/>
      <w:r w:rsidRPr="00A03C40">
        <w:rPr>
          <w:rFonts w:ascii="Arial" w:hAnsi="Arial" w:cs="Arial"/>
          <w:b/>
          <w:bCs/>
          <w:color w:val="000000" w:themeColor="text1"/>
          <w:sz w:val="22"/>
          <w:szCs w:val="22"/>
          <w:lang w:eastAsia="en-GB"/>
        </w:rPr>
        <w:t>Impact on Service Delivery: Before and After Genomic Sequencing</w:t>
      </w:r>
      <w:bookmarkEnd w:id="8"/>
    </w:p>
    <w:p w14:paraId="27AB9517" w14:textId="0485421F" w:rsidR="00931F88" w:rsidRPr="00BD65C2" w:rsidRDefault="00C15FDC" w:rsidP="00A74C89">
      <w:pPr>
        <w:spacing w:line="360" w:lineRule="auto"/>
        <w:jc w:val="both"/>
        <w:rPr>
          <w:rFonts w:ascii="Arial" w:hAnsi="Arial" w:cs="Arial"/>
        </w:rPr>
      </w:pPr>
      <w:r w:rsidRPr="00C15FDC">
        <w:rPr>
          <w:rFonts w:ascii="Arial" w:hAnsi="Arial" w:cs="Arial"/>
          <w:sz w:val="22"/>
          <w:szCs w:val="22"/>
        </w:rPr>
        <w:t>Service delivery for patients with genetic conditions has changed fundamentally. Before, genetic testing could take months or years and created uncertainty for patients and families</w:t>
      </w:r>
      <w:r w:rsidR="00193462" w:rsidRPr="00A03C40">
        <w:rPr>
          <w:rFonts w:ascii="Arial" w:eastAsia="Times New Roman" w:hAnsi="Arial" w:cs="Arial"/>
          <w:kern w:val="0"/>
          <w:sz w:val="22"/>
          <w:szCs w:val="22"/>
          <w:lang w:eastAsia="en-GB"/>
        </w:rPr>
        <w:t xml:space="preserve"> (Health, 2025). By shifting healthcare delivery from hospitals to community-based settings, the Strategy for Change has improved access to vital DNA testing.</w:t>
      </w:r>
      <w:r w:rsidR="00193462" w:rsidRPr="00477E72">
        <w:rPr>
          <w:rFonts w:ascii="Arial" w:eastAsia="Times New Roman" w:hAnsi="Arial" w:cs="Arial"/>
          <w:kern w:val="0"/>
          <w:sz w:val="22"/>
          <w:szCs w:val="22"/>
          <w:lang w:eastAsia="en-GB"/>
        </w:rPr>
        <w:t xml:space="preserve"> </w:t>
      </w:r>
      <w:r w:rsidR="00477E72" w:rsidRPr="00477E72">
        <w:rPr>
          <w:rFonts w:ascii="Arial" w:hAnsi="Arial" w:cs="Arial"/>
          <w:sz w:val="22"/>
          <w:szCs w:val="22"/>
        </w:rPr>
        <w:t>Clinicians ordered gene tests based on clinical suspicion, and if a test proved negative, they would sequence another gene. Patients frequently encountered multiple rounds of testing and repeated consultations.</w:t>
      </w:r>
      <w:r w:rsidR="00BD65C2">
        <w:rPr>
          <w:rFonts w:ascii="Arial" w:hAnsi="Arial" w:cs="Arial"/>
        </w:rPr>
        <w:t xml:space="preserve"> </w:t>
      </w:r>
      <w:r w:rsidR="00CD0672" w:rsidRPr="00A03C40">
        <w:rPr>
          <w:rFonts w:ascii="Arial" w:eastAsia="Times New Roman" w:hAnsi="Arial" w:cs="Arial"/>
          <w:kern w:val="0"/>
          <w:sz w:val="22"/>
          <w:szCs w:val="22"/>
          <w:lang w:eastAsia="en-GB"/>
        </w:rPr>
        <w:t>Now, genomic sequencing can test hundreds of genes at once. A patient with a rare disease provides one blood sample, which bioinformaticians sequence in a single process, giving</w:t>
      </w:r>
      <w:r w:rsidR="00CD0672" w:rsidRPr="00A03C40">
        <w:rPr>
          <w:rFonts w:ascii="Arial" w:eastAsia="Times New Roman" w:hAnsi="Arial" w:cs="Arial"/>
          <w:b/>
          <w:bCs/>
          <w:kern w:val="0"/>
          <w:sz w:val="22"/>
          <w:szCs w:val="22"/>
          <w:lang w:eastAsia="en-GB"/>
        </w:rPr>
        <w:t xml:space="preserve"> </w:t>
      </w:r>
      <w:r w:rsidR="00CD0672" w:rsidRPr="00A03C40">
        <w:rPr>
          <w:rFonts w:ascii="Arial" w:eastAsia="Times New Roman" w:hAnsi="Arial" w:cs="Arial"/>
          <w:kern w:val="0"/>
          <w:sz w:val="22"/>
          <w:szCs w:val="22"/>
          <w:lang w:eastAsia="en-GB"/>
        </w:rPr>
        <w:t xml:space="preserve">faster answers for families (National Human Genome Research Institute, 2023). This approach cuts diagnostic delays and makes rare disease services more efficient. The National Rare Disease Network uses sequencing as a first-tier test. In the past, children had to see multiple specialists for years. Today, the pathway is </w:t>
      </w:r>
      <w:r w:rsidR="001F3530" w:rsidRPr="00A03C40">
        <w:rPr>
          <w:rFonts w:ascii="Arial" w:eastAsia="Times New Roman" w:hAnsi="Arial" w:cs="Arial"/>
          <w:kern w:val="0"/>
          <w:sz w:val="22"/>
          <w:szCs w:val="22"/>
          <w:lang w:eastAsia="en-GB"/>
        </w:rPr>
        <w:t>simplified</w:t>
      </w:r>
      <w:r w:rsidR="00CD0672" w:rsidRPr="00A03C40">
        <w:rPr>
          <w:rFonts w:ascii="Arial" w:eastAsia="Times New Roman" w:hAnsi="Arial" w:cs="Arial"/>
          <w:kern w:val="0"/>
          <w:sz w:val="22"/>
          <w:szCs w:val="22"/>
          <w:lang w:eastAsia="en-GB"/>
        </w:rPr>
        <w:t xml:space="preserve"> and patients receive a diagnosis within months, lifting the emotional burden.</w:t>
      </w:r>
    </w:p>
    <w:p w14:paraId="1A7C4AED" w14:textId="7E49FB8E" w:rsidR="000F2C96" w:rsidRPr="00C7562B" w:rsidRDefault="00EF2961" w:rsidP="00A74C89">
      <w:pPr>
        <w:spacing w:line="360" w:lineRule="auto"/>
        <w:jc w:val="both"/>
        <w:rPr>
          <w:rFonts w:ascii="Arial" w:hAnsi="Arial" w:cs="Arial"/>
        </w:rPr>
      </w:pPr>
      <w:r w:rsidRPr="00A03C40">
        <w:rPr>
          <w:rFonts w:ascii="Arial" w:eastAsia="Times New Roman" w:hAnsi="Arial" w:cs="Arial"/>
          <w:kern w:val="0"/>
          <w:sz w:val="22"/>
          <w:szCs w:val="22"/>
          <w:lang w:eastAsia="en-GB"/>
        </w:rPr>
        <w:t xml:space="preserve"> Between 2015 and 2025, the NHS moved from treating all cancers of one type identically to personalised treatment based on genomic analysis (Health, 2025b</w:t>
      </w:r>
      <w:r w:rsidRPr="00C7562B">
        <w:rPr>
          <w:rFonts w:ascii="Arial" w:eastAsia="Times New Roman" w:hAnsi="Arial" w:cs="Arial"/>
          <w:kern w:val="0"/>
          <w:sz w:val="22"/>
          <w:szCs w:val="22"/>
          <w:lang w:eastAsia="en-GB"/>
        </w:rPr>
        <w:t xml:space="preserve">). </w:t>
      </w:r>
      <w:r w:rsidR="00C7562B" w:rsidRPr="00C7562B">
        <w:rPr>
          <w:rFonts w:ascii="Arial" w:hAnsi="Arial" w:cs="Arial"/>
          <w:sz w:val="22"/>
          <w:szCs w:val="22"/>
        </w:rPr>
        <w:t xml:space="preserve">An oncologist previously treated all lung cancer patients with the same chemotherapy regimen. Now, genomic sequencing identifies mutations in the patient tumour, and the oncologist prescribes targeted therapy attacking the cancer mutation. As a result, patients experience better outcomes because the treatment matches the cancer's </w:t>
      </w:r>
      <w:r w:rsidR="00C7562B" w:rsidRPr="00C7562B">
        <w:rPr>
          <w:rFonts w:ascii="Arial" w:hAnsi="Arial" w:cs="Arial"/>
          <w:sz w:val="22"/>
          <w:szCs w:val="22"/>
        </w:rPr>
        <w:t>biology.</w:t>
      </w:r>
      <w:r w:rsidR="00C7562B" w:rsidRPr="00A03C40">
        <w:rPr>
          <w:rFonts w:ascii="Arial" w:eastAsia="Times New Roman" w:hAnsi="Arial" w:cs="Arial"/>
          <w:kern w:val="0"/>
          <w:sz w:val="22"/>
          <w:szCs w:val="22"/>
          <w:lang w:eastAsia="en-GB"/>
        </w:rPr>
        <w:t xml:space="preserve"> These</w:t>
      </w:r>
      <w:r w:rsidRPr="00A03C40">
        <w:rPr>
          <w:rFonts w:ascii="Arial" w:eastAsia="Times New Roman" w:hAnsi="Arial" w:cs="Arial"/>
          <w:kern w:val="0"/>
          <w:sz w:val="22"/>
          <w:szCs w:val="22"/>
          <w:lang w:eastAsia="en-GB"/>
        </w:rPr>
        <w:t xml:space="preserve"> changes demonstrate how integrating genomics into routine care enhances efficiency and patient </w:t>
      </w:r>
      <w:r w:rsidR="000663FD" w:rsidRPr="00A03C40">
        <w:rPr>
          <w:rFonts w:ascii="Arial" w:eastAsia="Times New Roman" w:hAnsi="Arial" w:cs="Arial"/>
          <w:kern w:val="0"/>
          <w:sz w:val="22"/>
          <w:szCs w:val="22"/>
          <w:lang w:eastAsia="en-GB"/>
        </w:rPr>
        <w:t>satisfaction. However</w:t>
      </w:r>
      <w:r w:rsidR="000C1270" w:rsidRPr="00A03C40">
        <w:rPr>
          <w:rFonts w:ascii="Arial" w:eastAsia="Times New Roman" w:hAnsi="Arial" w:cs="Arial"/>
          <w:kern w:val="0"/>
          <w:sz w:val="22"/>
          <w:szCs w:val="22"/>
          <w:lang w:eastAsia="en-GB"/>
        </w:rPr>
        <w:t>,</w:t>
      </w:r>
      <w:r w:rsidR="005E36BF" w:rsidRPr="00A03C40">
        <w:rPr>
          <w:rFonts w:ascii="Arial" w:eastAsia="Times New Roman" w:hAnsi="Arial" w:cs="Arial"/>
          <w:kern w:val="0"/>
          <w:sz w:val="22"/>
          <w:szCs w:val="22"/>
          <w:lang w:eastAsia="en-GB"/>
        </w:rPr>
        <w:t xml:space="preserve"> </w:t>
      </w:r>
      <w:r w:rsidR="000C1270" w:rsidRPr="00A03C40">
        <w:rPr>
          <w:rFonts w:ascii="Arial" w:eastAsia="Times New Roman" w:hAnsi="Arial" w:cs="Arial"/>
          <w:kern w:val="0"/>
          <w:sz w:val="22"/>
          <w:szCs w:val="22"/>
          <w:lang w:eastAsia="en-GB"/>
        </w:rPr>
        <w:t>a</w:t>
      </w:r>
      <w:r w:rsidR="005E36BF" w:rsidRPr="00A03C40">
        <w:rPr>
          <w:rFonts w:ascii="Arial" w:eastAsia="Times New Roman" w:hAnsi="Arial" w:cs="Arial"/>
          <w:kern w:val="0"/>
          <w:sz w:val="22"/>
          <w:szCs w:val="22"/>
          <w:lang w:eastAsia="en-GB"/>
        </w:rPr>
        <w:t>n individual’s genomic test results may reveal information about relatives who did not consent to genetic testing. A mother may discover she carries a breast cancer susceptibility mutation through a relative’s results</w:t>
      </w:r>
      <w:r w:rsidR="000D0039">
        <w:rPr>
          <w:rFonts w:ascii="Arial" w:eastAsia="Times New Roman" w:hAnsi="Arial" w:cs="Arial"/>
          <w:kern w:val="0"/>
          <w:sz w:val="22"/>
          <w:szCs w:val="22"/>
          <w:lang w:eastAsia="en-GB"/>
        </w:rPr>
        <w:t xml:space="preserve"> that</w:t>
      </w:r>
      <w:r w:rsidR="005E36BF" w:rsidRPr="00A03C40">
        <w:rPr>
          <w:rFonts w:ascii="Arial" w:eastAsia="Times New Roman" w:hAnsi="Arial" w:cs="Arial"/>
          <w:kern w:val="0"/>
          <w:sz w:val="22"/>
          <w:szCs w:val="22"/>
          <w:lang w:eastAsia="en-GB"/>
        </w:rPr>
        <w:t xml:space="preserve"> </w:t>
      </w:r>
      <w:r w:rsidR="000D0039">
        <w:rPr>
          <w:rFonts w:ascii="Arial" w:eastAsia="Times New Roman" w:hAnsi="Arial" w:cs="Arial"/>
          <w:kern w:val="0"/>
          <w:sz w:val="22"/>
          <w:szCs w:val="22"/>
          <w:lang w:eastAsia="en-GB"/>
        </w:rPr>
        <w:t>s</w:t>
      </w:r>
      <w:r w:rsidR="005E36BF" w:rsidRPr="00A03C40">
        <w:rPr>
          <w:rFonts w:ascii="Arial" w:eastAsia="Times New Roman" w:hAnsi="Arial" w:cs="Arial"/>
          <w:kern w:val="0"/>
          <w:sz w:val="22"/>
          <w:szCs w:val="22"/>
          <w:lang w:eastAsia="en-GB"/>
        </w:rPr>
        <w:t xml:space="preserve">he </w:t>
      </w:r>
      <w:r w:rsidR="007B6666">
        <w:rPr>
          <w:rFonts w:ascii="Arial" w:eastAsia="Times New Roman" w:hAnsi="Arial" w:cs="Arial"/>
          <w:kern w:val="0"/>
          <w:sz w:val="22"/>
          <w:szCs w:val="22"/>
          <w:lang w:eastAsia="en-GB"/>
        </w:rPr>
        <w:t>may</w:t>
      </w:r>
      <w:r w:rsidR="005E36BF" w:rsidRPr="00A03C40">
        <w:rPr>
          <w:rFonts w:ascii="Arial" w:eastAsia="Times New Roman" w:hAnsi="Arial" w:cs="Arial"/>
          <w:kern w:val="0"/>
          <w:sz w:val="22"/>
          <w:szCs w:val="22"/>
          <w:lang w:eastAsia="en-GB"/>
        </w:rPr>
        <w:t xml:space="preserve"> not want this knowledge. This creates family conflict because one person’s test result can impose genetic information on unaware relatives without consent.</w:t>
      </w:r>
    </w:p>
    <w:p w14:paraId="7D96281E" w14:textId="77777777" w:rsidR="00417D4D" w:rsidRPr="00A03C40" w:rsidRDefault="00417D4D" w:rsidP="00A74C89">
      <w:pPr>
        <w:spacing w:line="360" w:lineRule="auto"/>
        <w:jc w:val="both"/>
        <w:rPr>
          <w:rFonts w:ascii="Arial" w:eastAsia="Times New Roman" w:hAnsi="Arial" w:cs="Arial"/>
          <w:kern w:val="0"/>
          <w:sz w:val="22"/>
          <w:szCs w:val="22"/>
          <w:lang w:eastAsia="en-GB"/>
        </w:rPr>
      </w:pPr>
    </w:p>
    <w:p w14:paraId="744B52CD" w14:textId="4E6E6E9C" w:rsidR="00E00830" w:rsidRPr="00A03C40" w:rsidRDefault="00937F7F" w:rsidP="00A74C89">
      <w:pPr>
        <w:pStyle w:val="Heading2"/>
        <w:spacing w:line="360" w:lineRule="auto"/>
        <w:jc w:val="both"/>
        <w:rPr>
          <w:rFonts w:ascii="Arial" w:hAnsi="Arial" w:cs="Arial"/>
          <w:b/>
          <w:bCs/>
          <w:color w:val="000000" w:themeColor="text1"/>
          <w:kern w:val="0"/>
          <w:sz w:val="22"/>
          <w:szCs w:val="22"/>
          <w:lang w:eastAsia="en-GB"/>
        </w:rPr>
      </w:pPr>
      <w:bookmarkStart w:id="9" w:name="_Toc213071916"/>
      <w:r w:rsidRPr="00A03C40">
        <w:rPr>
          <w:rFonts w:ascii="Arial" w:hAnsi="Arial" w:cs="Arial"/>
          <w:b/>
          <w:bCs/>
          <w:color w:val="000000" w:themeColor="text1"/>
          <w:sz w:val="22"/>
          <w:szCs w:val="22"/>
          <w:lang w:eastAsia="en-GB"/>
        </w:rPr>
        <w:lastRenderedPageBreak/>
        <w:t>Imp</w:t>
      </w:r>
      <w:r w:rsidR="00B03C56" w:rsidRPr="00A03C40">
        <w:rPr>
          <w:rFonts w:ascii="Arial" w:hAnsi="Arial" w:cs="Arial"/>
          <w:b/>
          <w:bCs/>
          <w:color w:val="000000" w:themeColor="text1"/>
          <w:sz w:val="22"/>
          <w:szCs w:val="22"/>
          <w:lang w:eastAsia="en-GB"/>
        </w:rPr>
        <w:t>act</w:t>
      </w:r>
      <w:r w:rsidR="004F0D3B" w:rsidRPr="00A03C40">
        <w:rPr>
          <w:rFonts w:ascii="Arial" w:hAnsi="Arial" w:cs="Arial"/>
          <w:b/>
          <w:bCs/>
          <w:color w:val="000000" w:themeColor="text1"/>
          <w:sz w:val="22"/>
          <w:szCs w:val="22"/>
          <w:lang w:eastAsia="en-GB"/>
        </w:rPr>
        <w:t xml:space="preserve"> on Pa</w:t>
      </w:r>
      <w:r w:rsidR="00DF4651" w:rsidRPr="00A03C40">
        <w:rPr>
          <w:rFonts w:ascii="Arial" w:hAnsi="Arial" w:cs="Arial"/>
          <w:b/>
          <w:bCs/>
          <w:color w:val="000000" w:themeColor="text1"/>
          <w:sz w:val="22"/>
          <w:szCs w:val="22"/>
          <w:lang w:eastAsia="en-GB"/>
        </w:rPr>
        <w:t xml:space="preserve">tient: </w:t>
      </w:r>
      <w:r w:rsidR="006D755A" w:rsidRPr="00A03C40">
        <w:rPr>
          <w:rFonts w:ascii="Arial" w:hAnsi="Arial" w:cs="Arial"/>
          <w:b/>
          <w:bCs/>
          <w:color w:val="000000" w:themeColor="text1"/>
          <w:sz w:val="22"/>
          <w:szCs w:val="22"/>
          <w:lang w:eastAsia="en-GB"/>
        </w:rPr>
        <w:t>Experience Perception</w:t>
      </w:r>
      <w:bookmarkEnd w:id="9"/>
    </w:p>
    <w:p w14:paraId="2C40878C" w14:textId="1336B621" w:rsidR="004B4024" w:rsidRDefault="00791CCC" w:rsidP="004B4024">
      <w:pPr>
        <w:spacing w:line="360" w:lineRule="auto"/>
        <w:jc w:val="both"/>
        <w:rPr>
          <w:rFonts w:ascii="Arial" w:hAnsi="Arial" w:cs="Arial"/>
        </w:rPr>
      </w:pPr>
      <w:r w:rsidRPr="00A03C40">
        <w:rPr>
          <w:rFonts w:ascii="Arial" w:hAnsi="Arial" w:cs="Arial"/>
          <w:sz w:val="22"/>
          <w:szCs w:val="22"/>
          <w:lang w:eastAsia="en-GB"/>
        </w:rPr>
        <w:t xml:space="preserve">Genomic sequencing has transformed patient outcomes for specific groups, particularly those with undiagnosed rare diseases. Patients finally receive explanations for their symptoms. </w:t>
      </w:r>
      <w:r w:rsidR="008D1585" w:rsidRPr="008D1585">
        <w:rPr>
          <w:rFonts w:ascii="Arial" w:hAnsi="Arial" w:cs="Arial"/>
          <w:sz w:val="22"/>
          <w:szCs w:val="22"/>
        </w:rPr>
        <w:t>A child with unexplained developmental delay and seizures undergoes genomic sequencing, identifying a specific genetic mutation causing CDKL5 deficiency. Families finally understand why their child has these symptoms (McDermott et al., 2021). This knowledge enables access to support services, connection with other families and informed planning. Previously, patients endured years of uncertainty and multiple hospital visits providing no answers. Patients are frequently empowered to choose lifestyle and health options such as preventive therapies when aware of the genetic background. Cancer patients perceive improved care through genomic-guided treatment. Oncologists explain that genomic analysis of breast cancer identifies an HER2 mutation. Patients receive trastuzumab, a targeted therapy alongside chemotherapy, experiencing fewer side effects than standard chemotherapy alone.</w:t>
      </w:r>
      <w:r w:rsidR="00AC2500">
        <w:rPr>
          <w:rFonts w:ascii="Arial" w:hAnsi="Arial" w:cs="Arial"/>
          <w:sz w:val="22"/>
          <w:szCs w:val="22"/>
        </w:rPr>
        <w:t xml:space="preserve"> </w:t>
      </w:r>
      <w:r w:rsidRPr="00A03C40">
        <w:rPr>
          <w:rFonts w:ascii="Arial" w:hAnsi="Arial" w:cs="Arial"/>
          <w:sz w:val="22"/>
          <w:szCs w:val="22"/>
          <w:lang w:eastAsia="en-GB"/>
        </w:rPr>
        <w:t>As a result, prognosis improves substantially.</w:t>
      </w:r>
      <w:r w:rsidR="00907481" w:rsidRPr="00907481">
        <w:rPr>
          <w:rFonts w:ascii="Arial" w:hAnsi="Arial" w:cs="Arial"/>
          <w:sz w:val="22"/>
          <w:szCs w:val="22"/>
          <w:lang w:eastAsia="en-GB"/>
        </w:rPr>
        <w:t xml:space="preserve"> </w:t>
      </w:r>
      <w:r w:rsidR="00907481" w:rsidRPr="000642FA">
        <w:rPr>
          <w:rFonts w:ascii="Arial" w:hAnsi="Arial" w:cs="Arial"/>
          <w:sz w:val="22"/>
          <w:szCs w:val="22"/>
          <w:lang w:eastAsia="en-GB"/>
        </w:rPr>
        <w:t>Patients can make educated decisions and prevent needless procedures by using genomic information to lead them to the best therapy.</w:t>
      </w:r>
      <w:r w:rsidR="004B4024" w:rsidRPr="004B4024">
        <w:rPr>
          <w:rFonts w:ascii="Arial" w:hAnsi="Arial" w:cs="Arial"/>
          <w:sz w:val="22"/>
          <w:szCs w:val="22"/>
        </w:rPr>
        <w:t xml:space="preserve"> </w:t>
      </w:r>
      <w:r w:rsidR="004B4024" w:rsidRPr="004B4024">
        <w:rPr>
          <w:rFonts w:ascii="Arial" w:hAnsi="Arial" w:cs="Arial"/>
          <w:sz w:val="22"/>
          <w:szCs w:val="22"/>
        </w:rPr>
        <w:t>A key component of precision oncology's development is genomic profiling. Together, genomics, gene editing and artificial intelligence make it possible to deliver personalised, effective and inclusive cancer care, improving patients’ lives (Mohamad Jamalinia and Ralf Weiskirchen, 2025).</w:t>
      </w:r>
    </w:p>
    <w:p w14:paraId="1DFF889B" w14:textId="55EBE594" w:rsidR="005C32AA" w:rsidRPr="007734A7" w:rsidRDefault="00791384" w:rsidP="00A74C89">
      <w:pPr>
        <w:spacing w:line="360" w:lineRule="auto"/>
        <w:jc w:val="both"/>
        <w:rPr>
          <w:rFonts w:ascii="Arial" w:hAnsi="Arial" w:cs="Arial"/>
        </w:rPr>
      </w:pPr>
      <w:r w:rsidRPr="00791384">
        <w:rPr>
          <w:rFonts w:ascii="Arial" w:hAnsi="Arial" w:cs="Arial"/>
          <w:sz w:val="22"/>
          <w:szCs w:val="22"/>
        </w:rPr>
        <w:t>Patients also face significant uncertainties and anxieties. However, genomic testing reveals genetic variants of uncertain significance. Test results may show a mutation in a cancer vulnerability gene, but scientists do not fully understand what this means for future health outcomes (Makhnoon, Shirts and Bowen, 2019).</w:t>
      </w:r>
      <w:r w:rsidR="00A0412E" w:rsidRPr="00A0412E">
        <w:rPr>
          <w:rFonts w:ascii="Arial" w:hAnsi="Arial" w:cs="Arial"/>
        </w:rPr>
        <w:t xml:space="preserve"> </w:t>
      </w:r>
      <w:r w:rsidR="00A0412E" w:rsidRPr="00A0412E">
        <w:rPr>
          <w:rFonts w:ascii="Arial" w:hAnsi="Arial" w:cs="Arial"/>
          <w:sz w:val="22"/>
          <w:szCs w:val="22"/>
        </w:rPr>
        <w:t>Patients often experience anxiety because they carry genetic information with unclear implications. In addition, they may be uncertain about whether to share these results with family members. Incidental findings can create ethical dilemmas. A genomic test may search for causes of cancer, but bioinformaticians might discover an unrelated genetic mutation associated with early-onset dementia. Patients may not have requested information about dementia risk, yet they now possess this knowledge. As a result, some individuals struggle with whether this unexpected information should influence their life plans. They may also be uncertain about whether to inform their children, who may have inherited the mutation.</w:t>
      </w:r>
      <w:r w:rsidR="00C3069A">
        <w:rPr>
          <w:rFonts w:ascii="Arial" w:hAnsi="Arial" w:cs="Arial"/>
          <w:sz w:val="22"/>
          <w:szCs w:val="22"/>
        </w:rPr>
        <w:t xml:space="preserve"> </w:t>
      </w:r>
      <w:r w:rsidR="006E372E" w:rsidRPr="00E13677">
        <w:rPr>
          <w:rFonts w:ascii="Arial" w:hAnsi="Arial" w:cs="Arial"/>
          <w:sz w:val="22"/>
          <w:szCs w:val="22"/>
        </w:rPr>
        <w:t>Genomic data is vulnerable to misuse, as it reveals information about ancestry, disease exposure and family relationships. This raises concerns about genetic discrimination in employment or insurance, particularly if employers’ access genomic data and discriminate based on hereditary diseases.</w:t>
      </w:r>
      <w:r w:rsidR="00B3142F">
        <w:rPr>
          <w:rFonts w:ascii="Arial" w:hAnsi="Arial" w:cs="Arial"/>
        </w:rPr>
        <w:t xml:space="preserve"> </w:t>
      </w:r>
      <w:r w:rsidR="00850065" w:rsidRPr="00A03C40">
        <w:rPr>
          <w:rFonts w:ascii="Arial" w:hAnsi="Arial" w:cs="Arial"/>
          <w:sz w:val="22"/>
          <w:szCs w:val="22"/>
          <w:lang w:eastAsia="en-GB"/>
        </w:rPr>
        <w:t>Also, many</w:t>
      </w:r>
      <w:r w:rsidR="005C32AA" w:rsidRPr="00A03C40">
        <w:rPr>
          <w:rFonts w:ascii="Arial" w:hAnsi="Arial" w:cs="Arial"/>
          <w:sz w:val="22"/>
          <w:szCs w:val="22"/>
          <w:lang w:eastAsia="en-GB"/>
        </w:rPr>
        <w:t xml:space="preserve"> patients remain uncertain about data security within NHS systems</w:t>
      </w:r>
      <w:r w:rsidR="000D0C67" w:rsidRPr="00A03C40">
        <w:rPr>
          <w:rFonts w:ascii="Arial" w:hAnsi="Arial" w:cs="Arial"/>
          <w:sz w:val="22"/>
          <w:szCs w:val="22"/>
          <w:lang w:eastAsia="en-GB"/>
        </w:rPr>
        <w:t xml:space="preserve"> </w:t>
      </w:r>
      <w:r w:rsidR="0008768B" w:rsidRPr="00A03C40">
        <w:rPr>
          <w:rFonts w:ascii="Arial" w:hAnsi="Arial" w:cs="Arial"/>
          <w:sz w:val="22"/>
          <w:szCs w:val="22"/>
          <w:lang w:eastAsia="en-GB"/>
        </w:rPr>
        <w:t>(Clayton et al., 2019). The</w:t>
      </w:r>
      <w:r w:rsidR="005C32AA" w:rsidRPr="00A03C40">
        <w:rPr>
          <w:rFonts w:ascii="Arial" w:hAnsi="Arial" w:cs="Arial"/>
          <w:sz w:val="22"/>
          <w:szCs w:val="22"/>
          <w:lang w:eastAsia="en-GB"/>
        </w:rPr>
        <w:t xml:space="preserve"> </w:t>
      </w:r>
      <w:r w:rsidR="002B4FD0" w:rsidRPr="00A03C40">
        <w:rPr>
          <w:rFonts w:ascii="Arial" w:hAnsi="Arial" w:cs="Arial"/>
          <w:sz w:val="22"/>
          <w:szCs w:val="22"/>
          <w:lang w:eastAsia="en-GB"/>
        </w:rPr>
        <w:t xml:space="preserve">mental </w:t>
      </w:r>
      <w:r w:rsidR="0025207C" w:rsidRPr="00A03C40">
        <w:rPr>
          <w:rFonts w:ascii="Arial" w:hAnsi="Arial" w:cs="Arial"/>
          <w:sz w:val="22"/>
          <w:szCs w:val="22"/>
          <w:lang w:eastAsia="en-GB"/>
        </w:rPr>
        <w:t>implication</w:t>
      </w:r>
      <w:r w:rsidR="005C32AA" w:rsidRPr="00A03C40">
        <w:rPr>
          <w:rFonts w:ascii="Arial" w:hAnsi="Arial" w:cs="Arial"/>
          <w:sz w:val="22"/>
          <w:szCs w:val="22"/>
          <w:lang w:eastAsia="en-GB"/>
        </w:rPr>
        <w:t xml:space="preserve"> of genomic testing </w:t>
      </w:r>
      <w:r w:rsidR="005C32AA" w:rsidRPr="00A03C40">
        <w:rPr>
          <w:rFonts w:ascii="Arial" w:hAnsi="Arial" w:cs="Arial"/>
          <w:sz w:val="22"/>
          <w:szCs w:val="22"/>
          <w:lang w:eastAsia="en-GB"/>
        </w:rPr>
        <w:lastRenderedPageBreak/>
        <w:t>varies, some patients report profound relief after receiving a diagnosis following years of investigation, while others experience distress upon learning they carry disease-causing mutations. Genetic testing can also affect family dynamics, with some families reporting improved relationships as testing explains long-standing health problems, while others face conflict when results reveal unexpected paternity or health risks in relatives who did not consent.</w:t>
      </w:r>
    </w:p>
    <w:p w14:paraId="58DCA00A" w14:textId="77777777" w:rsidR="00423E89" w:rsidRPr="00A03C40" w:rsidRDefault="00861608" w:rsidP="00A74C89">
      <w:pPr>
        <w:pStyle w:val="Heading2"/>
        <w:spacing w:line="360" w:lineRule="auto"/>
        <w:jc w:val="both"/>
        <w:rPr>
          <w:rFonts w:ascii="Arial" w:hAnsi="Arial" w:cs="Arial"/>
          <w:b/>
          <w:bCs/>
          <w:color w:val="000000" w:themeColor="text1"/>
          <w:sz w:val="22"/>
          <w:szCs w:val="22"/>
          <w:lang w:eastAsia="en-GB"/>
        </w:rPr>
      </w:pPr>
      <w:bookmarkStart w:id="10" w:name="_Toc211282809"/>
      <w:bookmarkStart w:id="11" w:name="_Toc213071917"/>
      <w:r w:rsidRPr="00A03C40">
        <w:rPr>
          <w:rFonts w:ascii="Arial" w:hAnsi="Arial" w:cs="Arial"/>
          <w:b/>
          <w:bCs/>
          <w:color w:val="000000" w:themeColor="text1"/>
          <w:sz w:val="22"/>
          <w:szCs w:val="22"/>
          <w:lang w:eastAsia="en-GB"/>
        </w:rPr>
        <w:t>Impact on Communities: Benefits, Challenges, and Inequalities</w:t>
      </w:r>
      <w:bookmarkEnd w:id="10"/>
      <w:bookmarkEnd w:id="11"/>
    </w:p>
    <w:p w14:paraId="13F895CF" w14:textId="77777777" w:rsidR="00054619" w:rsidRPr="00363BF7" w:rsidRDefault="00054619" w:rsidP="00054619">
      <w:pPr>
        <w:spacing w:line="360" w:lineRule="auto"/>
        <w:jc w:val="both"/>
        <w:rPr>
          <w:rFonts w:ascii="Arial" w:hAnsi="Arial" w:cs="Arial"/>
          <w:sz w:val="22"/>
          <w:szCs w:val="22"/>
        </w:rPr>
      </w:pPr>
      <w:r w:rsidRPr="00363BF7">
        <w:rPr>
          <w:rFonts w:ascii="Arial" w:hAnsi="Arial" w:cs="Arial"/>
          <w:sz w:val="22"/>
          <w:szCs w:val="22"/>
        </w:rPr>
        <w:t>Genomic sequencing benefits communities by enabling earlier disease prevention and family support. Families with hereditary cancer syndromes learn their genetic status through proband testing (Schmidlen et al. 2022). Relatives can then access testing and those carrying mutations can increase screening and undergo preventive treatments such as risk-reducing surgery. Communities see reduced cancer mortality as family members make informed prevention decisions.</w:t>
      </w:r>
      <w:r w:rsidRPr="0006231C">
        <w:rPr>
          <w:rFonts w:ascii="Arial" w:hAnsi="Arial" w:cs="Arial"/>
          <w:sz w:val="22"/>
          <w:szCs w:val="22"/>
        </w:rPr>
        <w:t xml:space="preserve"> </w:t>
      </w:r>
      <w:r w:rsidRPr="00363BF7">
        <w:rPr>
          <w:rFonts w:ascii="Arial" w:hAnsi="Arial" w:cs="Arial"/>
          <w:sz w:val="22"/>
          <w:szCs w:val="22"/>
        </w:rPr>
        <w:t>Rare disease communities have mobilised around genomic sequencing. Patients with the same rare genetic diagnosis can connect globally via digital platforms sharing knowledge about living with their condition. Rare disease organisations incorporate genomic data into research partnerships with universities and pharmaceutical companies allowing patients to contribute to treatment development. Communities previously isolated by rarity now collaborate internationally. In rural areas community organisations raise awareness of hereditary illnesses and hold seminars where families exchange stories, discover resources and strengthen connections</w:t>
      </w:r>
      <w:r w:rsidRPr="0006231C">
        <w:rPr>
          <w:rFonts w:ascii="Arial" w:hAnsi="Arial" w:cs="Arial"/>
          <w:sz w:val="22"/>
          <w:szCs w:val="22"/>
        </w:rPr>
        <w:t>.</w:t>
      </w:r>
    </w:p>
    <w:p w14:paraId="3FBD08C4" w14:textId="07FBF17B" w:rsidR="00BA38DF" w:rsidRPr="00A03C40" w:rsidRDefault="00BA38DF" w:rsidP="00A74C89">
      <w:pPr>
        <w:spacing w:line="360" w:lineRule="auto"/>
        <w:jc w:val="both"/>
        <w:rPr>
          <w:rFonts w:ascii="Arial" w:hAnsi="Arial" w:cs="Arial"/>
          <w:sz w:val="22"/>
          <w:szCs w:val="22"/>
          <w:lang w:eastAsia="en-GB"/>
        </w:rPr>
      </w:pPr>
      <w:r w:rsidRPr="00A03C40">
        <w:rPr>
          <w:rFonts w:ascii="Arial" w:hAnsi="Arial" w:cs="Arial"/>
          <w:sz w:val="22"/>
          <w:szCs w:val="22"/>
          <w:lang w:eastAsia="en-GB"/>
        </w:rPr>
        <w:t xml:space="preserve">Public health benefits emerge through epidemiological insights. Genomic data identifies common genetic variants associated with common diseases like type 2 diabetes and cardiovascular </w:t>
      </w:r>
      <w:r w:rsidR="00EA4EDE" w:rsidRPr="00A03C40">
        <w:rPr>
          <w:rFonts w:ascii="Arial" w:hAnsi="Arial" w:cs="Arial"/>
          <w:sz w:val="22"/>
          <w:szCs w:val="22"/>
          <w:lang w:eastAsia="en-GB"/>
        </w:rPr>
        <w:t>disease. Public</w:t>
      </w:r>
      <w:r w:rsidRPr="00A03C40">
        <w:rPr>
          <w:rFonts w:ascii="Arial" w:hAnsi="Arial" w:cs="Arial"/>
          <w:sz w:val="22"/>
          <w:szCs w:val="22"/>
          <w:lang w:eastAsia="en-GB"/>
        </w:rPr>
        <w:t xml:space="preserve"> health teams use this knowledge to target prevention services (Zhang et al., 2018). As a result, individuals may access personalised prevention recommendations based on their genomic risk profiles. Community-level interventions become more effective because they reflect genomic disease understanding. However, genomic sequencing has deepened community inequalities. Specialist genomic services are concentrated in major cities and teaching hospital hubs. Rural and remote communities lack local genomic services. Patients may have to travel long distances for genetic consultation and testing</w:t>
      </w:r>
      <w:r w:rsidR="00141E05">
        <w:rPr>
          <w:rFonts w:ascii="Arial" w:hAnsi="Arial" w:cs="Arial"/>
          <w:sz w:val="22"/>
          <w:szCs w:val="22"/>
          <w:lang w:eastAsia="en-GB"/>
        </w:rPr>
        <w:t>, t</w:t>
      </w:r>
      <w:r w:rsidRPr="00A03C40">
        <w:rPr>
          <w:rFonts w:ascii="Arial" w:hAnsi="Arial" w:cs="Arial"/>
          <w:sz w:val="22"/>
          <w:szCs w:val="22"/>
          <w:lang w:eastAsia="en-GB"/>
        </w:rPr>
        <w:t>hey may miss work appointments and experience additional travel-related costs. Communities in deprived areas access genomic services less frequently because their GPs lack awareness and confidence in ordering genomic tests.</w:t>
      </w:r>
    </w:p>
    <w:p w14:paraId="41EE8520" w14:textId="760A2FCD" w:rsidR="004C13AD" w:rsidRPr="00A03C40" w:rsidRDefault="004C13AD" w:rsidP="00A74C89">
      <w:pPr>
        <w:spacing w:line="360" w:lineRule="auto"/>
        <w:jc w:val="both"/>
        <w:rPr>
          <w:rFonts w:ascii="Arial" w:hAnsi="Arial" w:cs="Arial"/>
          <w:sz w:val="22"/>
          <w:szCs w:val="22"/>
          <w:lang w:eastAsia="en-GB"/>
        </w:rPr>
      </w:pPr>
      <w:r w:rsidRPr="00A03C40">
        <w:rPr>
          <w:rFonts w:ascii="Arial" w:hAnsi="Arial" w:cs="Arial"/>
          <w:sz w:val="22"/>
          <w:szCs w:val="22"/>
          <w:lang w:eastAsia="en-GB"/>
        </w:rPr>
        <w:t xml:space="preserve">Furthermore, ethnic representation in genomic databases is severely limited, as most genomic research involved white European populations, so individuals from ethnic minority </w:t>
      </w:r>
      <w:r w:rsidRPr="00A03C40">
        <w:rPr>
          <w:rFonts w:ascii="Arial" w:hAnsi="Arial" w:cs="Arial"/>
          <w:sz w:val="22"/>
          <w:szCs w:val="22"/>
          <w:lang w:eastAsia="en-GB"/>
        </w:rPr>
        <w:lastRenderedPageBreak/>
        <w:t>backgrounds may have genetic variation underrepresented and variants misinterpreted (Landry et al., 2018). This creates healthcare disparities where genomic medicine benefits white populations more than ethnic minorities. Patients from minority communities rarely participate in designing genomic testing pathways or interpreting results. Patient advisory groups exist in some regions but lack real influence. Communities affected by specific rare diseases have greater input than those with common diseases, representing inconsistent co-production across genomic services. Family involvement can create tensions, because an individual’s genomic test results may reveal information about relatives who did not consent. For example, a mother may discover she carries a breast cancer vulnerability mutation through a relative’s results</w:t>
      </w:r>
      <w:r w:rsidR="00E377D7">
        <w:rPr>
          <w:rFonts w:ascii="Arial" w:hAnsi="Arial" w:cs="Arial"/>
          <w:sz w:val="22"/>
          <w:szCs w:val="22"/>
          <w:lang w:eastAsia="en-GB"/>
        </w:rPr>
        <w:t xml:space="preserve"> t</w:t>
      </w:r>
      <w:r w:rsidRPr="00A03C40">
        <w:rPr>
          <w:rFonts w:ascii="Arial" w:hAnsi="Arial" w:cs="Arial"/>
          <w:sz w:val="22"/>
          <w:szCs w:val="22"/>
          <w:lang w:eastAsia="en-GB"/>
        </w:rPr>
        <w:t xml:space="preserve">herefore, </w:t>
      </w:r>
      <w:r w:rsidR="00E377D7" w:rsidRPr="00A03C40">
        <w:rPr>
          <w:rFonts w:ascii="Arial" w:hAnsi="Arial" w:cs="Arial"/>
          <w:sz w:val="22"/>
          <w:szCs w:val="22"/>
          <w:lang w:eastAsia="en-GB"/>
        </w:rPr>
        <w:t>creati</w:t>
      </w:r>
      <w:r w:rsidR="00E377D7">
        <w:rPr>
          <w:rFonts w:ascii="Arial" w:hAnsi="Arial" w:cs="Arial"/>
          <w:sz w:val="22"/>
          <w:szCs w:val="22"/>
          <w:lang w:eastAsia="en-GB"/>
        </w:rPr>
        <w:t>ng</w:t>
      </w:r>
      <w:r w:rsidRPr="00A03C40">
        <w:rPr>
          <w:rFonts w:ascii="Arial" w:hAnsi="Arial" w:cs="Arial"/>
          <w:sz w:val="22"/>
          <w:szCs w:val="22"/>
          <w:lang w:eastAsia="en-GB"/>
        </w:rPr>
        <w:t xml:space="preserve"> family conflict as one person’s test result-imposed information on relatives without consent.</w:t>
      </w:r>
    </w:p>
    <w:p w14:paraId="75DFC680" w14:textId="77777777" w:rsidR="00861608" w:rsidRPr="00A03C40" w:rsidRDefault="00861608" w:rsidP="00A74C89">
      <w:pPr>
        <w:pStyle w:val="Heading2"/>
        <w:spacing w:line="360" w:lineRule="auto"/>
        <w:jc w:val="both"/>
        <w:rPr>
          <w:rFonts w:ascii="Arial" w:hAnsi="Arial" w:cs="Arial"/>
          <w:b/>
          <w:bCs/>
          <w:color w:val="000000" w:themeColor="text1"/>
          <w:sz w:val="22"/>
          <w:szCs w:val="22"/>
          <w:lang w:eastAsia="en-GB"/>
        </w:rPr>
      </w:pPr>
      <w:bookmarkStart w:id="12" w:name="_Toc211282810"/>
      <w:bookmarkStart w:id="13" w:name="_Toc213071918"/>
      <w:r w:rsidRPr="00A03C40">
        <w:rPr>
          <w:rFonts w:ascii="Arial" w:hAnsi="Arial" w:cs="Arial"/>
          <w:b/>
          <w:bCs/>
          <w:color w:val="000000" w:themeColor="text1"/>
          <w:sz w:val="22"/>
          <w:szCs w:val="22"/>
          <w:lang w:eastAsia="en-GB"/>
        </w:rPr>
        <w:t>Conclusion</w:t>
      </w:r>
      <w:bookmarkEnd w:id="12"/>
      <w:bookmarkEnd w:id="13"/>
    </w:p>
    <w:p w14:paraId="3572FCC9" w14:textId="7D3B9D11" w:rsidR="00861608" w:rsidRPr="00A03C40" w:rsidRDefault="005642FF" w:rsidP="00A74C89">
      <w:pPr>
        <w:spacing w:after="0" w:line="360" w:lineRule="auto"/>
        <w:jc w:val="both"/>
        <w:rPr>
          <w:rFonts w:ascii="Arial" w:eastAsia="Times New Roman" w:hAnsi="Arial" w:cs="Arial"/>
          <w:kern w:val="0"/>
          <w:sz w:val="22"/>
          <w:szCs w:val="22"/>
          <w:lang w:eastAsia="en-GB"/>
        </w:rPr>
      </w:pPr>
      <w:r w:rsidRPr="00A03C40">
        <w:rPr>
          <w:rFonts w:ascii="Arial" w:eastAsia="Times New Roman" w:hAnsi="Arial" w:cs="Arial"/>
          <w:kern w:val="0"/>
          <w:sz w:val="22"/>
          <w:szCs w:val="22"/>
          <w:lang w:eastAsia="en-GB"/>
        </w:rPr>
        <w:t>Genomic sequencing has substantially transformed UK health and social care over the last decade. The technology has created new career opportunities and enabled precision diagnosis and treatment for many patients. Patients benefit from faster diagnosis of rare diseases, personalised cancer treatment and family-based prevention strategies. However, critical problems limit the technology's impact. The workforce lacks sufficient trained professionals, creating delays and inequitable access. Service delivery remains fragmented across regions. Patients face uncertainty about incidental findings and experience privacy anxiety. Communities face deepening inequalities in genomic service access and inadequate ethnic representation in genomic research. Genomic sequencing represents incomplete modernisation of NHS health and social care. The technology works effectively, but implementation has failed to ensure equitable access, workforce training and integrated service delivery. The NHS requires sustained investment in workforce development, standardised service pathways and genuine co-production with patient communities. Addressing current implementation failures is essential to ensure all patients benefit equally from genomic medicine.</w:t>
      </w:r>
    </w:p>
    <w:p w14:paraId="495027ED" w14:textId="77777777" w:rsidR="00CC7804" w:rsidRPr="00713388" w:rsidRDefault="00CC7804" w:rsidP="00A74C89">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52174C4F" w14:textId="77777777" w:rsidR="00E807AF" w:rsidRPr="00713388" w:rsidRDefault="00E807AF" w:rsidP="00A74C89">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1C1D48CA" w14:textId="77777777" w:rsidR="00A53061" w:rsidRDefault="00A53061" w:rsidP="00A74C89">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07808CCC" w14:textId="77777777" w:rsidR="00A03C40" w:rsidRDefault="00A03C40" w:rsidP="00A74C89">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27F2ABAE" w14:textId="77777777" w:rsidR="00A03C40" w:rsidRDefault="00A03C40" w:rsidP="00A74C89">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574281C2" w14:textId="77777777" w:rsidR="00A03C40" w:rsidRPr="00713388" w:rsidRDefault="00A03C40" w:rsidP="00713388">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1E6A7AAA" w14:textId="1A933321" w:rsidR="002838A7" w:rsidRPr="00713388" w:rsidRDefault="001E3F75" w:rsidP="00713388">
      <w:pPr>
        <w:pStyle w:val="Heading2"/>
        <w:spacing w:line="360" w:lineRule="auto"/>
        <w:rPr>
          <w:rFonts w:ascii="Arial" w:hAnsi="Arial" w:cs="Arial"/>
          <w:b/>
          <w:bCs/>
          <w:color w:val="000000" w:themeColor="text1"/>
          <w:sz w:val="22"/>
          <w:szCs w:val="22"/>
          <w:lang w:eastAsia="en-GB"/>
        </w:rPr>
      </w:pPr>
      <w:bookmarkStart w:id="14" w:name="_Toc213071919"/>
      <w:r w:rsidRPr="00713388">
        <w:rPr>
          <w:rFonts w:ascii="Arial" w:hAnsi="Arial" w:cs="Arial"/>
          <w:b/>
          <w:bCs/>
          <w:color w:val="000000" w:themeColor="text1"/>
          <w:sz w:val="22"/>
          <w:szCs w:val="22"/>
          <w:lang w:eastAsia="en-GB"/>
        </w:rPr>
        <w:t>Reference</w:t>
      </w:r>
      <w:r w:rsidR="004824E0" w:rsidRPr="00713388">
        <w:rPr>
          <w:rFonts w:ascii="Arial" w:hAnsi="Arial" w:cs="Arial"/>
          <w:b/>
          <w:bCs/>
          <w:color w:val="000000" w:themeColor="text1"/>
          <w:sz w:val="22"/>
          <w:szCs w:val="22"/>
          <w:lang w:eastAsia="en-GB"/>
        </w:rPr>
        <w:t>s</w:t>
      </w:r>
      <w:bookmarkEnd w:id="14"/>
    </w:p>
    <w:p w14:paraId="1823CA0F" w14:textId="77777777" w:rsidR="00F35A75" w:rsidRDefault="00F35A75" w:rsidP="00EE0733">
      <w:pPr>
        <w:spacing w:before="100" w:beforeAutospacing="1" w:after="100" w:afterAutospacing="1" w:line="360" w:lineRule="auto"/>
        <w:jc w:val="both"/>
        <w:outlineLvl w:val="1"/>
        <w:rPr>
          <w:rFonts w:ascii="Arial" w:eastAsia="Times New Roman" w:hAnsi="Arial" w:cs="Arial"/>
          <w:b/>
          <w:bCs/>
          <w:kern w:val="0"/>
          <w:sz w:val="22"/>
          <w:szCs w:val="22"/>
          <w:lang w:eastAsia="en-GB"/>
        </w:rPr>
      </w:pPr>
    </w:p>
    <w:p w14:paraId="6764879A" w14:textId="1B8D6E53" w:rsidR="0082067D" w:rsidRDefault="001E3F75" w:rsidP="00A74C89">
      <w:pPr>
        <w:jc w:val="both"/>
        <w:rPr>
          <w:lang w:eastAsia="en-GB"/>
        </w:rPr>
      </w:pPr>
      <w:r w:rsidRPr="002838A7">
        <w:rPr>
          <w:lang w:eastAsia="en-GB"/>
        </w:rPr>
        <w:t xml:space="preserve"> listAllsbrook, K., Atzinger, C., He, H., Engelhard, C., Yager, G. and Wusik, K. (2016) </w:t>
      </w:r>
      <w:r w:rsidR="00D51BC4">
        <w:rPr>
          <w:lang w:eastAsia="en-GB"/>
        </w:rPr>
        <w:t>‘</w:t>
      </w:r>
      <w:r w:rsidRPr="002838A7">
        <w:rPr>
          <w:lang w:eastAsia="en-GB"/>
        </w:rPr>
        <w:t>The Relationship between the Supervision Role and Compassion Fatigue and Burnout in Genetic Counseling</w:t>
      </w:r>
      <w:r w:rsidR="00D51BC4">
        <w:rPr>
          <w:lang w:eastAsia="en-GB"/>
        </w:rPr>
        <w:t>’,</w:t>
      </w:r>
      <w:r w:rsidRPr="002838A7">
        <w:rPr>
          <w:lang w:eastAsia="en-GB"/>
        </w:rPr>
        <w:t xml:space="preserve"> </w:t>
      </w:r>
      <w:r w:rsidRPr="001A267C">
        <w:rPr>
          <w:i/>
          <w:iCs/>
          <w:lang w:eastAsia="en-GB"/>
        </w:rPr>
        <w:t>Journal of Genetic Counseling,</w:t>
      </w:r>
      <w:r w:rsidRPr="002838A7">
        <w:rPr>
          <w:lang w:eastAsia="en-GB"/>
        </w:rPr>
        <w:t xml:space="preserve"> 25(6), pp.1286–1297. </w:t>
      </w:r>
      <w:r w:rsidR="00D51BC4">
        <w:rPr>
          <w:lang w:eastAsia="en-GB"/>
        </w:rPr>
        <w:t xml:space="preserve">Available at </w:t>
      </w:r>
      <w:hyperlink r:id="rId10" w:history="1">
        <w:r w:rsidR="00D51BC4" w:rsidRPr="00A52E81">
          <w:rPr>
            <w:rStyle w:val="Hyperlink"/>
            <w:rFonts w:ascii="Arial" w:eastAsia="Times New Roman" w:hAnsi="Arial" w:cs="Arial"/>
            <w:kern w:val="0"/>
            <w:sz w:val="22"/>
            <w:szCs w:val="22"/>
            <w:lang w:eastAsia="en-GB"/>
          </w:rPr>
          <w:t>https://doi.org/10.1007/s10897-016-9970-9</w:t>
        </w:r>
      </w:hyperlink>
      <w:r w:rsidRPr="002838A7">
        <w:rPr>
          <w:lang w:eastAsia="en-GB"/>
        </w:rPr>
        <w:t>.</w:t>
      </w:r>
      <w:r w:rsidR="00D51BC4">
        <w:rPr>
          <w:lang w:eastAsia="en-GB"/>
        </w:rPr>
        <w:t xml:space="preserve"> </w:t>
      </w:r>
    </w:p>
    <w:p w14:paraId="2F5882A6" w14:textId="05B1BD8D" w:rsidR="00CE7822" w:rsidRDefault="001E3F75" w:rsidP="00A74C89">
      <w:pPr>
        <w:jc w:val="both"/>
        <w:rPr>
          <w:lang w:eastAsia="en-GB"/>
        </w:rPr>
      </w:pPr>
      <w:r w:rsidRPr="002838A7">
        <w:rPr>
          <w:lang w:eastAsia="en-GB"/>
        </w:rPr>
        <w:t xml:space="preserve">CDC (2024). </w:t>
      </w:r>
      <w:r w:rsidRPr="007D1CA5">
        <w:rPr>
          <w:i/>
          <w:iCs/>
          <w:lang w:eastAsia="en-GB"/>
        </w:rPr>
        <w:t>What Is Genomic Sequencing?</w:t>
      </w:r>
      <w:r w:rsidRPr="002838A7">
        <w:rPr>
          <w:lang w:eastAsia="en-GB"/>
        </w:rPr>
        <w:t xml:space="preserve"> Advanced Molecular Detection (AMD). Available at:</w:t>
      </w:r>
      <w:hyperlink r:id="rId11" w:history="1">
        <w:r w:rsidR="001A267C" w:rsidRPr="00A52E81">
          <w:rPr>
            <w:rStyle w:val="Hyperlink"/>
            <w:rFonts w:ascii="Arial" w:eastAsia="Times New Roman" w:hAnsi="Arial" w:cs="Arial"/>
            <w:kern w:val="0"/>
            <w:sz w:val="22"/>
            <w:szCs w:val="22"/>
            <w:lang w:eastAsia="en-GB"/>
          </w:rPr>
          <w:t>https://www.cdc.gov/advanced-molecular-detection/about/what-is-genomic-sequencing.html</w:t>
        </w:r>
      </w:hyperlink>
      <w:r w:rsidR="00104222">
        <w:rPr>
          <w:lang w:eastAsia="en-GB"/>
        </w:rPr>
        <w:t xml:space="preserve"> </w:t>
      </w:r>
      <w:r w:rsidRPr="002838A7">
        <w:rPr>
          <w:lang w:eastAsia="en-GB"/>
        </w:rPr>
        <w:t xml:space="preserve"> </w:t>
      </w:r>
      <w:r w:rsidR="00104222">
        <w:rPr>
          <w:lang w:eastAsia="en-GB"/>
        </w:rPr>
        <w:t>(</w:t>
      </w:r>
      <w:r w:rsidRPr="002838A7">
        <w:rPr>
          <w:lang w:eastAsia="en-GB"/>
        </w:rPr>
        <w:t>Accessed 13 Oct</w:t>
      </w:r>
      <w:r w:rsidR="00104222">
        <w:rPr>
          <w:lang w:eastAsia="en-GB"/>
        </w:rPr>
        <w:t>ober</w:t>
      </w:r>
      <w:r w:rsidRPr="002838A7">
        <w:rPr>
          <w:lang w:eastAsia="en-GB"/>
        </w:rPr>
        <w:t>. 2025</w:t>
      </w:r>
      <w:r w:rsidR="00104222">
        <w:rPr>
          <w:lang w:eastAsia="en-GB"/>
        </w:rPr>
        <w:t>)</w:t>
      </w:r>
      <w:r w:rsidRPr="002838A7">
        <w:rPr>
          <w:lang w:eastAsia="en-GB"/>
        </w:rPr>
        <w:t>.</w:t>
      </w:r>
      <w:r w:rsidR="00CE7822">
        <w:rPr>
          <w:lang w:eastAsia="en-GB"/>
        </w:rPr>
        <w:t xml:space="preserve"> </w:t>
      </w:r>
    </w:p>
    <w:p w14:paraId="10F68398" w14:textId="40025260" w:rsidR="007E2644" w:rsidRDefault="001E3F75" w:rsidP="00A74C89">
      <w:pPr>
        <w:jc w:val="both"/>
        <w:rPr>
          <w:lang w:eastAsia="en-GB"/>
        </w:rPr>
      </w:pPr>
      <w:r w:rsidRPr="002838A7">
        <w:rPr>
          <w:lang w:eastAsia="en-GB"/>
        </w:rPr>
        <w:t xml:space="preserve">Clayton, E.W., Evans, B.J., Hazel, J.W. and Rothstein, M.A. (2019) </w:t>
      </w:r>
      <w:r w:rsidR="003A6478">
        <w:rPr>
          <w:lang w:eastAsia="en-GB"/>
        </w:rPr>
        <w:t>‘</w:t>
      </w:r>
      <w:r w:rsidRPr="002838A7">
        <w:rPr>
          <w:lang w:eastAsia="en-GB"/>
        </w:rPr>
        <w:t>The Law of Genetic privacy: applications, implications, and Limitations</w:t>
      </w:r>
      <w:r w:rsidR="003A6478">
        <w:rPr>
          <w:lang w:eastAsia="en-GB"/>
        </w:rPr>
        <w:t>’,</w:t>
      </w:r>
      <w:r w:rsidRPr="002838A7">
        <w:rPr>
          <w:lang w:eastAsia="en-GB"/>
        </w:rPr>
        <w:t xml:space="preserve"> </w:t>
      </w:r>
      <w:r w:rsidRPr="00D75AF2">
        <w:rPr>
          <w:i/>
          <w:iCs/>
          <w:lang w:eastAsia="en-GB"/>
        </w:rPr>
        <w:t xml:space="preserve">Journal of Law and the </w:t>
      </w:r>
      <w:r w:rsidR="003A6478" w:rsidRPr="00D75AF2">
        <w:rPr>
          <w:i/>
          <w:iCs/>
          <w:lang w:eastAsia="en-GB"/>
        </w:rPr>
        <w:t>Biosciences,</w:t>
      </w:r>
      <w:r w:rsidR="003A6478" w:rsidRPr="002838A7">
        <w:rPr>
          <w:lang w:eastAsia="en-GB"/>
        </w:rPr>
        <w:t xml:space="preserve"> 6</w:t>
      </w:r>
      <w:r w:rsidRPr="002838A7">
        <w:rPr>
          <w:lang w:eastAsia="en-GB"/>
        </w:rPr>
        <w:t xml:space="preserve">(1), pp.1–36. </w:t>
      </w:r>
      <w:r w:rsidR="00AE11ED">
        <w:rPr>
          <w:lang w:eastAsia="en-GB"/>
        </w:rPr>
        <w:t xml:space="preserve">Available at </w:t>
      </w:r>
      <w:hyperlink r:id="rId12" w:history="1">
        <w:r w:rsidR="00AE11ED" w:rsidRPr="00A52E81">
          <w:rPr>
            <w:rStyle w:val="Hyperlink"/>
            <w:rFonts w:ascii="Arial" w:eastAsia="Times New Roman" w:hAnsi="Arial" w:cs="Arial"/>
            <w:kern w:val="0"/>
            <w:sz w:val="22"/>
            <w:szCs w:val="22"/>
            <w:lang w:eastAsia="en-GB"/>
          </w:rPr>
          <w:t>https://doi.org/10.1093/jlb/lsz007</w:t>
        </w:r>
      </w:hyperlink>
      <w:r w:rsidRPr="002838A7">
        <w:rPr>
          <w:lang w:eastAsia="en-GB"/>
        </w:rPr>
        <w:t>.</w:t>
      </w:r>
      <w:r w:rsidR="00AE11ED">
        <w:rPr>
          <w:lang w:eastAsia="en-GB"/>
        </w:rPr>
        <w:t xml:space="preserve"> </w:t>
      </w:r>
      <w:r w:rsidR="007E2644">
        <w:rPr>
          <w:lang w:eastAsia="en-GB"/>
        </w:rPr>
        <w:t xml:space="preserve"> </w:t>
      </w:r>
      <w:r w:rsidR="00AE11ED">
        <w:rPr>
          <w:lang w:eastAsia="en-GB"/>
        </w:rPr>
        <w:t xml:space="preserve"> </w:t>
      </w:r>
    </w:p>
    <w:p w14:paraId="1D2153F1" w14:textId="2AE92EB2" w:rsidR="0093665D" w:rsidRDefault="001E3F75" w:rsidP="00A74C89">
      <w:pPr>
        <w:jc w:val="both"/>
        <w:rPr>
          <w:lang w:eastAsia="en-GB"/>
        </w:rPr>
      </w:pPr>
      <w:r w:rsidRPr="002838A7">
        <w:rPr>
          <w:lang w:eastAsia="en-GB"/>
        </w:rPr>
        <w:t xml:space="preserve">Devlin, H. and correspondent, H.D.S. (2023). Backlog in NHS Genome Service Leaves Families Facing Long Wait for Results. </w:t>
      </w:r>
      <w:r w:rsidRPr="00F147CB">
        <w:rPr>
          <w:i/>
          <w:iCs/>
          <w:lang w:eastAsia="en-GB"/>
        </w:rPr>
        <w:t>The Guardian.</w:t>
      </w:r>
      <w:r w:rsidRPr="002838A7">
        <w:rPr>
          <w:lang w:eastAsia="en-GB"/>
        </w:rPr>
        <w:t xml:space="preserve"> 3 Apr. Available at: </w:t>
      </w:r>
      <w:r w:rsidR="00DF202F">
        <w:rPr>
          <w:lang w:eastAsia="en-GB"/>
        </w:rPr>
        <w:t xml:space="preserve">  </w:t>
      </w:r>
      <w:hyperlink r:id="rId13" w:history="1">
        <w:r w:rsidR="001E1754" w:rsidRPr="00A52E81">
          <w:rPr>
            <w:rStyle w:val="Hyperlink"/>
            <w:rFonts w:ascii="Arial" w:eastAsia="Times New Roman" w:hAnsi="Arial" w:cs="Arial"/>
            <w:kern w:val="0"/>
            <w:sz w:val="22"/>
            <w:szCs w:val="22"/>
            <w:lang w:eastAsia="en-GB"/>
          </w:rPr>
          <w:t>https://www.theguardian.com/society/2023/apr/03/backlog-in-nhs-genome-service-leaves-families-facing-long-wait-for-result</w:t>
        </w:r>
      </w:hyperlink>
      <w:r w:rsidR="001E1754">
        <w:rPr>
          <w:lang w:eastAsia="en-GB"/>
        </w:rPr>
        <w:t xml:space="preserve"> </w:t>
      </w:r>
      <w:r w:rsidR="001E1754" w:rsidRPr="002838A7">
        <w:rPr>
          <w:lang w:eastAsia="en-GB"/>
        </w:rPr>
        <w:t xml:space="preserve"> </w:t>
      </w:r>
      <w:r w:rsidR="001E1754">
        <w:rPr>
          <w:lang w:eastAsia="en-GB"/>
        </w:rPr>
        <w:t>(</w:t>
      </w:r>
      <w:r w:rsidRPr="002838A7">
        <w:rPr>
          <w:lang w:eastAsia="en-GB"/>
        </w:rPr>
        <w:t>Accessed 18 Oct</w:t>
      </w:r>
      <w:r w:rsidR="00E923E4">
        <w:rPr>
          <w:lang w:eastAsia="en-GB"/>
        </w:rPr>
        <w:t>ober</w:t>
      </w:r>
      <w:r w:rsidRPr="002838A7">
        <w:rPr>
          <w:lang w:eastAsia="en-GB"/>
        </w:rPr>
        <w:t>. 2025</w:t>
      </w:r>
      <w:r w:rsidR="00E923E4">
        <w:rPr>
          <w:lang w:eastAsia="en-GB"/>
        </w:rPr>
        <w:t>)</w:t>
      </w:r>
      <w:r w:rsidRPr="002838A7">
        <w:rPr>
          <w:lang w:eastAsia="en-GB"/>
        </w:rPr>
        <w:t>.</w:t>
      </w:r>
      <w:r w:rsidR="00CB5540">
        <w:rPr>
          <w:lang w:eastAsia="en-GB"/>
        </w:rPr>
        <w:t xml:space="preserve"> </w:t>
      </w:r>
      <w:r w:rsidR="001E1754">
        <w:rPr>
          <w:lang w:eastAsia="en-GB"/>
        </w:rPr>
        <w:t xml:space="preserve"> </w:t>
      </w:r>
      <w:r w:rsidR="00F147CB">
        <w:rPr>
          <w:lang w:eastAsia="en-GB"/>
        </w:rPr>
        <w:t xml:space="preserve"> </w:t>
      </w:r>
    </w:p>
    <w:p w14:paraId="1A6BDBF5" w14:textId="68AA30EB" w:rsidR="008930B8" w:rsidRDefault="001E3F75" w:rsidP="00A74C89">
      <w:pPr>
        <w:jc w:val="both"/>
        <w:rPr>
          <w:lang w:eastAsia="en-GB"/>
        </w:rPr>
      </w:pPr>
      <w:r w:rsidRPr="002838A7">
        <w:rPr>
          <w:lang w:eastAsia="en-GB"/>
        </w:rPr>
        <w:t xml:space="preserve">Ellard, S., Morgan, S., Wynn, S.L., Walker, S., Parrish, A., Mein, R., Juett, A., Ahn, J.W., Berry, I., Cassidy, E.-J., Durkie, M., Fish, L., Hall, R., Howard, E., Rankin, J., Wright, C.F., Deans, Z.C., Scott, R.H., Hill, S.L. and Baple, E.L. (2024) </w:t>
      </w:r>
      <w:r w:rsidR="00482882">
        <w:rPr>
          <w:lang w:eastAsia="en-GB"/>
        </w:rPr>
        <w:t>‘</w:t>
      </w:r>
      <w:r w:rsidRPr="002838A7">
        <w:rPr>
          <w:lang w:eastAsia="en-GB"/>
        </w:rPr>
        <w:t>Rare Disease Genomic Testing in the UK and Ireland: Promoting Timely and Equitable Access</w:t>
      </w:r>
      <w:r w:rsidR="00482882">
        <w:rPr>
          <w:lang w:eastAsia="en-GB"/>
        </w:rPr>
        <w:t>’,</w:t>
      </w:r>
      <w:r w:rsidRPr="002838A7">
        <w:rPr>
          <w:lang w:eastAsia="en-GB"/>
        </w:rPr>
        <w:t xml:space="preserve"> </w:t>
      </w:r>
      <w:r w:rsidRPr="00902EEC">
        <w:rPr>
          <w:i/>
          <w:iCs/>
          <w:lang w:eastAsia="en-GB"/>
        </w:rPr>
        <w:t xml:space="preserve">Journal of Medical Genetics, p.jmg-2024-110228. </w:t>
      </w:r>
      <w:r w:rsidR="00482882">
        <w:rPr>
          <w:lang w:eastAsia="en-GB"/>
        </w:rPr>
        <w:t>Available at</w:t>
      </w:r>
      <w:r w:rsidR="00E923E4">
        <w:rPr>
          <w:lang w:eastAsia="en-GB"/>
        </w:rPr>
        <w:t xml:space="preserve"> </w:t>
      </w:r>
      <w:hyperlink r:id="rId14" w:history="1">
        <w:r w:rsidR="00E923E4" w:rsidRPr="00A52E81">
          <w:rPr>
            <w:rStyle w:val="Hyperlink"/>
            <w:rFonts w:ascii="Arial" w:eastAsia="Times New Roman" w:hAnsi="Arial" w:cs="Arial"/>
            <w:kern w:val="0"/>
            <w:sz w:val="22"/>
            <w:szCs w:val="22"/>
            <w:lang w:eastAsia="en-GB"/>
          </w:rPr>
          <w:t>https://doi.org/10.1136/jmg-2024-110228</w:t>
        </w:r>
      </w:hyperlink>
      <w:r w:rsidRPr="002838A7">
        <w:rPr>
          <w:lang w:eastAsia="en-GB"/>
        </w:rPr>
        <w:t>.</w:t>
      </w:r>
      <w:r w:rsidR="00E923E4">
        <w:rPr>
          <w:lang w:eastAsia="en-GB"/>
        </w:rPr>
        <w:t xml:space="preserve"> </w:t>
      </w:r>
    </w:p>
    <w:p w14:paraId="5D0E564E" w14:textId="00912380" w:rsidR="00AD0309" w:rsidRDefault="001E3F75" w:rsidP="00A74C89">
      <w:pPr>
        <w:jc w:val="both"/>
        <w:rPr>
          <w:lang w:eastAsia="en-GB"/>
        </w:rPr>
      </w:pPr>
      <w:r w:rsidRPr="002838A7">
        <w:rPr>
          <w:lang w:eastAsia="en-GB"/>
        </w:rPr>
        <w:t xml:space="preserve">England, N. (2024). </w:t>
      </w:r>
      <w:r w:rsidRPr="00EE7558">
        <w:rPr>
          <w:i/>
          <w:iCs/>
          <w:lang w:eastAsia="en-GB"/>
        </w:rPr>
        <w:t>NHS England» the NHS Genomic Medicine Service: Achievements in 2024.</w:t>
      </w:r>
      <w:r w:rsidR="00EE7558">
        <w:rPr>
          <w:lang w:eastAsia="en-GB"/>
        </w:rPr>
        <w:t xml:space="preserve"> </w:t>
      </w:r>
      <w:r w:rsidRPr="002838A7">
        <w:rPr>
          <w:lang w:eastAsia="en-GB"/>
        </w:rPr>
        <w:t xml:space="preserve">Available at: </w:t>
      </w:r>
      <w:hyperlink r:id="rId15" w:history="1">
        <w:r w:rsidR="00714AD7" w:rsidRPr="00A52E81">
          <w:rPr>
            <w:rStyle w:val="Hyperlink"/>
            <w:rFonts w:ascii="Arial" w:eastAsia="Times New Roman" w:hAnsi="Arial" w:cs="Arial"/>
            <w:kern w:val="0"/>
            <w:sz w:val="22"/>
            <w:szCs w:val="22"/>
            <w:lang w:eastAsia="en-GB"/>
          </w:rPr>
          <w:t>https://www.england.nhs.uk/long-read/the-nhs-genomic-medicine-service-achievements-in-2024/</w:t>
        </w:r>
      </w:hyperlink>
      <w:r w:rsidR="00714AD7">
        <w:rPr>
          <w:lang w:eastAsia="en-GB"/>
        </w:rPr>
        <w:t xml:space="preserve"> </w:t>
      </w:r>
      <w:r w:rsidRPr="002838A7">
        <w:rPr>
          <w:lang w:eastAsia="en-GB"/>
        </w:rPr>
        <w:t xml:space="preserve"> </w:t>
      </w:r>
      <w:r w:rsidR="00714AD7">
        <w:rPr>
          <w:lang w:eastAsia="en-GB"/>
        </w:rPr>
        <w:t>(</w:t>
      </w:r>
      <w:r w:rsidRPr="002838A7">
        <w:rPr>
          <w:lang w:eastAsia="en-GB"/>
        </w:rPr>
        <w:t>Accessed 18 Oct</w:t>
      </w:r>
      <w:r w:rsidR="00714AD7">
        <w:rPr>
          <w:lang w:eastAsia="en-GB"/>
        </w:rPr>
        <w:t>ober</w:t>
      </w:r>
      <w:r w:rsidRPr="002838A7">
        <w:rPr>
          <w:lang w:eastAsia="en-GB"/>
        </w:rPr>
        <w:t>. 2025</w:t>
      </w:r>
      <w:r w:rsidR="00714AD7">
        <w:rPr>
          <w:lang w:eastAsia="en-GB"/>
        </w:rPr>
        <w:t>)</w:t>
      </w:r>
      <w:r w:rsidRPr="002838A7">
        <w:rPr>
          <w:lang w:eastAsia="en-GB"/>
        </w:rPr>
        <w:t>.</w:t>
      </w:r>
    </w:p>
    <w:p w14:paraId="6B96EB64" w14:textId="59FBCBF6" w:rsidR="00811F66" w:rsidRDefault="001E3F75" w:rsidP="00A74C89">
      <w:pPr>
        <w:jc w:val="both"/>
        <w:rPr>
          <w:lang w:eastAsia="en-GB"/>
        </w:rPr>
      </w:pPr>
      <w:r w:rsidRPr="002838A7">
        <w:rPr>
          <w:lang w:eastAsia="en-GB"/>
        </w:rPr>
        <w:t>Friedrich, B., Vindrola-Padros, C., Lucassen, A.M., Patch, C., Clarke, A., Lakhanpaul, M. and Lewis, C. (2024) ‘A Very Big challenge’: a Qualitative Study to Explore the Early Barriers and Enablers to Implementing a National Genomic Medicine Service in England</w:t>
      </w:r>
      <w:r w:rsidR="005C3DEA">
        <w:rPr>
          <w:lang w:eastAsia="en-GB"/>
        </w:rPr>
        <w:t>’,</w:t>
      </w:r>
      <w:r w:rsidRPr="002838A7">
        <w:rPr>
          <w:lang w:eastAsia="en-GB"/>
        </w:rPr>
        <w:t xml:space="preserve"> </w:t>
      </w:r>
      <w:r w:rsidRPr="002F6887">
        <w:rPr>
          <w:i/>
          <w:iCs/>
          <w:lang w:eastAsia="en-GB"/>
        </w:rPr>
        <w:t xml:space="preserve">Frontiers in Genetics, </w:t>
      </w:r>
      <w:r w:rsidRPr="002838A7">
        <w:rPr>
          <w:lang w:eastAsia="en-GB"/>
        </w:rPr>
        <w:t xml:space="preserve">14. </w:t>
      </w:r>
      <w:r w:rsidR="005C3DEA">
        <w:rPr>
          <w:lang w:eastAsia="en-GB"/>
        </w:rPr>
        <w:t xml:space="preserve">Available at </w:t>
      </w:r>
      <w:hyperlink r:id="rId16" w:history="1">
        <w:r w:rsidR="005C3DEA" w:rsidRPr="00A52E81">
          <w:rPr>
            <w:rStyle w:val="Hyperlink"/>
            <w:rFonts w:ascii="Arial" w:eastAsia="Times New Roman" w:hAnsi="Arial" w:cs="Arial"/>
            <w:kern w:val="0"/>
            <w:sz w:val="22"/>
            <w:szCs w:val="22"/>
            <w:lang w:eastAsia="en-GB"/>
          </w:rPr>
          <w:t>https://doi.org/10.3389/fgene.2023.1282034</w:t>
        </w:r>
      </w:hyperlink>
      <w:r w:rsidRPr="002838A7">
        <w:rPr>
          <w:lang w:eastAsia="en-GB"/>
        </w:rPr>
        <w:t>.</w:t>
      </w:r>
      <w:r w:rsidR="005C3DEA">
        <w:rPr>
          <w:lang w:eastAsia="en-GB"/>
        </w:rPr>
        <w:t xml:space="preserve"> </w:t>
      </w:r>
    </w:p>
    <w:p w14:paraId="12C11BF3" w14:textId="0172BA2C" w:rsidR="007B49BF" w:rsidRDefault="001E3F75" w:rsidP="00A74C89">
      <w:pPr>
        <w:jc w:val="both"/>
        <w:rPr>
          <w:lang w:eastAsia="en-GB"/>
        </w:rPr>
      </w:pPr>
      <w:r w:rsidRPr="002838A7">
        <w:rPr>
          <w:lang w:eastAsia="en-GB"/>
        </w:rPr>
        <w:t xml:space="preserve">Hayward, J., McDermott, J., Qureshi, N. and Newman, W. (2021) </w:t>
      </w:r>
      <w:r w:rsidR="009161B5">
        <w:rPr>
          <w:lang w:eastAsia="en-GB"/>
        </w:rPr>
        <w:t>‘</w:t>
      </w:r>
      <w:r w:rsidRPr="002838A7">
        <w:rPr>
          <w:lang w:eastAsia="en-GB"/>
        </w:rPr>
        <w:t>Pharmacogenomic Testing to Support Prescribing in Primary care: a Structured Review of Implementation Models</w:t>
      </w:r>
      <w:r w:rsidR="009161B5">
        <w:rPr>
          <w:lang w:eastAsia="en-GB"/>
        </w:rPr>
        <w:t>’,</w:t>
      </w:r>
      <w:r w:rsidRPr="002838A7">
        <w:rPr>
          <w:lang w:eastAsia="en-GB"/>
        </w:rPr>
        <w:t xml:space="preserve"> </w:t>
      </w:r>
      <w:r w:rsidRPr="00505827">
        <w:rPr>
          <w:i/>
          <w:iCs/>
          <w:lang w:eastAsia="en-GB"/>
        </w:rPr>
        <w:t>Pharmacogenomics,</w:t>
      </w:r>
      <w:r w:rsidRPr="002838A7">
        <w:rPr>
          <w:lang w:eastAsia="en-GB"/>
        </w:rPr>
        <w:t xml:space="preserve"> 22(12), pp.761–776. </w:t>
      </w:r>
      <w:r w:rsidR="00236DCB">
        <w:rPr>
          <w:lang w:eastAsia="en-GB"/>
        </w:rPr>
        <w:t>Availa</w:t>
      </w:r>
      <w:r w:rsidR="009161B5">
        <w:rPr>
          <w:lang w:eastAsia="en-GB"/>
        </w:rPr>
        <w:t xml:space="preserve">ble at </w:t>
      </w:r>
      <w:hyperlink r:id="rId17" w:history="1">
        <w:r w:rsidR="009161B5" w:rsidRPr="00A52E81">
          <w:rPr>
            <w:rStyle w:val="Hyperlink"/>
            <w:rFonts w:ascii="Arial" w:eastAsia="Times New Roman" w:hAnsi="Arial" w:cs="Arial"/>
            <w:kern w:val="0"/>
            <w:sz w:val="22"/>
            <w:szCs w:val="22"/>
            <w:lang w:eastAsia="en-GB"/>
          </w:rPr>
          <w:t>https://doi.org/10.2217/pgs-2021-0032</w:t>
        </w:r>
      </w:hyperlink>
      <w:r w:rsidRPr="002838A7">
        <w:rPr>
          <w:lang w:eastAsia="en-GB"/>
        </w:rPr>
        <w:t>.</w:t>
      </w:r>
      <w:r w:rsidR="009161B5">
        <w:rPr>
          <w:lang w:eastAsia="en-GB"/>
        </w:rPr>
        <w:t xml:space="preserve"> </w:t>
      </w:r>
    </w:p>
    <w:p w14:paraId="689410D9" w14:textId="7779BECD" w:rsidR="000558DA" w:rsidRDefault="001E3F75" w:rsidP="00A74C89">
      <w:pPr>
        <w:jc w:val="both"/>
        <w:rPr>
          <w:lang w:eastAsia="en-GB"/>
        </w:rPr>
      </w:pPr>
      <w:r w:rsidRPr="002838A7">
        <w:rPr>
          <w:lang w:eastAsia="en-GB"/>
        </w:rPr>
        <w:lastRenderedPageBreak/>
        <w:t xml:space="preserve">Health (2018). </w:t>
      </w:r>
      <w:r w:rsidRPr="009D6498">
        <w:rPr>
          <w:i/>
          <w:iCs/>
          <w:lang w:eastAsia="en-GB"/>
        </w:rPr>
        <w:t>100,000 Whole Genomes Sequenced in the NHS.</w:t>
      </w:r>
      <w:r w:rsidR="00C3046A">
        <w:rPr>
          <w:lang w:eastAsia="en-GB"/>
        </w:rPr>
        <w:t xml:space="preserve"> </w:t>
      </w:r>
      <w:r w:rsidRPr="002838A7">
        <w:rPr>
          <w:lang w:eastAsia="en-GB"/>
        </w:rPr>
        <w:t xml:space="preserve">Available at: </w:t>
      </w:r>
      <w:r w:rsidR="00582946">
        <w:rPr>
          <w:lang w:eastAsia="en-GB"/>
        </w:rPr>
        <w:t xml:space="preserve"> </w:t>
      </w:r>
      <w:r w:rsidR="0073304C">
        <w:rPr>
          <w:lang w:eastAsia="en-GB"/>
        </w:rPr>
        <w:t xml:space="preserve"> </w:t>
      </w:r>
      <w:r w:rsidR="00931ADC">
        <w:rPr>
          <w:lang w:eastAsia="en-GB"/>
        </w:rPr>
        <w:t xml:space="preserve">  </w:t>
      </w:r>
      <w:hyperlink r:id="rId18" w:history="1">
        <w:r w:rsidR="00582946" w:rsidRPr="00A52E81">
          <w:rPr>
            <w:rStyle w:val="Hyperlink"/>
            <w:rFonts w:ascii="Arial" w:eastAsia="Times New Roman" w:hAnsi="Arial" w:cs="Arial"/>
            <w:kern w:val="0"/>
            <w:sz w:val="22"/>
            <w:szCs w:val="22"/>
            <w:lang w:eastAsia="en-GB"/>
          </w:rPr>
          <w:t>https://www.gov.uk/government/news/100000-whole-genomes-sequenced-in-the-nhs</w:t>
        </w:r>
      </w:hyperlink>
      <w:r w:rsidR="00582946">
        <w:rPr>
          <w:lang w:eastAsia="en-GB"/>
        </w:rPr>
        <w:t xml:space="preserve"> </w:t>
      </w:r>
      <w:r w:rsidRPr="002838A7">
        <w:rPr>
          <w:lang w:eastAsia="en-GB"/>
        </w:rPr>
        <w:t xml:space="preserve"> </w:t>
      </w:r>
      <w:r w:rsidR="0073304C">
        <w:rPr>
          <w:lang w:eastAsia="en-GB"/>
        </w:rPr>
        <w:t>(</w:t>
      </w:r>
      <w:r w:rsidRPr="002838A7">
        <w:rPr>
          <w:lang w:eastAsia="en-GB"/>
        </w:rPr>
        <w:t>Accessed 13 Oct</w:t>
      </w:r>
      <w:r w:rsidR="00700066">
        <w:rPr>
          <w:lang w:eastAsia="en-GB"/>
        </w:rPr>
        <w:t>ober</w:t>
      </w:r>
      <w:r w:rsidRPr="002838A7">
        <w:rPr>
          <w:lang w:eastAsia="en-GB"/>
        </w:rPr>
        <w:t>. 2025</w:t>
      </w:r>
      <w:r w:rsidR="0073304C">
        <w:rPr>
          <w:lang w:eastAsia="en-GB"/>
        </w:rPr>
        <w:t>)</w:t>
      </w:r>
      <w:r w:rsidRPr="002838A7">
        <w:rPr>
          <w:lang w:eastAsia="en-GB"/>
        </w:rPr>
        <w:t>.</w:t>
      </w:r>
      <w:r w:rsidR="00582946">
        <w:rPr>
          <w:lang w:eastAsia="en-GB"/>
        </w:rPr>
        <w:t xml:space="preserve"> </w:t>
      </w:r>
      <w:r w:rsidR="00931ADC">
        <w:rPr>
          <w:lang w:eastAsia="en-GB"/>
        </w:rPr>
        <w:t xml:space="preserve"> </w:t>
      </w:r>
      <w:r w:rsidR="00582946">
        <w:rPr>
          <w:lang w:eastAsia="en-GB"/>
        </w:rPr>
        <w:t xml:space="preserve"> </w:t>
      </w:r>
      <w:r w:rsidR="00E9792A">
        <w:rPr>
          <w:lang w:eastAsia="en-GB"/>
        </w:rPr>
        <w:t xml:space="preserve"> </w:t>
      </w:r>
      <w:r w:rsidR="0073304C">
        <w:rPr>
          <w:lang w:eastAsia="en-GB"/>
        </w:rPr>
        <w:t xml:space="preserve"> </w:t>
      </w:r>
    </w:p>
    <w:p w14:paraId="37F041DC" w14:textId="2648328A" w:rsidR="007B49BF" w:rsidRDefault="001E3F75" w:rsidP="00A74C89">
      <w:pPr>
        <w:jc w:val="both"/>
        <w:rPr>
          <w:lang w:eastAsia="en-GB"/>
        </w:rPr>
      </w:pPr>
      <w:r w:rsidRPr="002838A7">
        <w:rPr>
          <w:lang w:eastAsia="en-GB"/>
        </w:rPr>
        <w:t xml:space="preserve">Health (2025a). </w:t>
      </w:r>
      <w:r w:rsidRPr="007C5977">
        <w:rPr>
          <w:i/>
          <w:iCs/>
          <w:lang w:eastAsia="en-GB"/>
        </w:rPr>
        <w:t>Government Puts Nurses at Heart of DNA Testing and Research.</w:t>
      </w:r>
      <w:r w:rsidRPr="002838A7">
        <w:rPr>
          <w:lang w:eastAsia="en-GB"/>
        </w:rPr>
        <w:t xml:space="preserve"> Available at: </w:t>
      </w:r>
      <w:hyperlink r:id="rId19" w:history="1">
        <w:r w:rsidR="00F10727" w:rsidRPr="00A52E81">
          <w:rPr>
            <w:rStyle w:val="Hyperlink"/>
            <w:rFonts w:ascii="Arial" w:eastAsia="Times New Roman" w:hAnsi="Arial" w:cs="Arial"/>
            <w:kern w:val="0"/>
            <w:sz w:val="22"/>
            <w:szCs w:val="22"/>
            <w:lang w:eastAsia="en-GB"/>
          </w:rPr>
          <w:t>https://www.gov.uk/government/news/government-puts-nurses-at-heart-of-dna-testing-and-research</w:t>
        </w:r>
      </w:hyperlink>
      <w:r w:rsidR="00F10727">
        <w:rPr>
          <w:lang w:eastAsia="en-GB"/>
        </w:rPr>
        <w:t xml:space="preserve"> </w:t>
      </w:r>
      <w:r w:rsidR="00F10727" w:rsidRPr="002838A7">
        <w:rPr>
          <w:lang w:eastAsia="en-GB"/>
        </w:rPr>
        <w:t xml:space="preserve"> </w:t>
      </w:r>
      <w:r w:rsidR="00F10727">
        <w:rPr>
          <w:lang w:eastAsia="en-GB"/>
        </w:rPr>
        <w:t>(</w:t>
      </w:r>
      <w:r w:rsidRPr="002838A7">
        <w:rPr>
          <w:lang w:eastAsia="en-GB"/>
        </w:rPr>
        <w:t>Accessed 18 Oct</w:t>
      </w:r>
      <w:r w:rsidR="001661F0">
        <w:rPr>
          <w:lang w:eastAsia="en-GB"/>
        </w:rPr>
        <w:t>ober</w:t>
      </w:r>
      <w:r w:rsidRPr="002838A7">
        <w:rPr>
          <w:lang w:eastAsia="en-GB"/>
        </w:rPr>
        <w:t>. 2025</w:t>
      </w:r>
      <w:r w:rsidR="001661F0">
        <w:rPr>
          <w:lang w:eastAsia="en-GB"/>
        </w:rPr>
        <w:t>)</w:t>
      </w:r>
      <w:r w:rsidRPr="002838A7">
        <w:rPr>
          <w:lang w:eastAsia="en-GB"/>
        </w:rPr>
        <w:t>.</w:t>
      </w:r>
      <w:r w:rsidR="00854404">
        <w:rPr>
          <w:lang w:eastAsia="en-GB"/>
        </w:rPr>
        <w:t xml:space="preserve"> </w:t>
      </w:r>
    </w:p>
    <w:p w14:paraId="55994897" w14:textId="6D697D5C" w:rsidR="00424180" w:rsidRDefault="001E3F75" w:rsidP="00A74C89">
      <w:pPr>
        <w:jc w:val="both"/>
        <w:rPr>
          <w:lang w:eastAsia="en-GB"/>
        </w:rPr>
      </w:pPr>
      <w:r w:rsidRPr="002838A7">
        <w:rPr>
          <w:lang w:eastAsia="en-GB"/>
        </w:rPr>
        <w:t xml:space="preserve">Health (2025b). </w:t>
      </w:r>
      <w:r w:rsidRPr="00DB3CFB">
        <w:rPr>
          <w:i/>
          <w:iCs/>
          <w:lang w:eastAsia="en-GB"/>
        </w:rPr>
        <w:t>Government’s Tech Reform to Transform Cancer Diagnosis.</w:t>
      </w:r>
      <w:r w:rsidRPr="002838A7">
        <w:rPr>
          <w:lang w:eastAsia="en-GB"/>
        </w:rPr>
        <w:t xml:space="preserve">  Available at: </w:t>
      </w:r>
      <w:hyperlink r:id="rId20" w:history="1">
        <w:r w:rsidR="00692EF2" w:rsidRPr="00A52E81">
          <w:rPr>
            <w:rStyle w:val="Hyperlink"/>
            <w:rFonts w:ascii="Arial" w:eastAsia="Times New Roman" w:hAnsi="Arial" w:cs="Arial"/>
            <w:kern w:val="0"/>
            <w:sz w:val="22"/>
            <w:szCs w:val="22"/>
            <w:lang w:eastAsia="en-GB"/>
          </w:rPr>
          <w:t>https://www.gov.uk/government/news/governments-tech-reform-to-transform-cancer-diagnosis</w:t>
        </w:r>
      </w:hyperlink>
      <w:r w:rsidR="00692EF2">
        <w:rPr>
          <w:lang w:eastAsia="en-GB"/>
        </w:rPr>
        <w:t xml:space="preserve"> </w:t>
      </w:r>
      <w:r w:rsidRPr="002838A7">
        <w:rPr>
          <w:lang w:eastAsia="en-GB"/>
        </w:rPr>
        <w:t xml:space="preserve"> </w:t>
      </w:r>
      <w:r w:rsidR="00692EF2">
        <w:rPr>
          <w:lang w:eastAsia="en-GB"/>
        </w:rPr>
        <w:t>(</w:t>
      </w:r>
      <w:r w:rsidRPr="002838A7">
        <w:rPr>
          <w:lang w:eastAsia="en-GB"/>
        </w:rPr>
        <w:t>Accessed 18 Oct</w:t>
      </w:r>
      <w:r w:rsidR="004E395D">
        <w:rPr>
          <w:lang w:eastAsia="en-GB"/>
        </w:rPr>
        <w:t>ober</w:t>
      </w:r>
      <w:r w:rsidRPr="002838A7">
        <w:rPr>
          <w:lang w:eastAsia="en-GB"/>
        </w:rPr>
        <w:t>. 2025</w:t>
      </w:r>
      <w:r w:rsidR="00692EF2">
        <w:rPr>
          <w:lang w:eastAsia="en-GB"/>
        </w:rPr>
        <w:t>)</w:t>
      </w:r>
      <w:r w:rsidRPr="002838A7">
        <w:rPr>
          <w:lang w:eastAsia="en-GB"/>
        </w:rPr>
        <w:t>.</w:t>
      </w:r>
    </w:p>
    <w:p w14:paraId="2679BFF1" w14:textId="5CEAB890" w:rsidR="007476B7" w:rsidRDefault="001E3F75" w:rsidP="00A74C89">
      <w:pPr>
        <w:jc w:val="both"/>
        <w:rPr>
          <w:lang w:eastAsia="en-GB"/>
        </w:rPr>
      </w:pPr>
      <w:r w:rsidRPr="002838A7">
        <w:rPr>
          <w:lang w:eastAsia="en-GB"/>
        </w:rPr>
        <w:t xml:space="preserve">Landry, L.G., Ali, N., Williams, D.R., Rehm, H.L. and Bonham, V.L. (2018) </w:t>
      </w:r>
      <w:r w:rsidR="003A272F">
        <w:rPr>
          <w:lang w:eastAsia="en-GB"/>
        </w:rPr>
        <w:t>‘</w:t>
      </w:r>
      <w:r w:rsidRPr="002838A7">
        <w:rPr>
          <w:lang w:eastAsia="en-GB"/>
        </w:rPr>
        <w:t>Lack of Diversity in Genomic Databases Is a Barrier to Translating Precision Medicine Research into Practice</w:t>
      </w:r>
      <w:r w:rsidR="003A272F">
        <w:rPr>
          <w:lang w:eastAsia="en-GB"/>
        </w:rPr>
        <w:t>’,</w:t>
      </w:r>
      <w:r w:rsidRPr="002838A7">
        <w:rPr>
          <w:lang w:eastAsia="en-GB"/>
        </w:rPr>
        <w:t xml:space="preserve"> </w:t>
      </w:r>
      <w:r w:rsidRPr="005B06C1">
        <w:rPr>
          <w:i/>
          <w:iCs/>
          <w:lang w:eastAsia="en-GB"/>
        </w:rPr>
        <w:t>Health Affairs,</w:t>
      </w:r>
      <w:r w:rsidRPr="002838A7">
        <w:rPr>
          <w:lang w:eastAsia="en-GB"/>
        </w:rPr>
        <w:t xml:space="preserve"> 37(5), pp.780–785. </w:t>
      </w:r>
      <w:r w:rsidR="005B06C1">
        <w:rPr>
          <w:lang w:eastAsia="en-GB"/>
        </w:rPr>
        <w:t xml:space="preserve">Available at </w:t>
      </w:r>
      <w:hyperlink r:id="rId21" w:history="1">
        <w:r w:rsidR="005B06C1" w:rsidRPr="00A52E81">
          <w:rPr>
            <w:rStyle w:val="Hyperlink"/>
            <w:rFonts w:ascii="Arial" w:eastAsia="Times New Roman" w:hAnsi="Arial" w:cs="Arial"/>
            <w:kern w:val="0"/>
            <w:sz w:val="22"/>
            <w:szCs w:val="22"/>
            <w:lang w:eastAsia="en-GB"/>
          </w:rPr>
          <w:t>https://doi.org/10.1377/hlthaff.2017.1595</w:t>
        </w:r>
      </w:hyperlink>
      <w:r w:rsidRPr="002838A7">
        <w:rPr>
          <w:lang w:eastAsia="en-GB"/>
        </w:rPr>
        <w:t>.</w:t>
      </w:r>
      <w:r w:rsidR="005B06C1">
        <w:rPr>
          <w:lang w:eastAsia="en-GB"/>
        </w:rPr>
        <w:t xml:space="preserve"> </w:t>
      </w:r>
    </w:p>
    <w:p w14:paraId="7E1C7105" w14:textId="3B40C9A8" w:rsidR="00AE4A1A" w:rsidRDefault="001E3F75" w:rsidP="00A74C89">
      <w:pPr>
        <w:jc w:val="both"/>
        <w:rPr>
          <w:lang w:eastAsia="en-GB"/>
        </w:rPr>
      </w:pPr>
      <w:r w:rsidRPr="002838A7">
        <w:rPr>
          <w:lang w:eastAsia="en-GB"/>
        </w:rPr>
        <w:t xml:space="preserve">Makhnoon, S., Shirts, B.H. and Bowen, D.J. (2019) </w:t>
      </w:r>
      <w:r w:rsidR="0082285A">
        <w:rPr>
          <w:lang w:eastAsia="en-GB"/>
        </w:rPr>
        <w:t>‘</w:t>
      </w:r>
      <w:r w:rsidRPr="002838A7">
        <w:rPr>
          <w:lang w:eastAsia="en-GB"/>
        </w:rPr>
        <w:t>Patients’ Perspectives of Variants of Uncertain Significance and Strategies for Uncertainty Management</w:t>
      </w:r>
      <w:r w:rsidR="0082285A">
        <w:rPr>
          <w:lang w:eastAsia="en-GB"/>
        </w:rPr>
        <w:t>’,</w:t>
      </w:r>
      <w:r w:rsidRPr="002838A7">
        <w:rPr>
          <w:lang w:eastAsia="en-GB"/>
        </w:rPr>
        <w:t xml:space="preserve"> </w:t>
      </w:r>
      <w:r w:rsidRPr="00F457E9">
        <w:rPr>
          <w:i/>
          <w:iCs/>
          <w:lang w:eastAsia="en-GB"/>
        </w:rPr>
        <w:t>Journal of Genetic Counseling,</w:t>
      </w:r>
      <w:r w:rsidRPr="002838A7">
        <w:rPr>
          <w:lang w:eastAsia="en-GB"/>
        </w:rPr>
        <w:t xml:space="preserve"> 28(2), pp.313–325. </w:t>
      </w:r>
      <w:r w:rsidR="00F457E9">
        <w:rPr>
          <w:lang w:eastAsia="en-GB"/>
        </w:rPr>
        <w:t xml:space="preserve">Available at </w:t>
      </w:r>
      <w:hyperlink r:id="rId22" w:history="1">
        <w:r w:rsidR="00F457E9" w:rsidRPr="00A52E81">
          <w:rPr>
            <w:rStyle w:val="Hyperlink"/>
            <w:rFonts w:ascii="Arial" w:eastAsia="Times New Roman" w:hAnsi="Arial" w:cs="Arial"/>
            <w:kern w:val="0"/>
            <w:sz w:val="22"/>
            <w:szCs w:val="22"/>
            <w:lang w:eastAsia="en-GB"/>
          </w:rPr>
          <w:t>https://doi.org/10.1002/jgc4.1075</w:t>
        </w:r>
      </w:hyperlink>
      <w:r w:rsidRPr="002838A7">
        <w:rPr>
          <w:lang w:eastAsia="en-GB"/>
        </w:rPr>
        <w:t>.</w:t>
      </w:r>
      <w:r w:rsidR="00F457E9">
        <w:rPr>
          <w:lang w:eastAsia="en-GB"/>
        </w:rPr>
        <w:t xml:space="preserve"> </w:t>
      </w:r>
    </w:p>
    <w:p w14:paraId="5E5508E4" w14:textId="1D473EC5" w:rsidR="00D66C02" w:rsidRDefault="001E3F75" w:rsidP="00A74C89">
      <w:pPr>
        <w:jc w:val="both"/>
        <w:rPr>
          <w:lang w:eastAsia="en-GB"/>
        </w:rPr>
      </w:pPr>
      <w:r w:rsidRPr="002838A7">
        <w:rPr>
          <w:lang w:eastAsia="en-GB"/>
        </w:rPr>
        <w:t xml:space="preserve">McDermott, H., Baple, E.L., Ellard, S. and Naik, S. (2021) </w:t>
      </w:r>
      <w:r w:rsidR="00616821">
        <w:rPr>
          <w:lang w:eastAsia="en-GB"/>
        </w:rPr>
        <w:t>‘</w:t>
      </w:r>
      <w:r w:rsidRPr="002838A7">
        <w:rPr>
          <w:lang w:eastAsia="en-GB"/>
        </w:rPr>
        <w:t>1435 Rapid Exome Sequencing in Acutely Unwell Children – Providing New Diagnostic Options in Intensive Care Settings</w:t>
      </w:r>
      <w:r w:rsidR="00616821">
        <w:rPr>
          <w:lang w:eastAsia="en-GB"/>
        </w:rPr>
        <w:t>’,</w:t>
      </w:r>
      <w:r w:rsidRPr="002838A7">
        <w:rPr>
          <w:lang w:eastAsia="en-GB"/>
        </w:rPr>
        <w:t xml:space="preserve"> </w:t>
      </w:r>
      <w:r w:rsidRPr="00D06DB2">
        <w:rPr>
          <w:i/>
          <w:iCs/>
          <w:lang w:eastAsia="en-GB"/>
        </w:rPr>
        <w:t>Abstracts.</w:t>
      </w:r>
      <w:r w:rsidRPr="002838A7">
        <w:rPr>
          <w:lang w:eastAsia="en-GB"/>
        </w:rPr>
        <w:t xml:space="preserve"> </w:t>
      </w:r>
      <w:r w:rsidR="00D06DB2">
        <w:rPr>
          <w:lang w:eastAsia="en-GB"/>
        </w:rPr>
        <w:t xml:space="preserve">Available at </w:t>
      </w:r>
      <w:hyperlink r:id="rId23" w:history="1">
        <w:r w:rsidR="00D06DB2" w:rsidRPr="00A52E81">
          <w:rPr>
            <w:rStyle w:val="Hyperlink"/>
            <w:rFonts w:ascii="Arial" w:eastAsia="Times New Roman" w:hAnsi="Arial" w:cs="Arial"/>
            <w:kern w:val="0"/>
            <w:sz w:val="22"/>
            <w:szCs w:val="22"/>
            <w:lang w:eastAsia="en-GB"/>
          </w:rPr>
          <w:t>https://doi.org/10.1136/archdischild-2021-rcpch.641</w:t>
        </w:r>
      </w:hyperlink>
      <w:r w:rsidRPr="002838A7">
        <w:rPr>
          <w:lang w:eastAsia="en-GB"/>
        </w:rPr>
        <w:t>.</w:t>
      </w:r>
      <w:r w:rsidR="00D06DB2">
        <w:rPr>
          <w:lang w:eastAsia="en-GB"/>
        </w:rPr>
        <w:t xml:space="preserve"> </w:t>
      </w:r>
    </w:p>
    <w:p w14:paraId="48D9A720" w14:textId="412AFF6B" w:rsidR="00D66C02" w:rsidRDefault="001E3F75" w:rsidP="00A74C89">
      <w:pPr>
        <w:jc w:val="both"/>
        <w:rPr>
          <w:lang w:eastAsia="en-GB"/>
        </w:rPr>
      </w:pPr>
      <w:r w:rsidRPr="002838A7">
        <w:rPr>
          <w:lang w:eastAsia="en-GB"/>
        </w:rPr>
        <w:t xml:space="preserve">Mohamad Jamalinia and Ralf Weiskirchen (2025) </w:t>
      </w:r>
      <w:r w:rsidR="00F62CC8">
        <w:rPr>
          <w:lang w:eastAsia="en-GB"/>
        </w:rPr>
        <w:t>‘</w:t>
      </w:r>
      <w:r w:rsidRPr="002838A7">
        <w:rPr>
          <w:lang w:eastAsia="en-GB"/>
        </w:rPr>
        <w:t>Advances in Personalized medicine: Translating Genomic Insights into Targeted Therapies for Cancer Treatment</w:t>
      </w:r>
      <w:r w:rsidR="00007FAA">
        <w:rPr>
          <w:lang w:eastAsia="en-GB"/>
        </w:rPr>
        <w:t>’,</w:t>
      </w:r>
      <w:r w:rsidRPr="002838A7">
        <w:rPr>
          <w:lang w:eastAsia="en-GB"/>
        </w:rPr>
        <w:t xml:space="preserve"> </w:t>
      </w:r>
      <w:r w:rsidRPr="000C5BE6">
        <w:rPr>
          <w:i/>
          <w:iCs/>
          <w:lang w:eastAsia="en-GB"/>
        </w:rPr>
        <w:t xml:space="preserve">Annals of Translational </w:t>
      </w:r>
      <w:r w:rsidR="00990C45" w:rsidRPr="000C5BE6">
        <w:rPr>
          <w:i/>
          <w:iCs/>
          <w:lang w:eastAsia="en-GB"/>
        </w:rPr>
        <w:t xml:space="preserve">Medicine, </w:t>
      </w:r>
      <w:r w:rsidR="00990C45" w:rsidRPr="002838A7">
        <w:rPr>
          <w:lang w:eastAsia="en-GB"/>
        </w:rPr>
        <w:t>13</w:t>
      </w:r>
      <w:r w:rsidRPr="002838A7">
        <w:rPr>
          <w:lang w:eastAsia="en-GB"/>
        </w:rPr>
        <w:t xml:space="preserve">(2), pp.18–18. </w:t>
      </w:r>
      <w:r w:rsidR="00990C45">
        <w:rPr>
          <w:lang w:eastAsia="en-GB"/>
        </w:rPr>
        <w:t xml:space="preserve">Available at </w:t>
      </w:r>
      <w:hyperlink r:id="rId24" w:history="1">
        <w:r w:rsidR="00990C45" w:rsidRPr="00A52E81">
          <w:rPr>
            <w:rStyle w:val="Hyperlink"/>
            <w:rFonts w:ascii="Arial" w:eastAsia="Times New Roman" w:hAnsi="Arial" w:cs="Arial"/>
            <w:kern w:val="0"/>
            <w:sz w:val="22"/>
            <w:szCs w:val="22"/>
            <w:lang w:eastAsia="en-GB"/>
          </w:rPr>
          <w:t>https://doi.org/10.21037/atm-25-34</w:t>
        </w:r>
      </w:hyperlink>
      <w:r w:rsidRPr="002838A7">
        <w:rPr>
          <w:lang w:eastAsia="en-GB"/>
        </w:rPr>
        <w:t>.</w:t>
      </w:r>
      <w:r w:rsidR="00990C45">
        <w:rPr>
          <w:lang w:eastAsia="en-GB"/>
        </w:rPr>
        <w:t xml:space="preserve"> </w:t>
      </w:r>
    </w:p>
    <w:p w14:paraId="62E23D6F" w14:textId="5AFEE209" w:rsidR="00F477EB" w:rsidRDefault="001E3F75" w:rsidP="00A74C89">
      <w:pPr>
        <w:jc w:val="both"/>
        <w:rPr>
          <w:lang w:eastAsia="en-GB"/>
        </w:rPr>
      </w:pPr>
      <w:r w:rsidRPr="002838A7">
        <w:rPr>
          <w:lang w:eastAsia="en-GB"/>
        </w:rPr>
        <w:t xml:space="preserve">National Human Genome Research Institute (2023). </w:t>
      </w:r>
      <w:r w:rsidRPr="00074857">
        <w:rPr>
          <w:i/>
          <w:iCs/>
          <w:lang w:eastAsia="en-GB"/>
        </w:rPr>
        <w:t>DNA Sequencing Fact Sheet.</w:t>
      </w:r>
      <w:r w:rsidRPr="002838A7">
        <w:rPr>
          <w:lang w:eastAsia="en-GB"/>
        </w:rPr>
        <w:t xml:space="preserve">  Genome.gov. Available at: </w:t>
      </w:r>
      <w:hyperlink r:id="rId25" w:history="1">
        <w:r w:rsidR="00150B7D" w:rsidRPr="00A52E81">
          <w:rPr>
            <w:rStyle w:val="Hyperlink"/>
            <w:rFonts w:ascii="Arial" w:eastAsia="Times New Roman" w:hAnsi="Arial" w:cs="Arial"/>
            <w:kern w:val="0"/>
            <w:sz w:val="22"/>
            <w:szCs w:val="22"/>
            <w:lang w:eastAsia="en-GB"/>
          </w:rPr>
          <w:t>https://www.genome.gov/about-genomics/fact-sheets/DNA-Sequencing-Fact-Sheet</w:t>
        </w:r>
      </w:hyperlink>
      <w:r w:rsidR="00150B7D">
        <w:rPr>
          <w:lang w:eastAsia="en-GB"/>
        </w:rPr>
        <w:t xml:space="preserve"> </w:t>
      </w:r>
      <w:r w:rsidRPr="002838A7">
        <w:rPr>
          <w:lang w:eastAsia="en-GB"/>
        </w:rPr>
        <w:t xml:space="preserve"> </w:t>
      </w:r>
      <w:r w:rsidR="00150B7D">
        <w:rPr>
          <w:lang w:eastAsia="en-GB"/>
        </w:rPr>
        <w:t>(</w:t>
      </w:r>
      <w:r w:rsidRPr="002838A7">
        <w:rPr>
          <w:lang w:eastAsia="en-GB"/>
        </w:rPr>
        <w:t>Accessed 18 Oct</w:t>
      </w:r>
      <w:r w:rsidR="00E334A0">
        <w:rPr>
          <w:lang w:eastAsia="en-GB"/>
        </w:rPr>
        <w:t>ober</w:t>
      </w:r>
      <w:r w:rsidRPr="002838A7">
        <w:rPr>
          <w:lang w:eastAsia="en-GB"/>
        </w:rPr>
        <w:t>. 2025</w:t>
      </w:r>
      <w:r w:rsidR="00150B7D">
        <w:rPr>
          <w:lang w:eastAsia="en-GB"/>
        </w:rPr>
        <w:t>)</w:t>
      </w:r>
      <w:r w:rsidRPr="002838A7">
        <w:rPr>
          <w:lang w:eastAsia="en-GB"/>
        </w:rPr>
        <w:t>.</w:t>
      </w:r>
    </w:p>
    <w:p w14:paraId="13FF9EDE" w14:textId="1F970311" w:rsidR="00BC50A0" w:rsidRDefault="001E3F75" w:rsidP="00A74C89">
      <w:pPr>
        <w:jc w:val="both"/>
        <w:rPr>
          <w:lang w:eastAsia="en-GB"/>
        </w:rPr>
      </w:pPr>
      <w:r w:rsidRPr="002838A7">
        <w:rPr>
          <w:lang w:eastAsia="en-GB"/>
        </w:rPr>
        <w:t xml:space="preserve">Newey, P.J. (2022) </w:t>
      </w:r>
      <w:r w:rsidR="00150B7D">
        <w:rPr>
          <w:lang w:eastAsia="en-GB"/>
        </w:rPr>
        <w:t>‘</w:t>
      </w:r>
      <w:r w:rsidRPr="002838A7">
        <w:rPr>
          <w:lang w:eastAsia="en-GB"/>
        </w:rPr>
        <w:t>Approach to the Patient with a Variant of Uncertain Significance on Genetic Testing</w:t>
      </w:r>
      <w:r w:rsidR="00150B7D">
        <w:rPr>
          <w:lang w:eastAsia="en-GB"/>
        </w:rPr>
        <w:t>’,</w:t>
      </w:r>
      <w:r w:rsidRPr="002838A7">
        <w:rPr>
          <w:lang w:eastAsia="en-GB"/>
        </w:rPr>
        <w:t xml:space="preserve"> </w:t>
      </w:r>
      <w:r w:rsidRPr="006922A8">
        <w:rPr>
          <w:i/>
          <w:iCs/>
          <w:lang w:eastAsia="en-GB"/>
        </w:rPr>
        <w:t>Clinical Endocrinology,</w:t>
      </w:r>
      <w:r w:rsidRPr="002838A7">
        <w:rPr>
          <w:lang w:eastAsia="en-GB"/>
        </w:rPr>
        <w:t xml:space="preserve"> 97(4), pp.400–408. </w:t>
      </w:r>
      <w:r w:rsidR="000F263D">
        <w:rPr>
          <w:lang w:eastAsia="en-GB"/>
        </w:rPr>
        <w:t xml:space="preserve">Available at </w:t>
      </w:r>
      <w:hyperlink r:id="rId26" w:history="1">
        <w:r w:rsidR="000F263D" w:rsidRPr="00A52E81">
          <w:rPr>
            <w:rStyle w:val="Hyperlink"/>
            <w:rFonts w:ascii="Arial" w:eastAsia="Times New Roman" w:hAnsi="Arial" w:cs="Arial"/>
            <w:kern w:val="0"/>
            <w:sz w:val="22"/>
            <w:szCs w:val="22"/>
            <w:lang w:eastAsia="en-GB"/>
          </w:rPr>
          <w:t>https://doi.org/10.1111/cen.14818</w:t>
        </w:r>
      </w:hyperlink>
      <w:r w:rsidRPr="002838A7">
        <w:rPr>
          <w:lang w:eastAsia="en-GB"/>
        </w:rPr>
        <w:t>.</w:t>
      </w:r>
      <w:r w:rsidR="000F263D">
        <w:rPr>
          <w:lang w:eastAsia="en-GB"/>
        </w:rPr>
        <w:t xml:space="preserve">   </w:t>
      </w:r>
    </w:p>
    <w:p w14:paraId="13F5102D" w14:textId="6624AC5F" w:rsidR="00703483" w:rsidRDefault="001E3F75" w:rsidP="00A74C89">
      <w:pPr>
        <w:jc w:val="both"/>
        <w:rPr>
          <w:lang w:eastAsia="en-GB"/>
        </w:rPr>
      </w:pPr>
      <w:r w:rsidRPr="002838A7">
        <w:rPr>
          <w:lang w:eastAsia="en-GB"/>
        </w:rPr>
        <w:t xml:space="preserve">Phillips, A., Niemiec, E., Howard, H.C., Kagkelari, K., Borry, P. and Vears, D.F. (2020) Communicating Genetic Information to Family members: Analysis of Consent Forms for </w:t>
      </w:r>
      <w:r w:rsidR="007F58AA">
        <w:rPr>
          <w:lang w:eastAsia="en-GB"/>
        </w:rPr>
        <w:t>‘</w:t>
      </w:r>
      <w:r w:rsidRPr="002838A7">
        <w:rPr>
          <w:lang w:eastAsia="en-GB"/>
        </w:rPr>
        <w:t>Diagnostic Genomic Sequencing</w:t>
      </w:r>
      <w:r w:rsidR="007F58AA">
        <w:rPr>
          <w:lang w:eastAsia="en-GB"/>
        </w:rPr>
        <w:t>’,</w:t>
      </w:r>
      <w:r w:rsidRPr="002838A7">
        <w:rPr>
          <w:lang w:eastAsia="en-GB"/>
        </w:rPr>
        <w:t xml:space="preserve"> </w:t>
      </w:r>
      <w:r w:rsidRPr="001C40DD">
        <w:rPr>
          <w:i/>
          <w:iCs/>
          <w:lang w:eastAsia="en-GB"/>
        </w:rPr>
        <w:t xml:space="preserve">European Journal of Human </w:t>
      </w:r>
      <w:r w:rsidR="00EF46C7" w:rsidRPr="001C40DD">
        <w:rPr>
          <w:i/>
          <w:iCs/>
          <w:lang w:eastAsia="en-GB"/>
        </w:rPr>
        <w:t>Genetics,</w:t>
      </w:r>
      <w:r w:rsidR="00EF46C7" w:rsidRPr="002838A7">
        <w:rPr>
          <w:lang w:eastAsia="en-GB"/>
        </w:rPr>
        <w:t xml:space="preserve"> 28</w:t>
      </w:r>
      <w:r w:rsidRPr="002838A7">
        <w:rPr>
          <w:lang w:eastAsia="en-GB"/>
        </w:rPr>
        <w:t xml:space="preserve">(9), pp.1160–1167. </w:t>
      </w:r>
      <w:r w:rsidR="001C40DD">
        <w:rPr>
          <w:lang w:eastAsia="en-GB"/>
        </w:rPr>
        <w:t>A</w:t>
      </w:r>
      <w:r w:rsidR="00FA0794">
        <w:rPr>
          <w:lang w:eastAsia="en-GB"/>
        </w:rPr>
        <w:t>vailable</w:t>
      </w:r>
      <w:r w:rsidR="007F58AA">
        <w:rPr>
          <w:lang w:eastAsia="en-GB"/>
        </w:rPr>
        <w:t xml:space="preserve"> at </w:t>
      </w:r>
      <w:hyperlink r:id="rId27" w:history="1">
        <w:r w:rsidR="007F58AA" w:rsidRPr="00A52E81">
          <w:rPr>
            <w:rStyle w:val="Hyperlink"/>
            <w:rFonts w:ascii="Arial" w:eastAsia="Times New Roman" w:hAnsi="Arial" w:cs="Arial"/>
            <w:kern w:val="0"/>
            <w:sz w:val="22"/>
            <w:szCs w:val="22"/>
            <w:lang w:eastAsia="en-GB"/>
          </w:rPr>
          <w:t>https://doi.org/10.1038/s41431-020-0627-7</w:t>
        </w:r>
      </w:hyperlink>
      <w:r w:rsidR="007F58AA">
        <w:rPr>
          <w:lang w:eastAsia="en-GB"/>
        </w:rPr>
        <w:t xml:space="preserve"> </w:t>
      </w:r>
      <w:r w:rsidR="00EF46C7">
        <w:rPr>
          <w:lang w:eastAsia="en-GB"/>
        </w:rPr>
        <w:t xml:space="preserve"> </w:t>
      </w:r>
      <w:r w:rsidR="007F58AA">
        <w:rPr>
          <w:lang w:eastAsia="en-GB"/>
        </w:rPr>
        <w:t xml:space="preserve"> </w:t>
      </w:r>
      <w:r w:rsidR="00EF46C7">
        <w:rPr>
          <w:lang w:eastAsia="en-GB"/>
        </w:rPr>
        <w:t xml:space="preserve">. </w:t>
      </w:r>
      <w:r w:rsidR="00FA0794">
        <w:rPr>
          <w:lang w:eastAsia="en-GB"/>
        </w:rPr>
        <w:t xml:space="preserve">  </w:t>
      </w:r>
    </w:p>
    <w:p w14:paraId="657C39BE" w14:textId="77DACCA5" w:rsidR="005B21E1" w:rsidRDefault="001E3F75" w:rsidP="00A74C89">
      <w:pPr>
        <w:jc w:val="both"/>
        <w:rPr>
          <w:lang w:eastAsia="en-GB"/>
        </w:rPr>
      </w:pPr>
      <w:r w:rsidRPr="002838A7">
        <w:rPr>
          <w:lang w:eastAsia="en-GB"/>
        </w:rPr>
        <w:t xml:space="preserve">Samuel, G.N. and Farsides, B. (2017) </w:t>
      </w:r>
      <w:r w:rsidR="00100293">
        <w:rPr>
          <w:lang w:eastAsia="en-GB"/>
        </w:rPr>
        <w:t>‘</w:t>
      </w:r>
      <w:r w:rsidRPr="002838A7">
        <w:rPr>
          <w:lang w:eastAsia="en-GB"/>
        </w:rPr>
        <w:t>The UK’s 100,000 Genomes Project: Manifesting Policymakers’ Expectations</w:t>
      </w:r>
      <w:r w:rsidR="00AC6E0B">
        <w:rPr>
          <w:lang w:eastAsia="en-GB"/>
        </w:rPr>
        <w:t>’,</w:t>
      </w:r>
      <w:r w:rsidRPr="002838A7">
        <w:rPr>
          <w:lang w:eastAsia="en-GB"/>
        </w:rPr>
        <w:t xml:space="preserve"> </w:t>
      </w:r>
      <w:r w:rsidRPr="00036168">
        <w:rPr>
          <w:i/>
          <w:iCs/>
          <w:lang w:eastAsia="en-GB"/>
        </w:rPr>
        <w:t>New Genetics and Society,</w:t>
      </w:r>
      <w:r w:rsidRPr="002838A7">
        <w:rPr>
          <w:lang w:eastAsia="en-GB"/>
        </w:rPr>
        <w:t xml:space="preserve"> 36(4), pp.336–353. </w:t>
      </w:r>
      <w:r w:rsidR="00100293">
        <w:rPr>
          <w:lang w:eastAsia="en-GB"/>
        </w:rPr>
        <w:t xml:space="preserve">Available at </w:t>
      </w:r>
      <w:hyperlink r:id="rId28" w:history="1">
        <w:r w:rsidR="00100293" w:rsidRPr="00A52E81">
          <w:rPr>
            <w:rStyle w:val="Hyperlink"/>
            <w:rFonts w:ascii="Arial" w:eastAsia="Times New Roman" w:hAnsi="Arial" w:cs="Arial"/>
            <w:kern w:val="0"/>
            <w:sz w:val="22"/>
            <w:szCs w:val="22"/>
            <w:lang w:eastAsia="en-GB"/>
          </w:rPr>
          <w:t>https://doi.org/10.1080/14636778.2017.1370671</w:t>
        </w:r>
      </w:hyperlink>
      <w:r w:rsidRPr="002838A7">
        <w:rPr>
          <w:lang w:eastAsia="en-GB"/>
        </w:rPr>
        <w:t>.</w:t>
      </w:r>
      <w:r w:rsidR="00100293">
        <w:rPr>
          <w:lang w:eastAsia="en-GB"/>
        </w:rPr>
        <w:t xml:space="preserve"> </w:t>
      </w:r>
    </w:p>
    <w:p w14:paraId="078A347F" w14:textId="5C606614" w:rsidR="005B21E1" w:rsidRDefault="001E3F75" w:rsidP="00A74C89">
      <w:pPr>
        <w:jc w:val="both"/>
        <w:rPr>
          <w:lang w:eastAsia="en-GB"/>
        </w:rPr>
      </w:pPr>
      <w:r w:rsidRPr="002838A7">
        <w:rPr>
          <w:lang w:eastAsia="en-GB"/>
        </w:rPr>
        <w:lastRenderedPageBreak/>
        <w:t xml:space="preserve">Schmidlen, T., Bristow, S.L., Hatchell, K.E., Esplin, E.D., Nussbaum, R.L. and Haverfield, E. (2022) </w:t>
      </w:r>
      <w:r w:rsidR="0091230B">
        <w:rPr>
          <w:lang w:eastAsia="en-GB"/>
        </w:rPr>
        <w:t>‘</w:t>
      </w:r>
      <w:r w:rsidRPr="002838A7">
        <w:rPr>
          <w:lang w:eastAsia="en-GB"/>
        </w:rPr>
        <w:t>The Impact of Proband Indication for Genetic Testing on the Uptake of Cascade Testing among Relatives</w:t>
      </w:r>
      <w:r w:rsidR="00973373">
        <w:rPr>
          <w:lang w:eastAsia="en-GB"/>
        </w:rPr>
        <w:t>’,</w:t>
      </w:r>
      <w:r w:rsidRPr="002838A7">
        <w:rPr>
          <w:lang w:eastAsia="en-GB"/>
        </w:rPr>
        <w:t xml:space="preserve"> </w:t>
      </w:r>
      <w:r w:rsidRPr="002A5158">
        <w:rPr>
          <w:i/>
          <w:iCs/>
          <w:lang w:eastAsia="en-GB"/>
        </w:rPr>
        <w:t>Frontiers in Genetics,</w:t>
      </w:r>
      <w:r w:rsidRPr="002838A7">
        <w:rPr>
          <w:lang w:eastAsia="en-GB"/>
        </w:rPr>
        <w:t xml:space="preserve"> 13. </w:t>
      </w:r>
      <w:r w:rsidR="0091230B">
        <w:rPr>
          <w:lang w:eastAsia="en-GB"/>
        </w:rPr>
        <w:t xml:space="preserve">Available at </w:t>
      </w:r>
      <w:hyperlink r:id="rId29" w:history="1">
        <w:r w:rsidR="0091230B" w:rsidRPr="00A52E81">
          <w:rPr>
            <w:rStyle w:val="Hyperlink"/>
            <w:rFonts w:ascii="Arial" w:eastAsia="Times New Roman" w:hAnsi="Arial" w:cs="Arial"/>
            <w:kern w:val="0"/>
            <w:sz w:val="22"/>
            <w:szCs w:val="22"/>
            <w:lang w:eastAsia="en-GB"/>
          </w:rPr>
          <w:t>https://doi.org/10.3389/fgene.2022.867226</w:t>
        </w:r>
      </w:hyperlink>
      <w:r w:rsidRPr="002838A7">
        <w:rPr>
          <w:lang w:eastAsia="en-GB"/>
        </w:rPr>
        <w:t>.</w:t>
      </w:r>
      <w:r w:rsidR="0091230B">
        <w:rPr>
          <w:lang w:eastAsia="en-GB"/>
        </w:rPr>
        <w:t xml:space="preserve"> </w:t>
      </w:r>
    </w:p>
    <w:p w14:paraId="5AD731E4" w14:textId="0E8B2648" w:rsidR="002C0239" w:rsidRDefault="001E3F75" w:rsidP="00A74C89">
      <w:pPr>
        <w:jc w:val="both"/>
        <w:rPr>
          <w:lang w:eastAsia="en-GB"/>
        </w:rPr>
      </w:pPr>
      <w:r w:rsidRPr="002838A7">
        <w:rPr>
          <w:lang w:eastAsia="en-GB"/>
        </w:rPr>
        <w:t xml:space="preserve">Truong, T.K., Kenneson, A., Rosen, A.R. and Singh, R.H. (2021) </w:t>
      </w:r>
      <w:r w:rsidR="00E5409B">
        <w:rPr>
          <w:lang w:eastAsia="en-GB"/>
        </w:rPr>
        <w:t>‘</w:t>
      </w:r>
      <w:r w:rsidRPr="002838A7">
        <w:rPr>
          <w:lang w:eastAsia="en-GB"/>
        </w:rPr>
        <w:t xml:space="preserve">Genetic Referral Patterns and Responses to Clinical Scenarios: a Survey of Primary Care Providers and Clinical Geneticists. </w:t>
      </w:r>
      <w:r w:rsidRPr="00210E66">
        <w:rPr>
          <w:i/>
          <w:iCs/>
          <w:lang w:eastAsia="en-GB"/>
        </w:rPr>
        <w:t>Journal of Primary Care &amp; Community Health,</w:t>
      </w:r>
      <w:r w:rsidRPr="002838A7">
        <w:rPr>
          <w:lang w:eastAsia="en-GB"/>
        </w:rPr>
        <w:t xml:space="preserve"> 12, p.215013272110467. </w:t>
      </w:r>
      <w:r w:rsidR="009F1C17">
        <w:rPr>
          <w:lang w:eastAsia="en-GB"/>
        </w:rPr>
        <w:t xml:space="preserve">Available at </w:t>
      </w:r>
      <w:hyperlink r:id="rId30" w:history="1">
        <w:r w:rsidR="00E5409B" w:rsidRPr="00A52E81">
          <w:rPr>
            <w:rStyle w:val="Hyperlink"/>
            <w:rFonts w:ascii="Arial" w:eastAsia="Times New Roman" w:hAnsi="Arial" w:cs="Arial"/>
            <w:kern w:val="0"/>
            <w:sz w:val="22"/>
            <w:szCs w:val="22"/>
            <w:lang w:eastAsia="en-GB"/>
          </w:rPr>
          <w:t>https://doi.org/10.1177/21501327211046734</w:t>
        </w:r>
      </w:hyperlink>
      <w:r w:rsidRPr="002838A7">
        <w:rPr>
          <w:lang w:eastAsia="en-GB"/>
        </w:rPr>
        <w:t>.</w:t>
      </w:r>
      <w:r w:rsidR="00E5409B">
        <w:rPr>
          <w:lang w:eastAsia="en-GB"/>
        </w:rPr>
        <w:t xml:space="preserve"> </w:t>
      </w:r>
    </w:p>
    <w:p w14:paraId="17587AAC" w14:textId="009CEB97" w:rsidR="00861608" w:rsidRPr="002838A7" w:rsidRDefault="001E3F75" w:rsidP="00A74C89">
      <w:pPr>
        <w:jc w:val="both"/>
        <w:rPr>
          <w:lang w:eastAsia="en-GB"/>
        </w:rPr>
      </w:pPr>
      <w:r w:rsidRPr="002838A7">
        <w:rPr>
          <w:lang w:eastAsia="en-GB"/>
        </w:rPr>
        <w:t xml:space="preserve">Zhang, Q., Liu, H.-M., Lv, W.-Q., He, J.-Y., Xia, X., Zhang, W.-D., Deng, H.-W. and Sun, C.-Q. (2018) </w:t>
      </w:r>
      <w:r w:rsidR="001E3362">
        <w:rPr>
          <w:lang w:eastAsia="en-GB"/>
        </w:rPr>
        <w:t>‘</w:t>
      </w:r>
      <w:r w:rsidRPr="002838A7">
        <w:rPr>
          <w:lang w:eastAsia="en-GB"/>
        </w:rPr>
        <w:t>Additional Common Variants Associated with Type 2 Diabetes and Coronary Artery Disease Detected Using a Pleiotropic cFDR Method</w:t>
      </w:r>
      <w:r w:rsidR="009D7777">
        <w:rPr>
          <w:lang w:eastAsia="en-GB"/>
        </w:rPr>
        <w:t>’,</w:t>
      </w:r>
      <w:r w:rsidRPr="002838A7">
        <w:rPr>
          <w:lang w:eastAsia="en-GB"/>
        </w:rPr>
        <w:t xml:space="preserve"> </w:t>
      </w:r>
      <w:r w:rsidRPr="009A4993">
        <w:rPr>
          <w:i/>
          <w:iCs/>
          <w:lang w:eastAsia="en-GB"/>
        </w:rPr>
        <w:t xml:space="preserve">Journal of Diabetes and its Complications, </w:t>
      </w:r>
      <w:r w:rsidRPr="002838A7">
        <w:rPr>
          <w:lang w:eastAsia="en-GB"/>
        </w:rPr>
        <w:t xml:space="preserve">32(12), pp.1105–1112. </w:t>
      </w:r>
      <w:r w:rsidR="00527FD3">
        <w:rPr>
          <w:lang w:eastAsia="en-GB"/>
        </w:rPr>
        <w:t>Available at</w:t>
      </w:r>
      <w:r w:rsidR="002F7234">
        <w:rPr>
          <w:lang w:eastAsia="en-GB"/>
        </w:rPr>
        <w:t xml:space="preserve">   </w:t>
      </w:r>
      <w:r w:rsidR="006A239D">
        <w:rPr>
          <w:lang w:eastAsia="en-GB"/>
        </w:rPr>
        <w:t xml:space="preserve">  </w:t>
      </w:r>
      <w:hyperlink r:id="rId31" w:history="1">
        <w:r w:rsidR="006A239D" w:rsidRPr="00A52E81">
          <w:rPr>
            <w:rStyle w:val="Hyperlink"/>
            <w:rFonts w:ascii="Arial" w:eastAsia="Times New Roman" w:hAnsi="Arial" w:cs="Arial"/>
            <w:kern w:val="0"/>
            <w:sz w:val="22"/>
            <w:szCs w:val="22"/>
            <w:lang w:eastAsia="en-GB"/>
          </w:rPr>
          <w:t>https://doi.org/10.1016/j.jdiacomp.2018.09.003</w:t>
        </w:r>
      </w:hyperlink>
      <w:r w:rsidRPr="002838A7">
        <w:rPr>
          <w:lang w:eastAsia="en-GB"/>
        </w:rPr>
        <w:t>.</w:t>
      </w:r>
      <w:r w:rsidR="006A239D">
        <w:rPr>
          <w:lang w:eastAsia="en-GB"/>
        </w:rPr>
        <w:t xml:space="preserve"> </w:t>
      </w:r>
      <w:r w:rsidR="002F7234">
        <w:rPr>
          <w:lang w:eastAsia="en-GB"/>
        </w:rPr>
        <w:t xml:space="preserve"> </w:t>
      </w:r>
      <w:r w:rsidR="00421A94">
        <w:rPr>
          <w:lang w:eastAsia="en-GB"/>
        </w:rPr>
        <w:t xml:space="preserve"> </w:t>
      </w:r>
    </w:p>
    <w:p w14:paraId="4CEEFCCB" w14:textId="77777777" w:rsidR="001E3F75" w:rsidRPr="002838A7" w:rsidRDefault="001E3F75" w:rsidP="00A74C89">
      <w:pPr>
        <w:spacing w:before="100" w:beforeAutospacing="1" w:after="100" w:afterAutospacing="1" w:line="360" w:lineRule="auto"/>
        <w:jc w:val="both"/>
        <w:outlineLvl w:val="1"/>
        <w:rPr>
          <w:rFonts w:ascii="Arial" w:eastAsia="Times New Roman" w:hAnsi="Arial" w:cs="Arial"/>
          <w:kern w:val="0"/>
          <w:sz w:val="22"/>
          <w:szCs w:val="22"/>
          <w:lang w:eastAsia="en-GB"/>
        </w:rPr>
      </w:pPr>
    </w:p>
    <w:p w14:paraId="69875F93" w14:textId="77777777" w:rsidR="001E3F75" w:rsidRPr="002838A7" w:rsidRDefault="001E3F75" w:rsidP="00A74C89">
      <w:pPr>
        <w:spacing w:before="100" w:beforeAutospacing="1" w:after="100" w:afterAutospacing="1" w:line="360" w:lineRule="auto"/>
        <w:jc w:val="both"/>
        <w:outlineLvl w:val="1"/>
        <w:rPr>
          <w:rFonts w:ascii="Arial" w:eastAsia="Times New Roman" w:hAnsi="Arial" w:cs="Arial"/>
          <w:kern w:val="0"/>
          <w:sz w:val="22"/>
          <w:szCs w:val="22"/>
          <w:lang w:eastAsia="en-GB"/>
        </w:rPr>
      </w:pPr>
    </w:p>
    <w:p w14:paraId="711AE01F" w14:textId="77777777" w:rsidR="00861608" w:rsidRPr="002838A7" w:rsidRDefault="00861608" w:rsidP="00A74C89">
      <w:pPr>
        <w:jc w:val="both"/>
      </w:pPr>
    </w:p>
    <w:p w14:paraId="7E1D5428" w14:textId="77777777" w:rsidR="00C80D0F" w:rsidRPr="002838A7" w:rsidRDefault="00C80D0F" w:rsidP="00A74C89">
      <w:pPr>
        <w:spacing w:line="360" w:lineRule="auto"/>
        <w:jc w:val="both"/>
        <w:rPr>
          <w:rFonts w:ascii="Arial" w:hAnsi="Arial" w:cs="Arial"/>
          <w:sz w:val="22"/>
          <w:szCs w:val="22"/>
        </w:rPr>
      </w:pPr>
    </w:p>
    <w:p w14:paraId="06388B3A" w14:textId="0C37173F" w:rsidR="00C80D0F" w:rsidRPr="002838A7" w:rsidRDefault="00C80D0F" w:rsidP="00A74C89">
      <w:pPr>
        <w:spacing w:line="360" w:lineRule="auto"/>
        <w:jc w:val="both"/>
        <w:rPr>
          <w:rFonts w:ascii="Arial" w:hAnsi="Arial" w:cs="Arial"/>
          <w:sz w:val="22"/>
          <w:szCs w:val="22"/>
        </w:rPr>
      </w:pPr>
    </w:p>
    <w:p w14:paraId="4241EF9C" w14:textId="77777777" w:rsidR="00C80D0F" w:rsidRPr="002838A7" w:rsidRDefault="00C80D0F" w:rsidP="00A74C89">
      <w:pPr>
        <w:spacing w:line="360" w:lineRule="auto"/>
        <w:jc w:val="both"/>
        <w:rPr>
          <w:rFonts w:ascii="Arial" w:hAnsi="Arial" w:cs="Arial"/>
          <w:sz w:val="22"/>
          <w:szCs w:val="22"/>
        </w:rPr>
      </w:pPr>
    </w:p>
    <w:p w14:paraId="76920EB5" w14:textId="77777777" w:rsidR="00C80D0F" w:rsidRPr="002838A7" w:rsidRDefault="00C80D0F" w:rsidP="00A74C89">
      <w:pPr>
        <w:spacing w:line="360" w:lineRule="auto"/>
        <w:jc w:val="both"/>
        <w:rPr>
          <w:rFonts w:ascii="Arial" w:hAnsi="Arial" w:cs="Arial"/>
          <w:sz w:val="22"/>
          <w:szCs w:val="22"/>
        </w:rPr>
      </w:pPr>
    </w:p>
    <w:p w14:paraId="5C4B2A31" w14:textId="77777777" w:rsidR="00C80D0F" w:rsidRPr="002838A7" w:rsidRDefault="00C80D0F" w:rsidP="00A74C89">
      <w:pPr>
        <w:spacing w:line="360" w:lineRule="auto"/>
        <w:jc w:val="both"/>
        <w:rPr>
          <w:rFonts w:ascii="Arial" w:hAnsi="Arial" w:cs="Arial"/>
          <w:sz w:val="22"/>
          <w:szCs w:val="22"/>
        </w:rPr>
      </w:pPr>
    </w:p>
    <w:p w14:paraId="4A9E7E21" w14:textId="77777777" w:rsidR="008375B5" w:rsidRPr="002838A7" w:rsidRDefault="008375B5" w:rsidP="00A74C89">
      <w:pPr>
        <w:spacing w:line="360" w:lineRule="auto"/>
        <w:jc w:val="both"/>
        <w:rPr>
          <w:rFonts w:ascii="Arial" w:hAnsi="Arial" w:cs="Arial"/>
          <w:sz w:val="22"/>
          <w:szCs w:val="22"/>
        </w:rPr>
      </w:pPr>
    </w:p>
    <w:p w14:paraId="3D599A25" w14:textId="77777777" w:rsidR="008375B5" w:rsidRPr="008375B5" w:rsidRDefault="008375B5" w:rsidP="00A74C89">
      <w:pPr>
        <w:spacing w:line="360" w:lineRule="auto"/>
        <w:jc w:val="both"/>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19E33984" w:rsidR="008375B5" w:rsidRPr="008375B5" w:rsidRDefault="008375B5" w:rsidP="008375B5">
      <w:pPr>
        <w:spacing w:line="360" w:lineRule="auto"/>
        <w:rPr>
          <w:rFonts w:ascii="Arial" w:hAnsi="Arial" w:cs="Arial"/>
          <w:sz w:val="22"/>
          <w:szCs w:val="22"/>
        </w:rPr>
      </w:pPr>
    </w:p>
    <w:sectPr w:rsidR="008375B5" w:rsidRPr="008375B5" w:rsidSect="008375B5">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2F855" w14:textId="77777777" w:rsidR="00AC7BE6" w:rsidRDefault="00AC7BE6" w:rsidP="008375B5">
      <w:pPr>
        <w:spacing w:after="0" w:line="240" w:lineRule="auto"/>
      </w:pPr>
      <w:r>
        <w:separator/>
      </w:r>
    </w:p>
  </w:endnote>
  <w:endnote w:type="continuationSeparator" w:id="0">
    <w:p w14:paraId="218A902C" w14:textId="77777777" w:rsidR="00AC7BE6" w:rsidRDefault="00AC7BE6"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2F69E" w14:textId="77777777" w:rsidR="00246280" w:rsidRDefault="002462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1548123"/>
      <w:docPartObj>
        <w:docPartGallery w:val="Page Numbers (Bottom of Page)"/>
        <w:docPartUnique/>
      </w:docPartObj>
    </w:sdtPr>
    <w:sdtEndPr>
      <w:rPr>
        <w:noProof/>
      </w:rPr>
    </w:sdtEndPr>
    <w:sdtContent>
      <w:p w14:paraId="6BA809E1" w14:textId="5AFC34A2" w:rsidR="00817575" w:rsidRDefault="008175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B6721E" w14:textId="77777777" w:rsidR="008375B5" w:rsidRDefault="00837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7A856" w14:textId="77777777" w:rsidR="00246280" w:rsidRDefault="00246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6F189" w14:textId="77777777" w:rsidR="00AC7BE6" w:rsidRDefault="00AC7BE6" w:rsidP="008375B5">
      <w:pPr>
        <w:spacing w:after="0" w:line="240" w:lineRule="auto"/>
      </w:pPr>
      <w:r>
        <w:separator/>
      </w:r>
    </w:p>
  </w:footnote>
  <w:footnote w:type="continuationSeparator" w:id="0">
    <w:p w14:paraId="28C581D7" w14:textId="77777777" w:rsidR="00AC7BE6" w:rsidRDefault="00AC7BE6" w:rsidP="00837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88810" w14:textId="77777777" w:rsidR="00246280" w:rsidRDefault="002462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668568" w14:textId="77777777" w:rsidR="00246280" w:rsidRDefault="002462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BA01B" w14:textId="77777777" w:rsidR="00246280" w:rsidRDefault="002462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7FAA"/>
    <w:rsid w:val="00012C87"/>
    <w:rsid w:val="0001435C"/>
    <w:rsid w:val="00021B64"/>
    <w:rsid w:val="00022AF5"/>
    <w:rsid w:val="00031B9B"/>
    <w:rsid w:val="00034E56"/>
    <w:rsid w:val="00036168"/>
    <w:rsid w:val="00052454"/>
    <w:rsid w:val="00054619"/>
    <w:rsid w:val="000558DA"/>
    <w:rsid w:val="0006231C"/>
    <w:rsid w:val="00065062"/>
    <w:rsid w:val="000663FD"/>
    <w:rsid w:val="00074857"/>
    <w:rsid w:val="0008768B"/>
    <w:rsid w:val="000A25F4"/>
    <w:rsid w:val="000B1961"/>
    <w:rsid w:val="000B2027"/>
    <w:rsid w:val="000C04D9"/>
    <w:rsid w:val="000C06DE"/>
    <w:rsid w:val="000C1270"/>
    <w:rsid w:val="000C5BE6"/>
    <w:rsid w:val="000D0039"/>
    <w:rsid w:val="000D0C67"/>
    <w:rsid w:val="000D32E5"/>
    <w:rsid w:val="000D621D"/>
    <w:rsid w:val="000D64AE"/>
    <w:rsid w:val="000F263D"/>
    <w:rsid w:val="000F2C96"/>
    <w:rsid w:val="000F66C6"/>
    <w:rsid w:val="000F7094"/>
    <w:rsid w:val="00100293"/>
    <w:rsid w:val="00104222"/>
    <w:rsid w:val="00106EFB"/>
    <w:rsid w:val="00106FB3"/>
    <w:rsid w:val="00123B79"/>
    <w:rsid w:val="001339B1"/>
    <w:rsid w:val="00141E05"/>
    <w:rsid w:val="001424B6"/>
    <w:rsid w:val="0014679E"/>
    <w:rsid w:val="00150591"/>
    <w:rsid w:val="00150B7D"/>
    <w:rsid w:val="00153A20"/>
    <w:rsid w:val="00162D80"/>
    <w:rsid w:val="001661F0"/>
    <w:rsid w:val="0017570A"/>
    <w:rsid w:val="0018284D"/>
    <w:rsid w:val="00183978"/>
    <w:rsid w:val="00184DF5"/>
    <w:rsid w:val="00192B6A"/>
    <w:rsid w:val="00193462"/>
    <w:rsid w:val="001A267C"/>
    <w:rsid w:val="001A791F"/>
    <w:rsid w:val="001C2E61"/>
    <w:rsid w:val="001C40DD"/>
    <w:rsid w:val="001C7816"/>
    <w:rsid w:val="001D1F3C"/>
    <w:rsid w:val="001E1754"/>
    <w:rsid w:val="001E3362"/>
    <w:rsid w:val="001E3F75"/>
    <w:rsid w:val="001F340E"/>
    <w:rsid w:val="001F3530"/>
    <w:rsid w:val="002062AE"/>
    <w:rsid w:val="00210955"/>
    <w:rsid w:val="00210E66"/>
    <w:rsid w:val="0022286C"/>
    <w:rsid w:val="00224F51"/>
    <w:rsid w:val="00233261"/>
    <w:rsid w:val="0023527A"/>
    <w:rsid w:val="00236DCB"/>
    <w:rsid w:val="00240907"/>
    <w:rsid w:val="002456F8"/>
    <w:rsid w:val="00246280"/>
    <w:rsid w:val="0025207C"/>
    <w:rsid w:val="00255D51"/>
    <w:rsid w:val="002600F3"/>
    <w:rsid w:val="0026363E"/>
    <w:rsid w:val="00263C28"/>
    <w:rsid w:val="00264E34"/>
    <w:rsid w:val="00265C7D"/>
    <w:rsid w:val="00265E33"/>
    <w:rsid w:val="002664C8"/>
    <w:rsid w:val="00270E99"/>
    <w:rsid w:val="002711DD"/>
    <w:rsid w:val="002838A7"/>
    <w:rsid w:val="002857F5"/>
    <w:rsid w:val="0028760B"/>
    <w:rsid w:val="002940E8"/>
    <w:rsid w:val="00294100"/>
    <w:rsid w:val="00294214"/>
    <w:rsid w:val="002A5158"/>
    <w:rsid w:val="002B2C75"/>
    <w:rsid w:val="002B4D41"/>
    <w:rsid w:val="002B4FD0"/>
    <w:rsid w:val="002B66A8"/>
    <w:rsid w:val="002B7132"/>
    <w:rsid w:val="002C0239"/>
    <w:rsid w:val="002C0EAE"/>
    <w:rsid w:val="002D12F3"/>
    <w:rsid w:val="002E7852"/>
    <w:rsid w:val="002F2989"/>
    <w:rsid w:val="002F5608"/>
    <w:rsid w:val="002F6887"/>
    <w:rsid w:val="002F7234"/>
    <w:rsid w:val="00301DBD"/>
    <w:rsid w:val="003026A6"/>
    <w:rsid w:val="00303DB5"/>
    <w:rsid w:val="00342EC6"/>
    <w:rsid w:val="003505D8"/>
    <w:rsid w:val="003526C2"/>
    <w:rsid w:val="00354C42"/>
    <w:rsid w:val="00357D02"/>
    <w:rsid w:val="00361994"/>
    <w:rsid w:val="00373997"/>
    <w:rsid w:val="00374450"/>
    <w:rsid w:val="00374F50"/>
    <w:rsid w:val="00375AB3"/>
    <w:rsid w:val="00385B3C"/>
    <w:rsid w:val="00392566"/>
    <w:rsid w:val="00394824"/>
    <w:rsid w:val="003A2228"/>
    <w:rsid w:val="003A272F"/>
    <w:rsid w:val="003A6478"/>
    <w:rsid w:val="003A709C"/>
    <w:rsid w:val="003A7196"/>
    <w:rsid w:val="003B0DA3"/>
    <w:rsid w:val="003B103F"/>
    <w:rsid w:val="003C5975"/>
    <w:rsid w:val="003C7826"/>
    <w:rsid w:val="003D713A"/>
    <w:rsid w:val="003E2998"/>
    <w:rsid w:val="003F160C"/>
    <w:rsid w:val="003F4F41"/>
    <w:rsid w:val="00401935"/>
    <w:rsid w:val="004065A8"/>
    <w:rsid w:val="00407594"/>
    <w:rsid w:val="0041091E"/>
    <w:rsid w:val="004153F0"/>
    <w:rsid w:val="004161AD"/>
    <w:rsid w:val="00417D4D"/>
    <w:rsid w:val="004207C6"/>
    <w:rsid w:val="00420A38"/>
    <w:rsid w:val="00420BAD"/>
    <w:rsid w:val="00421A94"/>
    <w:rsid w:val="00423E89"/>
    <w:rsid w:val="00424180"/>
    <w:rsid w:val="00434F34"/>
    <w:rsid w:val="00440B6C"/>
    <w:rsid w:val="004420EB"/>
    <w:rsid w:val="00442C17"/>
    <w:rsid w:val="00465A62"/>
    <w:rsid w:val="00477E72"/>
    <w:rsid w:val="004824E0"/>
    <w:rsid w:val="00482882"/>
    <w:rsid w:val="00483076"/>
    <w:rsid w:val="00487D92"/>
    <w:rsid w:val="0049632E"/>
    <w:rsid w:val="004965D5"/>
    <w:rsid w:val="004A1867"/>
    <w:rsid w:val="004A20C5"/>
    <w:rsid w:val="004B3357"/>
    <w:rsid w:val="004B346D"/>
    <w:rsid w:val="004B4024"/>
    <w:rsid w:val="004C13AD"/>
    <w:rsid w:val="004C39C3"/>
    <w:rsid w:val="004C5200"/>
    <w:rsid w:val="004C6CE0"/>
    <w:rsid w:val="004C7FCC"/>
    <w:rsid w:val="004D0560"/>
    <w:rsid w:val="004D3CF7"/>
    <w:rsid w:val="004E049A"/>
    <w:rsid w:val="004E343B"/>
    <w:rsid w:val="004E395D"/>
    <w:rsid w:val="004F0D3B"/>
    <w:rsid w:val="005003EF"/>
    <w:rsid w:val="00501220"/>
    <w:rsid w:val="00504DEF"/>
    <w:rsid w:val="00505827"/>
    <w:rsid w:val="00510069"/>
    <w:rsid w:val="00516614"/>
    <w:rsid w:val="00525114"/>
    <w:rsid w:val="005253DB"/>
    <w:rsid w:val="0052757E"/>
    <w:rsid w:val="00527CCA"/>
    <w:rsid w:val="00527FD3"/>
    <w:rsid w:val="00532CAF"/>
    <w:rsid w:val="00543176"/>
    <w:rsid w:val="005623CD"/>
    <w:rsid w:val="005642FF"/>
    <w:rsid w:val="00564EF0"/>
    <w:rsid w:val="00572634"/>
    <w:rsid w:val="00577FA0"/>
    <w:rsid w:val="00580AB3"/>
    <w:rsid w:val="0058195C"/>
    <w:rsid w:val="0058254B"/>
    <w:rsid w:val="00582946"/>
    <w:rsid w:val="00587BD2"/>
    <w:rsid w:val="00595E79"/>
    <w:rsid w:val="005A15CE"/>
    <w:rsid w:val="005A4879"/>
    <w:rsid w:val="005A5181"/>
    <w:rsid w:val="005A7EA0"/>
    <w:rsid w:val="005B06C1"/>
    <w:rsid w:val="005B21E1"/>
    <w:rsid w:val="005B2D9E"/>
    <w:rsid w:val="005C1015"/>
    <w:rsid w:val="005C32AA"/>
    <w:rsid w:val="005C3DEA"/>
    <w:rsid w:val="005D74B9"/>
    <w:rsid w:val="005E2AE6"/>
    <w:rsid w:val="005E36BF"/>
    <w:rsid w:val="005E4743"/>
    <w:rsid w:val="005E7105"/>
    <w:rsid w:val="00601C06"/>
    <w:rsid w:val="0060681A"/>
    <w:rsid w:val="00611B16"/>
    <w:rsid w:val="00616485"/>
    <w:rsid w:val="00616821"/>
    <w:rsid w:val="006262DB"/>
    <w:rsid w:val="006342CC"/>
    <w:rsid w:val="00635E86"/>
    <w:rsid w:val="00637489"/>
    <w:rsid w:val="00644E38"/>
    <w:rsid w:val="0064571D"/>
    <w:rsid w:val="0066170F"/>
    <w:rsid w:val="0066326F"/>
    <w:rsid w:val="00665413"/>
    <w:rsid w:val="00671679"/>
    <w:rsid w:val="00674241"/>
    <w:rsid w:val="00674BB5"/>
    <w:rsid w:val="00675FB8"/>
    <w:rsid w:val="006802C7"/>
    <w:rsid w:val="006908E5"/>
    <w:rsid w:val="006922A8"/>
    <w:rsid w:val="00692EF2"/>
    <w:rsid w:val="006962F9"/>
    <w:rsid w:val="00696B37"/>
    <w:rsid w:val="006A239D"/>
    <w:rsid w:val="006A3CA6"/>
    <w:rsid w:val="006A7AE8"/>
    <w:rsid w:val="006C185D"/>
    <w:rsid w:val="006D01E9"/>
    <w:rsid w:val="006D755A"/>
    <w:rsid w:val="006D7AD1"/>
    <w:rsid w:val="006E311C"/>
    <w:rsid w:val="006E372E"/>
    <w:rsid w:val="006F27DF"/>
    <w:rsid w:val="006F486B"/>
    <w:rsid w:val="006F7A66"/>
    <w:rsid w:val="00700066"/>
    <w:rsid w:val="00703483"/>
    <w:rsid w:val="00711105"/>
    <w:rsid w:val="00713388"/>
    <w:rsid w:val="00714AD7"/>
    <w:rsid w:val="00715E45"/>
    <w:rsid w:val="00717FC4"/>
    <w:rsid w:val="00721225"/>
    <w:rsid w:val="007219C2"/>
    <w:rsid w:val="00724FAD"/>
    <w:rsid w:val="0072568E"/>
    <w:rsid w:val="00726134"/>
    <w:rsid w:val="007326E0"/>
    <w:rsid w:val="0073304C"/>
    <w:rsid w:val="00742E8E"/>
    <w:rsid w:val="007452D6"/>
    <w:rsid w:val="007476B7"/>
    <w:rsid w:val="00754432"/>
    <w:rsid w:val="00760979"/>
    <w:rsid w:val="00762DAF"/>
    <w:rsid w:val="007637D7"/>
    <w:rsid w:val="00764BE0"/>
    <w:rsid w:val="007666B0"/>
    <w:rsid w:val="007734A7"/>
    <w:rsid w:val="00781A2C"/>
    <w:rsid w:val="00790A68"/>
    <w:rsid w:val="00791384"/>
    <w:rsid w:val="00791CCC"/>
    <w:rsid w:val="0079630B"/>
    <w:rsid w:val="007B49BF"/>
    <w:rsid w:val="007B4EF2"/>
    <w:rsid w:val="007B5C8C"/>
    <w:rsid w:val="007B6666"/>
    <w:rsid w:val="007C2B8B"/>
    <w:rsid w:val="007C449B"/>
    <w:rsid w:val="007C5977"/>
    <w:rsid w:val="007D00CE"/>
    <w:rsid w:val="007D1CA5"/>
    <w:rsid w:val="007D3ED3"/>
    <w:rsid w:val="007E1B9E"/>
    <w:rsid w:val="007E2644"/>
    <w:rsid w:val="007E314A"/>
    <w:rsid w:val="007F29C0"/>
    <w:rsid w:val="007F58AA"/>
    <w:rsid w:val="007F75E5"/>
    <w:rsid w:val="0080001D"/>
    <w:rsid w:val="008014D8"/>
    <w:rsid w:val="00805DD7"/>
    <w:rsid w:val="0080792B"/>
    <w:rsid w:val="00811F66"/>
    <w:rsid w:val="00817575"/>
    <w:rsid w:val="0082067D"/>
    <w:rsid w:val="0082285A"/>
    <w:rsid w:val="0082384D"/>
    <w:rsid w:val="008265EC"/>
    <w:rsid w:val="0083510E"/>
    <w:rsid w:val="008375B5"/>
    <w:rsid w:val="00850065"/>
    <w:rsid w:val="00854404"/>
    <w:rsid w:val="00855A89"/>
    <w:rsid w:val="00861608"/>
    <w:rsid w:val="008624BD"/>
    <w:rsid w:val="00864EAB"/>
    <w:rsid w:val="00866615"/>
    <w:rsid w:val="008711FD"/>
    <w:rsid w:val="0087164A"/>
    <w:rsid w:val="0087507F"/>
    <w:rsid w:val="0087520F"/>
    <w:rsid w:val="0087546B"/>
    <w:rsid w:val="00880C79"/>
    <w:rsid w:val="0088114C"/>
    <w:rsid w:val="00885310"/>
    <w:rsid w:val="008907C0"/>
    <w:rsid w:val="008930B8"/>
    <w:rsid w:val="008A4D63"/>
    <w:rsid w:val="008A63AA"/>
    <w:rsid w:val="008A6756"/>
    <w:rsid w:val="008B102F"/>
    <w:rsid w:val="008C41A8"/>
    <w:rsid w:val="008D1585"/>
    <w:rsid w:val="008D1D90"/>
    <w:rsid w:val="008D4DB2"/>
    <w:rsid w:val="008E31E6"/>
    <w:rsid w:val="008E347F"/>
    <w:rsid w:val="008E61C8"/>
    <w:rsid w:val="008F1800"/>
    <w:rsid w:val="00901D00"/>
    <w:rsid w:val="00902EEC"/>
    <w:rsid w:val="00904508"/>
    <w:rsid w:val="00904E61"/>
    <w:rsid w:val="00907481"/>
    <w:rsid w:val="0091230B"/>
    <w:rsid w:val="009161B5"/>
    <w:rsid w:val="00916913"/>
    <w:rsid w:val="00930AA4"/>
    <w:rsid w:val="00931ADC"/>
    <w:rsid w:val="00931F88"/>
    <w:rsid w:val="009334D8"/>
    <w:rsid w:val="0093665D"/>
    <w:rsid w:val="00936F46"/>
    <w:rsid w:val="00937F7F"/>
    <w:rsid w:val="0094212F"/>
    <w:rsid w:val="00944926"/>
    <w:rsid w:val="00945889"/>
    <w:rsid w:val="00946BD4"/>
    <w:rsid w:val="009530A6"/>
    <w:rsid w:val="009626A9"/>
    <w:rsid w:val="00973373"/>
    <w:rsid w:val="0097442A"/>
    <w:rsid w:val="00977F0B"/>
    <w:rsid w:val="00984018"/>
    <w:rsid w:val="009849D7"/>
    <w:rsid w:val="00987802"/>
    <w:rsid w:val="00990C45"/>
    <w:rsid w:val="00997037"/>
    <w:rsid w:val="009A00EC"/>
    <w:rsid w:val="009A4993"/>
    <w:rsid w:val="009B0936"/>
    <w:rsid w:val="009B1A48"/>
    <w:rsid w:val="009B1EA1"/>
    <w:rsid w:val="009B4273"/>
    <w:rsid w:val="009C5B17"/>
    <w:rsid w:val="009D1F0E"/>
    <w:rsid w:val="009D38CE"/>
    <w:rsid w:val="009D6498"/>
    <w:rsid w:val="009D7777"/>
    <w:rsid w:val="009E09EB"/>
    <w:rsid w:val="009E1C01"/>
    <w:rsid w:val="009E29B3"/>
    <w:rsid w:val="009E3D28"/>
    <w:rsid w:val="009E5AB0"/>
    <w:rsid w:val="009E7F2A"/>
    <w:rsid w:val="009F1C17"/>
    <w:rsid w:val="00A03C40"/>
    <w:rsid w:val="00A0412E"/>
    <w:rsid w:val="00A1150E"/>
    <w:rsid w:val="00A11878"/>
    <w:rsid w:val="00A11938"/>
    <w:rsid w:val="00A31201"/>
    <w:rsid w:val="00A40B92"/>
    <w:rsid w:val="00A40C3B"/>
    <w:rsid w:val="00A41D4C"/>
    <w:rsid w:val="00A50E6D"/>
    <w:rsid w:val="00A53061"/>
    <w:rsid w:val="00A56F0F"/>
    <w:rsid w:val="00A61254"/>
    <w:rsid w:val="00A624BA"/>
    <w:rsid w:val="00A74C89"/>
    <w:rsid w:val="00A85710"/>
    <w:rsid w:val="00A875D4"/>
    <w:rsid w:val="00A927F1"/>
    <w:rsid w:val="00A92CB3"/>
    <w:rsid w:val="00A9474F"/>
    <w:rsid w:val="00AA59BB"/>
    <w:rsid w:val="00AA769D"/>
    <w:rsid w:val="00AB026F"/>
    <w:rsid w:val="00AB3D2A"/>
    <w:rsid w:val="00AC2500"/>
    <w:rsid w:val="00AC2DCE"/>
    <w:rsid w:val="00AC3FDE"/>
    <w:rsid w:val="00AC6E0B"/>
    <w:rsid w:val="00AC7BE6"/>
    <w:rsid w:val="00AD0309"/>
    <w:rsid w:val="00AD227C"/>
    <w:rsid w:val="00AD2900"/>
    <w:rsid w:val="00AE11ED"/>
    <w:rsid w:val="00AE266B"/>
    <w:rsid w:val="00AE4A1A"/>
    <w:rsid w:val="00AF1C9C"/>
    <w:rsid w:val="00B0172D"/>
    <w:rsid w:val="00B03C56"/>
    <w:rsid w:val="00B04CDA"/>
    <w:rsid w:val="00B16E08"/>
    <w:rsid w:val="00B20547"/>
    <w:rsid w:val="00B25239"/>
    <w:rsid w:val="00B27F4E"/>
    <w:rsid w:val="00B3142F"/>
    <w:rsid w:val="00B33A32"/>
    <w:rsid w:val="00B7057A"/>
    <w:rsid w:val="00B7379E"/>
    <w:rsid w:val="00B81A00"/>
    <w:rsid w:val="00B87209"/>
    <w:rsid w:val="00B924D0"/>
    <w:rsid w:val="00B940D1"/>
    <w:rsid w:val="00BA38DF"/>
    <w:rsid w:val="00BA3F3C"/>
    <w:rsid w:val="00BA6065"/>
    <w:rsid w:val="00BA72E0"/>
    <w:rsid w:val="00BB0A5B"/>
    <w:rsid w:val="00BB0A9A"/>
    <w:rsid w:val="00BB0F60"/>
    <w:rsid w:val="00BB7257"/>
    <w:rsid w:val="00BC0847"/>
    <w:rsid w:val="00BC50A0"/>
    <w:rsid w:val="00BC5C9D"/>
    <w:rsid w:val="00BD65C2"/>
    <w:rsid w:val="00BD7D4E"/>
    <w:rsid w:val="00BE406B"/>
    <w:rsid w:val="00BF37C7"/>
    <w:rsid w:val="00C06873"/>
    <w:rsid w:val="00C15FDC"/>
    <w:rsid w:val="00C217AE"/>
    <w:rsid w:val="00C26F94"/>
    <w:rsid w:val="00C3046A"/>
    <w:rsid w:val="00C30676"/>
    <w:rsid w:val="00C3069A"/>
    <w:rsid w:val="00C40C78"/>
    <w:rsid w:val="00C411AC"/>
    <w:rsid w:val="00C428E1"/>
    <w:rsid w:val="00C4321E"/>
    <w:rsid w:val="00C43B9D"/>
    <w:rsid w:val="00C4640B"/>
    <w:rsid w:val="00C50D84"/>
    <w:rsid w:val="00C54A13"/>
    <w:rsid w:val="00C55815"/>
    <w:rsid w:val="00C61808"/>
    <w:rsid w:val="00C64BE0"/>
    <w:rsid w:val="00C7562B"/>
    <w:rsid w:val="00C80368"/>
    <w:rsid w:val="00C803D9"/>
    <w:rsid w:val="00C80D0F"/>
    <w:rsid w:val="00C81A5C"/>
    <w:rsid w:val="00C857C3"/>
    <w:rsid w:val="00C86845"/>
    <w:rsid w:val="00C9161F"/>
    <w:rsid w:val="00C92D4E"/>
    <w:rsid w:val="00C942A4"/>
    <w:rsid w:val="00CA0FE7"/>
    <w:rsid w:val="00CA4966"/>
    <w:rsid w:val="00CA5E0A"/>
    <w:rsid w:val="00CB2445"/>
    <w:rsid w:val="00CB25D9"/>
    <w:rsid w:val="00CB5540"/>
    <w:rsid w:val="00CB6B00"/>
    <w:rsid w:val="00CC290C"/>
    <w:rsid w:val="00CC7804"/>
    <w:rsid w:val="00CC7E49"/>
    <w:rsid w:val="00CD0672"/>
    <w:rsid w:val="00CD48FB"/>
    <w:rsid w:val="00CE0912"/>
    <w:rsid w:val="00CE7822"/>
    <w:rsid w:val="00CF0B8E"/>
    <w:rsid w:val="00D06DB2"/>
    <w:rsid w:val="00D10485"/>
    <w:rsid w:val="00D12673"/>
    <w:rsid w:val="00D15F70"/>
    <w:rsid w:val="00D310DE"/>
    <w:rsid w:val="00D319E8"/>
    <w:rsid w:val="00D40883"/>
    <w:rsid w:val="00D40915"/>
    <w:rsid w:val="00D433C3"/>
    <w:rsid w:val="00D4781A"/>
    <w:rsid w:val="00D51198"/>
    <w:rsid w:val="00D51BC4"/>
    <w:rsid w:val="00D55668"/>
    <w:rsid w:val="00D632C5"/>
    <w:rsid w:val="00D66C02"/>
    <w:rsid w:val="00D726B3"/>
    <w:rsid w:val="00D736EA"/>
    <w:rsid w:val="00D75AF2"/>
    <w:rsid w:val="00D842DD"/>
    <w:rsid w:val="00D9156E"/>
    <w:rsid w:val="00D934EA"/>
    <w:rsid w:val="00D9696D"/>
    <w:rsid w:val="00DA003A"/>
    <w:rsid w:val="00DB2AAB"/>
    <w:rsid w:val="00DB2B37"/>
    <w:rsid w:val="00DB2B42"/>
    <w:rsid w:val="00DB3CFB"/>
    <w:rsid w:val="00DC5820"/>
    <w:rsid w:val="00DE0244"/>
    <w:rsid w:val="00DE0D3F"/>
    <w:rsid w:val="00DF13D4"/>
    <w:rsid w:val="00DF143F"/>
    <w:rsid w:val="00DF1622"/>
    <w:rsid w:val="00DF202F"/>
    <w:rsid w:val="00DF421C"/>
    <w:rsid w:val="00DF4651"/>
    <w:rsid w:val="00DF7EBD"/>
    <w:rsid w:val="00E00830"/>
    <w:rsid w:val="00E065E9"/>
    <w:rsid w:val="00E13677"/>
    <w:rsid w:val="00E23966"/>
    <w:rsid w:val="00E24EE6"/>
    <w:rsid w:val="00E334A0"/>
    <w:rsid w:val="00E33EDA"/>
    <w:rsid w:val="00E34799"/>
    <w:rsid w:val="00E35E76"/>
    <w:rsid w:val="00E377D7"/>
    <w:rsid w:val="00E4129D"/>
    <w:rsid w:val="00E5409B"/>
    <w:rsid w:val="00E56D2D"/>
    <w:rsid w:val="00E56F08"/>
    <w:rsid w:val="00E61C0F"/>
    <w:rsid w:val="00E65C2B"/>
    <w:rsid w:val="00E71EA8"/>
    <w:rsid w:val="00E75524"/>
    <w:rsid w:val="00E807AF"/>
    <w:rsid w:val="00E82D2A"/>
    <w:rsid w:val="00E91D44"/>
    <w:rsid w:val="00E923E4"/>
    <w:rsid w:val="00E953EC"/>
    <w:rsid w:val="00E9792A"/>
    <w:rsid w:val="00EA4EDE"/>
    <w:rsid w:val="00EC6FE8"/>
    <w:rsid w:val="00EC74E5"/>
    <w:rsid w:val="00EE0733"/>
    <w:rsid w:val="00EE2448"/>
    <w:rsid w:val="00EE45CA"/>
    <w:rsid w:val="00EE6764"/>
    <w:rsid w:val="00EE6E4D"/>
    <w:rsid w:val="00EE7558"/>
    <w:rsid w:val="00EF2961"/>
    <w:rsid w:val="00EF46C7"/>
    <w:rsid w:val="00EF700A"/>
    <w:rsid w:val="00F0318F"/>
    <w:rsid w:val="00F066C3"/>
    <w:rsid w:val="00F10727"/>
    <w:rsid w:val="00F147CB"/>
    <w:rsid w:val="00F20D6A"/>
    <w:rsid w:val="00F21AE0"/>
    <w:rsid w:val="00F23EF8"/>
    <w:rsid w:val="00F2429A"/>
    <w:rsid w:val="00F24DDB"/>
    <w:rsid w:val="00F26FF1"/>
    <w:rsid w:val="00F3008B"/>
    <w:rsid w:val="00F342F1"/>
    <w:rsid w:val="00F35A75"/>
    <w:rsid w:val="00F37D85"/>
    <w:rsid w:val="00F457E9"/>
    <w:rsid w:val="00F4641D"/>
    <w:rsid w:val="00F47608"/>
    <w:rsid w:val="00F477EB"/>
    <w:rsid w:val="00F4781F"/>
    <w:rsid w:val="00F5141E"/>
    <w:rsid w:val="00F51CAB"/>
    <w:rsid w:val="00F61837"/>
    <w:rsid w:val="00F62C62"/>
    <w:rsid w:val="00F62CC8"/>
    <w:rsid w:val="00F73C60"/>
    <w:rsid w:val="00F85433"/>
    <w:rsid w:val="00F9234C"/>
    <w:rsid w:val="00F96DF0"/>
    <w:rsid w:val="00FA0794"/>
    <w:rsid w:val="00FA615E"/>
    <w:rsid w:val="00FB0F79"/>
    <w:rsid w:val="00FB649A"/>
    <w:rsid w:val="00FB74D3"/>
    <w:rsid w:val="00FB7BCC"/>
    <w:rsid w:val="00FC1977"/>
    <w:rsid w:val="00FC6810"/>
    <w:rsid w:val="00FD04C9"/>
    <w:rsid w:val="00FD77D3"/>
    <w:rsid w:val="00FE4806"/>
    <w:rsid w:val="00FE5292"/>
    <w:rsid w:val="00FF28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B16E08"/>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B16E08"/>
    <w:pPr>
      <w:spacing w:after="100"/>
      <w:ind w:left="240"/>
    </w:pPr>
  </w:style>
  <w:style w:type="character" w:styleId="Hyperlink">
    <w:name w:val="Hyperlink"/>
    <w:basedOn w:val="DefaultParagraphFont"/>
    <w:uiPriority w:val="99"/>
    <w:unhideWhenUsed/>
    <w:rsid w:val="00B16E08"/>
    <w:rPr>
      <w:color w:val="467886" w:themeColor="hyperlink"/>
      <w:u w:val="single"/>
    </w:rPr>
  </w:style>
  <w:style w:type="character" w:styleId="UnresolvedMention">
    <w:name w:val="Unresolved Mention"/>
    <w:basedOn w:val="DefaultParagraphFont"/>
    <w:uiPriority w:val="99"/>
    <w:semiHidden/>
    <w:unhideWhenUsed/>
    <w:rsid w:val="006A239D"/>
    <w:rPr>
      <w:color w:val="605E5C"/>
      <w:shd w:val="clear" w:color="auto" w:fill="E1DFDD"/>
    </w:rPr>
  </w:style>
  <w:style w:type="paragraph" w:styleId="TOC1">
    <w:name w:val="toc 1"/>
    <w:basedOn w:val="Normal"/>
    <w:next w:val="Normal"/>
    <w:autoRedefine/>
    <w:uiPriority w:val="39"/>
    <w:unhideWhenUsed/>
    <w:rsid w:val="003505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3/apr/03/backlog-in-nhs-genome-service-leaves-families-facing-long-wait-for-result" TargetMode="External"/><Relationship Id="rId18" Type="http://schemas.openxmlformats.org/officeDocument/2006/relationships/hyperlink" Target="https://www.gov.uk/government/news/100000-whole-genomes-sequenced-in-the-nhs" TargetMode="External"/><Relationship Id="rId26" Type="http://schemas.openxmlformats.org/officeDocument/2006/relationships/hyperlink" Target="https://doi.org/10.1111/cen.14818" TargetMode="External"/><Relationship Id="rId39" Type="http://schemas.openxmlformats.org/officeDocument/2006/relationships/theme" Target="theme/theme1.xml"/><Relationship Id="rId21" Type="http://schemas.openxmlformats.org/officeDocument/2006/relationships/hyperlink" Target="https://doi.org/10.1377/hlthaff.2017.159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93/jlb/lsz007" TargetMode="External"/><Relationship Id="rId17" Type="http://schemas.openxmlformats.org/officeDocument/2006/relationships/hyperlink" Target="https://doi.org/10.2217/pgs-2021-0032" TargetMode="External"/><Relationship Id="rId25" Type="http://schemas.openxmlformats.org/officeDocument/2006/relationships/hyperlink" Target="https://www.genome.gov/about-genomics/fact-sheets/DNA-Sequencing-Fact-Sheet"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gene.2023.1282034" TargetMode="External"/><Relationship Id="rId20" Type="http://schemas.openxmlformats.org/officeDocument/2006/relationships/hyperlink" Target="https://www.gov.uk/government/news/governments-tech-reform-to-transform-cancer-diagnosis" TargetMode="External"/><Relationship Id="rId29" Type="http://schemas.openxmlformats.org/officeDocument/2006/relationships/hyperlink" Target="https://doi.org/10.3389/fgene.2022.8672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advanced-molecular-detection/about/what-is-genomic-sequencing.html" TargetMode="External"/><Relationship Id="rId24" Type="http://schemas.openxmlformats.org/officeDocument/2006/relationships/hyperlink" Target="https://doi.org/10.21037/atm-25-34"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england.nhs.uk/long-read/the-nhs-genomic-medicine-service-achievements-in-2024/" TargetMode="External"/><Relationship Id="rId23" Type="http://schemas.openxmlformats.org/officeDocument/2006/relationships/hyperlink" Target="https://doi.org/10.1136/archdischild-2021-rcpch.641" TargetMode="External"/><Relationship Id="rId28" Type="http://schemas.openxmlformats.org/officeDocument/2006/relationships/hyperlink" Target="https://doi.org/10.1080/14636778.2017.1370671" TargetMode="External"/><Relationship Id="rId36" Type="http://schemas.openxmlformats.org/officeDocument/2006/relationships/header" Target="header3.xml"/><Relationship Id="rId10" Type="http://schemas.openxmlformats.org/officeDocument/2006/relationships/hyperlink" Target="https://doi.org/10.1007/s10897-016-9970-9" TargetMode="External"/><Relationship Id="rId19" Type="http://schemas.openxmlformats.org/officeDocument/2006/relationships/hyperlink" Target="https://www.gov.uk/government/news/government-puts-nurses-at-heart-of-dna-testing-and-research" TargetMode="External"/><Relationship Id="rId31" Type="http://schemas.openxmlformats.org/officeDocument/2006/relationships/hyperlink" Target="https://doi.org/10.1016/j.jdiacomp.2018.09.003"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doi.org/10.1136/jmg-2024-110228" TargetMode="External"/><Relationship Id="rId22" Type="http://schemas.openxmlformats.org/officeDocument/2006/relationships/hyperlink" Target="https://doi.org/10.1002/jgc4.1075" TargetMode="External"/><Relationship Id="rId27" Type="http://schemas.openxmlformats.org/officeDocument/2006/relationships/hyperlink" Target="https://doi.org/10.1038/s41431-020-0627-7" TargetMode="External"/><Relationship Id="rId30" Type="http://schemas.openxmlformats.org/officeDocument/2006/relationships/hyperlink" Target="https://doi.org/10.1177/21501327211046734" TargetMode="External"/><Relationship Id="rId35"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8A235-EDAB-4885-98B2-4A685CA60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11</Pages>
  <Words>3777</Words>
  <Characters>21530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Florence Mirembe (2313074)</cp:lastModifiedBy>
  <cp:revision>90</cp:revision>
  <dcterms:created xsi:type="dcterms:W3CDTF">2025-11-03T14:21:00Z</dcterms:created>
  <dcterms:modified xsi:type="dcterms:W3CDTF">2025-11-11T15:52:00Z</dcterms:modified>
</cp:coreProperties>
</file>