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6B5D0" w14:textId="304251A6" w:rsidR="2B5B1B13" w:rsidRDefault="2B5B1B13" w:rsidP="2B5B1B13">
      <w:pPr>
        <w:rPr>
          <w:i/>
          <w:iCs/>
        </w:rPr>
      </w:pPr>
      <w:r w:rsidRPr="2B5B1B13">
        <w:rPr>
          <w:i/>
          <w:iCs/>
        </w:rPr>
        <w:t xml:space="preserve">You will have already read into a number of these topics over the course so far. Don’t forget to go back and look over existing literature which has helped shape your practice so far.  </w:t>
      </w:r>
    </w:p>
    <w:p w14:paraId="12D62C13" w14:textId="18B0DA6A" w:rsidR="2B5B1B13" w:rsidRDefault="2B5B1B13" w:rsidP="2B5B1B13">
      <w:pPr>
        <w:rPr>
          <w:b/>
          <w:bCs/>
        </w:rPr>
      </w:pPr>
    </w:p>
    <w:p w14:paraId="5B4301F2" w14:textId="1D273665" w:rsidR="2B5B1B13" w:rsidRDefault="2B5B1B13" w:rsidP="2B5B1B13">
      <w:pPr>
        <w:rPr>
          <w:b/>
          <w:bCs/>
        </w:rPr>
      </w:pPr>
      <w:r w:rsidRPr="2B5B1B13">
        <w:rPr>
          <w:b/>
          <w:bCs/>
        </w:rPr>
        <w:t>General</w:t>
      </w:r>
    </w:p>
    <w:p w14:paraId="1B8DB43B" w14:textId="062A8C37" w:rsidR="2B5B1B13" w:rsidRDefault="2B5B1B13" w:rsidP="2B5B1B13">
      <w:pPr>
        <w:rPr>
          <w:i/>
          <w:iCs/>
        </w:rPr>
      </w:pPr>
      <w:r w:rsidRPr="2B5B1B13">
        <w:rPr>
          <w:i/>
          <w:iCs/>
        </w:rPr>
        <w:t>These items relate to several principles</w:t>
      </w:r>
    </w:p>
    <w:p w14:paraId="6EDE8FF3" w14:textId="03321825" w:rsidR="2B5B1B13" w:rsidRDefault="2B5B1B13" w:rsidP="2B5B1B13">
      <w:r>
        <w:t>Useful websites:</w:t>
      </w:r>
    </w:p>
    <w:p w14:paraId="123DB042" w14:textId="4967D9AE" w:rsidR="2B5B1B13" w:rsidRDefault="2B5B1B13" w:rsidP="2B5B1B13">
      <w:r>
        <w:t xml:space="preserve">Educational Endowment Foundation - </w:t>
      </w:r>
      <w:hyperlink r:id="rId4">
        <w:r w:rsidRPr="2B5B1B13">
          <w:rPr>
            <w:rStyle w:val="Hyperlink"/>
            <w:rFonts w:ascii="Calibri" w:eastAsia="Calibri" w:hAnsi="Calibri" w:cs="Calibri"/>
          </w:rPr>
          <w:t>https://educationendowmentfoundation.org.uk/</w:t>
        </w:r>
      </w:hyperlink>
    </w:p>
    <w:p w14:paraId="26B47FE8" w14:textId="598241F5" w:rsidR="2B5B1B13" w:rsidRDefault="2B5B1B13" w:rsidP="2B5B1B13">
      <w:pPr>
        <w:rPr>
          <w:b/>
          <w:bCs/>
          <w:i/>
          <w:iCs/>
        </w:rPr>
      </w:pPr>
      <w:r w:rsidRPr="2B5B1B13">
        <w:rPr>
          <w:i/>
          <w:iCs/>
        </w:rPr>
        <w:t>Their website contains excellent research summaries of a range of topics. Click on ‘Teaching and Learning Toolkit’ and select a topic to view the summary.</w:t>
      </w:r>
      <w:r w:rsidRPr="2B5B1B13">
        <w:rPr>
          <w:b/>
          <w:bCs/>
          <w:i/>
          <w:iCs/>
        </w:rPr>
        <w:t xml:space="preserve"> View the pdf copy for a list of references.</w:t>
      </w:r>
    </w:p>
    <w:p w14:paraId="28A91A4C" w14:textId="33702218" w:rsidR="2B5B1B13" w:rsidRDefault="2B5B1B13" w:rsidP="2B5B1B13">
      <w:r>
        <w:t xml:space="preserve">ESTYN – Effective Practice Search - </w:t>
      </w:r>
      <w:hyperlink r:id="rId5">
        <w:r w:rsidRPr="2B5B1B13">
          <w:rPr>
            <w:rStyle w:val="Hyperlink"/>
            <w:rFonts w:ascii="Calibri" w:eastAsia="Calibri" w:hAnsi="Calibri" w:cs="Calibri"/>
          </w:rPr>
          <w:t>https://www.estyn.gov.wales/effective-practice</w:t>
        </w:r>
      </w:hyperlink>
    </w:p>
    <w:p w14:paraId="2B7D921F" w14:textId="4D003231" w:rsidR="2B5B1B13" w:rsidRDefault="2B5B1B13" w:rsidP="2B5B1B13">
      <w:pPr>
        <w:rPr>
          <w:i/>
          <w:iCs/>
        </w:rPr>
      </w:pPr>
      <w:r w:rsidRPr="2B5B1B13">
        <w:rPr>
          <w:i/>
          <w:iCs/>
        </w:rPr>
        <w:t xml:space="preserve">This site allows you to search for </w:t>
      </w:r>
      <w:proofErr w:type="spellStart"/>
      <w:r w:rsidRPr="2B5B1B13">
        <w:rPr>
          <w:i/>
          <w:iCs/>
        </w:rPr>
        <w:t>Estyn</w:t>
      </w:r>
      <w:proofErr w:type="spellEnd"/>
      <w:r w:rsidRPr="2B5B1B13">
        <w:rPr>
          <w:i/>
          <w:iCs/>
        </w:rPr>
        <w:t xml:space="preserve"> reports into a range of teaching and learning approaches.</w:t>
      </w:r>
    </w:p>
    <w:p w14:paraId="09204B49" w14:textId="7821B068" w:rsidR="2B5B1B13" w:rsidRDefault="2B5B1B13" w:rsidP="2B5B1B13"/>
    <w:p w14:paraId="75278338" w14:textId="379A3DB0" w:rsidR="2B5B1B13" w:rsidRDefault="2B5B1B13" w:rsidP="2B5B1B13">
      <w:r>
        <w:t>Useful reports:</w:t>
      </w:r>
    </w:p>
    <w:p w14:paraId="6A46AD6C" w14:textId="532CEB13" w:rsidR="2B5B1B13" w:rsidRDefault="2B5B1B13" w:rsidP="2B5B1B13">
      <w:pPr>
        <w:rPr>
          <w:rFonts w:ascii="Calibri" w:eastAsia="Calibri" w:hAnsi="Calibri" w:cs="Calibri"/>
        </w:rPr>
      </w:pPr>
      <w:r>
        <w:t xml:space="preserve">Coe, R et al (2014), What Makes Great Teaching? Sutton Trust </w:t>
      </w:r>
      <w:hyperlink r:id="rId6">
        <w:r w:rsidRPr="2B5B1B13">
          <w:rPr>
            <w:rStyle w:val="Hyperlink"/>
          </w:rPr>
          <w:t>https://www.suttontrust.com/wp-content/uploads/2014/10/What-Makes-Great-Teaching-REPORT.pdf</w:t>
        </w:r>
      </w:hyperlink>
    </w:p>
    <w:p w14:paraId="0CE0EC8B" w14:textId="5B12F334" w:rsidR="2B5B1B13" w:rsidRDefault="2B5B1B13" w:rsidP="2B5B1B13">
      <w:r>
        <w:t xml:space="preserve">Deans for Impact (2015) The Science of Learning - </w:t>
      </w:r>
      <w:hyperlink r:id="rId7">
        <w:r w:rsidRPr="2B5B1B13">
          <w:rPr>
            <w:rStyle w:val="Hyperlink"/>
            <w:rFonts w:ascii="Calibri" w:eastAsia="Calibri" w:hAnsi="Calibri" w:cs="Calibri"/>
          </w:rPr>
          <w:t>https://deansforimpact.org/wp-content/uploads/2016/12/The_Science_of_Learning.pdf</w:t>
        </w:r>
      </w:hyperlink>
    </w:p>
    <w:p w14:paraId="32DAEE53" w14:textId="7C94D3FB" w:rsidR="2B5B1B13" w:rsidRDefault="2B5B1B13" w:rsidP="2B5B1B13">
      <w:pPr>
        <w:rPr>
          <w:rFonts w:ascii="Calibri" w:eastAsia="Calibri" w:hAnsi="Calibri" w:cs="Calibri"/>
        </w:rPr>
      </w:pPr>
      <w:r w:rsidRPr="2B5B1B13">
        <w:rPr>
          <w:rFonts w:ascii="Calibri" w:eastAsia="Calibri" w:hAnsi="Calibri" w:cs="Calibri"/>
        </w:rPr>
        <w:t xml:space="preserve">Husbands, C and Pearce, J (2012) </w:t>
      </w:r>
      <w:proofErr w:type="gramStart"/>
      <w:r w:rsidRPr="2B5B1B13">
        <w:rPr>
          <w:rFonts w:ascii="Calibri" w:eastAsia="Calibri" w:hAnsi="Calibri" w:cs="Calibri"/>
        </w:rPr>
        <w:t>What</w:t>
      </w:r>
      <w:proofErr w:type="gramEnd"/>
      <w:r w:rsidRPr="2B5B1B13">
        <w:rPr>
          <w:rFonts w:ascii="Calibri" w:eastAsia="Calibri" w:hAnsi="Calibri" w:cs="Calibri"/>
        </w:rPr>
        <w:t xml:space="preserve"> makes great pedagogy? Nine claims from research. National College for School Leadership.  </w:t>
      </w:r>
      <w:hyperlink r:id="rId8">
        <w:r w:rsidRPr="2B5B1B13">
          <w:rPr>
            <w:rStyle w:val="Hyperlink"/>
            <w:rFonts w:ascii="Calibri" w:eastAsia="Calibri" w:hAnsi="Calibri" w:cs="Calibri"/>
          </w:rPr>
          <w:t>https://assets.publishing.service.gov.uk/government/uploads/system/uploads/attachment_data/file/329746/what-makes-great-pedagogy-nine-claims-from-research.pdf</w:t>
        </w:r>
      </w:hyperlink>
    </w:p>
    <w:p w14:paraId="6B7994C2" w14:textId="3AD46169" w:rsidR="2B5B1B13" w:rsidRDefault="2B5B1B13" w:rsidP="2B5B1B13">
      <w:pPr>
        <w:rPr>
          <w:b/>
          <w:bCs/>
        </w:rPr>
      </w:pPr>
      <w:r>
        <w:br/>
      </w:r>
      <w:r w:rsidRPr="2B5B1B13">
        <w:rPr>
          <w:b/>
          <w:bCs/>
        </w:rPr>
        <w:t>Assessment for Learning</w:t>
      </w:r>
    </w:p>
    <w:p w14:paraId="5CF1C4E1" w14:textId="115D7B7F" w:rsidR="2B5B1B13" w:rsidRDefault="2B5B1B13" w:rsidP="2B5B1B13">
      <w:pPr>
        <w:rPr>
          <w:i/>
          <w:iCs/>
        </w:rPr>
      </w:pPr>
      <w:r>
        <w:t xml:space="preserve">Black, P et al (2007). Assessment for Learning - – </w:t>
      </w:r>
      <w:r w:rsidRPr="2B5B1B13">
        <w:rPr>
          <w:i/>
          <w:iCs/>
        </w:rPr>
        <w:t>Unlimited online copied available via UWTSD library</w:t>
      </w:r>
    </w:p>
    <w:p w14:paraId="6C521B3F" w14:textId="5DB3B525" w:rsidR="2B5B1B13" w:rsidRDefault="2B5B1B13" w:rsidP="2B5B1B13">
      <w:pPr>
        <w:rPr>
          <w:i/>
          <w:iCs/>
        </w:rPr>
      </w:pPr>
      <w:proofErr w:type="spellStart"/>
      <w:r>
        <w:t>Wiliam</w:t>
      </w:r>
      <w:proofErr w:type="spellEnd"/>
      <w:r>
        <w:t xml:space="preserve">, D (2018) Embedded Formative Assessment – </w:t>
      </w:r>
      <w:r w:rsidRPr="2B5B1B13">
        <w:rPr>
          <w:i/>
          <w:iCs/>
        </w:rPr>
        <w:t>Unlimited online copied available via UWTSD library</w:t>
      </w:r>
    </w:p>
    <w:p w14:paraId="51A55AF4" w14:textId="689E5C1B" w:rsidR="2B5B1B13" w:rsidRDefault="2B5B1B13" w:rsidP="2B5B1B13">
      <w:r>
        <w:t xml:space="preserve">Welsh Government (2010) - Why develop thinking and assessment for learning in the classroom? - </w:t>
      </w:r>
      <w:hyperlink r:id="rId9">
        <w:r w:rsidRPr="2B5B1B13">
          <w:rPr>
            <w:rStyle w:val="Hyperlink"/>
            <w:rFonts w:ascii="Calibri" w:eastAsia="Calibri" w:hAnsi="Calibri" w:cs="Calibri"/>
          </w:rPr>
          <w:t>https://s3-eu-west-1.amazonaws.com/hwb-live-storage/05/ae/7b/09/4ca143999dea481cd5d23846/why-develop-thinking-and-assessment-for-learning-in-the-classroom.pdf</w:t>
        </w:r>
      </w:hyperlink>
    </w:p>
    <w:p w14:paraId="76F63907" w14:textId="5254963E" w:rsidR="2B5B1B13" w:rsidRDefault="2B5B1B13" w:rsidP="2B5B1B13">
      <w:pPr>
        <w:rPr>
          <w:rFonts w:ascii="Calibri" w:eastAsia="Calibri" w:hAnsi="Calibri" w:cs="Calibri"/>
        </w:rPr>
      </w:pPr>
    </w:p>
    <w:p w14:paraId="238FA3CF" w14:textId="3DE69713" w:rsidR="2B5B1B13" w:rsidRDefault="2B5B1B13" w:rsidP="2B5B1B13">
      <w:pPr>
        <w:rPr>
          <w:rFonts w:ascii="Calibri" w:eastAsia="Calibri" w:hAnsi="Calibri" w:cs="Calibri"/>
          <w:b/>
          <w:bCs/>
        </w:rPr>
      </w:pPr>
      <w:r w:rsidRPr="2B5B1B13">
        <w:rPr>
          <w:rFonts w:ascii="Calibri" w:eastAsia="Calibri" w:hAnsi="Calibri" w:cs="Calibri"/>
          <w:b/>
          <w:bCs/>
        </w:rPr>
        <w:t>Cross Curricular Responsibilities</w:t>
      </w:r>
    </w:p>
    <w:p w14:paraId="63A0A632" w14:textId="26619446" w:rsidR="2B5B1B13" w:rsidRDefault="2B5B1B13" w:rsidP="2B5B1B13">
      <w:pPr>
        <w:rPr>
          <w:rFonts w:ascii="Calibri" w:eastAsia="Calibri" w:hAnsi="Calibri" w:cs="Calibri"/>
        </w:rPr>
      </w:pPr>
      <w:r w:rsidRPr="2B5B1B13">
        <w:rPr>
          <w:rFonts w:ascii="Calibri" w:eastAsia="Calibri" w:hAnsi="Calibri" w:cs="Calibri"/>
        </w:rPr>
        <w:t xml:space="preserve">Both the </w:t>
      </w:r>
      <w:proofErr w:type="spellStart"/>
      <w:r w:rsidRPr="2B5B1B13">
        <w:rPr>
          <w:rFonts w:ascii="Calibri" w:eastAsia="Calibri" w:hAnsi="Calibri" w:cs="Calibri"/>
        </w:rPr>
        <w:t>Estyn</w:t>
      </w:r>
      <w:proofErr w:type="spellEnd"/>
      <w:r w:rsidRPr="2B5B1B13">
        <w:rPr>
          <w:rFonts w:ascii="Calibri" w:eastAsia="Calibri" w:hAnsi="Calibri" w:cs="Calibri"/>
        </w:rPr>
        <w:t xml:space="preserve"> and EEF sites (above) have relevant reports and summaries</w:t>
      </w:r>
    </w:p>
    <w:p w14:paraId="314046F2" w14:textId="19A9C763" w:rsidR="2B5B1B13" w:rsidRDefault="2B5B1B13" w:rsidP="2B5B1B13">
      <w:pPr>
        <w:rPr>
          <w:rFonts w:ascii="Calibri" w:eastAsia="Calibri" w:hAnsi="Calibri" w:cs="Calibri"/>
        </w:rPr>
      </w:pPr>
      <w:r>
        <w:br/>
      </w:r>
      <w:r w:rsidRPr="2B5B1B13">
        <w:rPr>
          <w:rFonts w:ascii="Calibri" w:eastAsia="Calibri" w:hAnsi="Calibri" w:cs="Calibri"/>
          <w:b/>
          <w:bCs/>
        </w:rPr>
        <w:t>Blend of approaches</w:t>
      </w:r>
    </w:p>
    <w:p w14:paraId="3945E31B" w14:textId="264675BF" w:rsidR="2B5B1B13" w:rsidRDefault="2B5B1B13" w:rsidP="2B5B1B13">
      <w:pPr>
        <w:rPr>
          <w:rFonts w:ascii="Calibri" w:eastAsia="Calibri" w:hAnsi="Calibri" w:cs="Calibri"/>
        </w:rPr>
      </w:pPr>
      <w:r w:rsidRPr="2B5B1B13">
        <w:rPr>
          <w:rFonts w:ascii="Calibri" w:eastAsia="Calibri" w:hAnsi="Calibri" w:cs="Calibri"/>
        </w:rPr>
        <w:lastRenderedPageBreak/>
        <w:t xml:space="preserve">OECD (2019) Fostering Students' Creativity and Critical Thinking: </w:t>
      </w:r>
      <w:r>
        <w:t xml:space="preserve">What it </w:t>
      </w:r>
      <w:proofErr w:type="gramStart"/>
      <w:r>
        <w:t>Means</w:t>
      </w:r>
      <w:proofErr w:type="gramEnd"/>
      <w:r>
        <w:t xml:space="preserve"> in School - </w:t>
      </w:r>
      <w:hyperlink r:id="rId10">
        <w:r w:rsidRPr="2B5B1B13">
          <w:rPr>
            <w:rStyle w:val="Hyperlink"/>
            <w:rFonts w:ascii="Calibri" w:eastAsia="Calibri" w:hAnsi="Calibri" w:cs="Calibri"/>
          </w:rPr>
          <w:t>https://www.oecd-ilibrary.org/education/fostering-students-creativity-and-critical-thinking_62212c37-en</w:t>
        </w:r>
      </w:hyperlink>
    </w:p>
    <w:p w14:paraId="165C7C4C" w14:textId="72903E62" w:rsidR="2B5B1B13" w:rsidRDefault="2B5B1B13" w:rsidP="2B5B1B13">
      <w:pPr>
        <w:rPr>
          <w:rFonts w:ascii="Calibri" w:eastAsia="Calibri" w:hAnsi="Calibri" w:cs="Calibri"/>
        </w:rPr>
      </w:pPr>
      <w:proofErr w:type="spellStart"/>
      <w:r w:rsidRPr="2B5B1B13">
        <w:rPr>
          <w:rFonts w:ascii="Calibri" w:eastAsia="Calibri" w:hAnsi="Calibri" w:cs="Calibri"/>
        </w:rPr>
        <w:t>Rosenshine</w:t>
      </w:r>
      <w:proofErr w:type="spellEnd"/>
      <w:r w:rsidRPr="2B5B1B13">
        <w:rPr>
          <w:rFonts w:ascii="Calibri" w:eastAsia="Calibri" w:hAnsi="Calibri" w:cs="Calibri"/>
        </w:rPr>
        <w:t xml:space="preserve">, B (2008). Five meanings of direct instruction. Centre on Innovation and Improvement. </w:t>
      </w:r>
      <w:hyperlink r:id="rId11">
        <w:r w:rsidRPr="2B5B1B13">
          <w:rPr>
            <w:rStyle w:val="Hyperlink"/>
            <w:rFonts w:ascii="Calibri" w:eastAsia="Calibri" w:hAnsi="Calibri" w:cs="Calibri"/>
          </w:rPr>
          <w:t>http://www.centerii.org/search/Resources/FiveDirectInstruct.pdf</w:t>
        </w:r>
      </w:hyperlink>
    </w:p>
    <w:p w14:paraId="075015EA" w14:textId="17C104AF" w:rsidR="2B5B1B13" w:rsidRDefault="2B5B1B13" w:rsidP="2B5B1B13">
      <w:pPr>
        <w:rPr>
          <w:rFonts w:ascii="Calibri" w:eastAsia="Calibri" w:hAnsi="Calibri" w:cs="Calibri"/>
        </w:rPr>
      </w:pPr>
    </w:p>
    <w:p w14:paraId="07E54E23" w14:textId="4E8926BB" w:rsidR="2B5B1B13" w:rsidRDefault="2B5B1B13" w:rsidP="2B5B1B13">
      <w:pPr>
        <w:rPr>
          <w:rFonts w:ascii="Calibri" w:eastAsia="Calibri" w:hAnsi="Calibri" w:cs="Calibri"/>
          <w:b/>
          <w:bCs/>
        </w:rPr>
      </w:pPr>
      <w:r w:rsidRPr="2B5B1B13">
        <w:rPr>
          <w:rFonts w:ascii="Calibri" w:eastAsia="Calibri" w:hAnsi="Calibri" w:cs="Calibri"/>
          <w:b/>
          <w:bCs/>
        </w:rPr>
        <w:t>Build on previous learning</w:t>
      </w:r>
    </w:p>
    <w:p w14:paraId="68493566" w14:textId="74483B20" w:rsidR="2B5B1B13" w:rsidRDefault="2B5B1B13" w:rsidP="2B5B1B13">
      <w:pPr>
        <w:rPr>
          <w:rFonts w:ascii="Calibri" w:eastAsia="Calibri" w:hAnsi="Calibri" w:cs="Calibri"/>
        </w:rPr>
      </w:pPr>
      <w:proofErr w:type="spellStart"/>
      <w:r w:rsidRPr="2B5B1B13">
        <w:rPr>
          <w:rFonts w:ascii="Calibri" w:eastAsia="Calibri" w:hAnsi="Calibri" w:cs="Calibri"/>
        </w:rPr>
        <w:t>Rosenshine</w:t>
      </w:r>
      <w:proofErr w:type="spellEnd"/>
      <w:r w:rsidRPr="2B5B1B13">
        <w:rPr>
          <w:rFonts w:ascii="Calibri" w:eastAsia="Calibri" w:hAnsi="Calibri" w:cs="Calibri"/>
        </w:rPr>
        <w:t xml:space="preserve">, B (2012). Principles of Instruction: Research-based strategies that all teachers should know. American Educator. </w:t>
      </w:r>
      <w:hyperlink r:id="rId12">
        <w:r w:rsidRPr="2B5B1B13">
          <w:rPr>
            <w:rStyle w:val="Hyperlink"/>
            <w:rFonts w:ascii="Calibri" w:eastAsia="Calibri" w:hAnsi="Calibri" w:cs="Calibri"/>
          </w:rPr>
          <w:t>https://www.aft.org/sites/default/files/periodicals/Rosenshine.pdf</w:t>
        </w:r>
      </w:hyperlink>
    </w:p>
    <w:p w14:paraId="0E63870A" w14:textId="441EBA96" w:rsidR="2B5B1B13" w:rsidRDefault="2B5B1B13" w:rsidP="2B5B1B13">
      <w:pPr>
        <w:rPr>
          <w:rFonts w:ascii="Calibri" w:eastAsia="Calibri" w:hAnsi="Calibri" w:cs="Calibri"/>
        </w:rPr>
      </w:pPr>
      <w:r w:rsidRPr="2B5B1B13">
        <w:rPr>
          <w:rFonts w:ascii="Calibri" w:eastAsia="Calibri" w:hAnsi="Calibri" w:cs="Calibri"/>
        </w:rPr>
        <w:t xml:space="preserve">(You may also be interested in Tom Sherrington’s work developing this paper – see </w:t>
      </w:r>
      <w:hyperlink r:id="rId13">
        <w:r w:rsidRPr="2B5B1B13">
          <w:rPr>
            <w:rStyle w:val="Hyperlink"/>
            <w:rFonts w:ascii="Calibri" w:eastAsia="Calibri" w:hAnsi="Calibri" w:cs="Calibri"/>
          </w:rPr>
          <w:t>https://teacherhead.com/2018/06/10/exploring-barak-rosenshines-seminal-principles-of-instruction-why-it-is-the-must-read-for-all-teachers/</w:t>
        </w:r>
      </w:hyperlink>
    </w:p>
    <w:p w14:paraId="62D0C0CA" w14:textId="266CC009" w:rsidR="2B5B1B13" w:rsidRDefault="2B5B1B13" w:rsidP="2B5B1B13">
      <w:pPr>
        <w:rPr>
          <w:rFonts w:ascii="Calibri" w:eastAsia="Calibri" w:hAnsi="Calibri" w:cs="Calibri"/>
          <w:b/>
          <w:bCs/>
        </w:rPr>
      </w:pPr>
      <w:r>
        <w:br/>
      </w:r>
      <w:r w:rsidRPr="2B5B1B13">
        <w:rPr>
          <w:rFonts w:ascii="Calibri" w:eastAsia="Calibri" w:hAnsi="Calibri" w:cs="Calibri"/>
          <w:b/>
          <w:bCs/>
        </w:rPr>
        <w:t xml:space="preserve">Within and across </w:t>
      </w:r>
      <w:proofErr w:type="spellStart"/>
      <w:r w:rsidRPr="2B5B1B13">
        <w:rPr>
          <w:rFonts w:ascii="Calibri" w:eastAsia="Calibri" w:hAnsi="Calibri" w:cs="Calibri"/>
          <w:b/>
          <w:bCs/>
        </w:rPr>
        <w:t>AoLEs</w:t>
      </w:r>
      <w:proofErr w:type="spellEnd"/>
    </w:p>
    <w:p w14:paraId="5D07FD70" w14:textId="37A9024C" w:rsidR="2B5B1B13" w:rsidRDefault="2B5B1B13" w:rsidP="2B5B1B13">
      <w:pPr>
        <w:rPr>
          <w:rFonts w:ascii="Calibri" w:eastAsia="Calibri" w:hAnsi="Calibri" w:cs="Calibri"/>
        </w:rPr>
      </w:pPr>
      <w:r w:rsidRPr="2B5B1B13">
        <w:rPr>
          <w:rFonts w:ascii="Calibri" w:eastAsia="Calibri" w:hAnsi="Calibri" w:cs="Calibri"/>
        </w:rPr>
        <w:t xml:space="preserve">Denis Hayes (2010) </w:t>
      </w:r>
      <w:proofErr w:type="gramStart"/>
      <w:r w:rsidRPr="2B5B1B13">
        <w:rPr>
          <w:rFonts w:ascii="Calibri" w:eastAsia="Calibri" w:hAnsi="Calibri" w:cs="Calibri"/>
        </w:rPr>
        <w:t>The</w:t>
      </w:r>
      <w:proofErr w:type="gramEnd"/>
      <w:r w:rsidRPr="2B5B1B13">
        <w:rPr>
          <w:rFonts w:ascii="Calibri" w:eastAsia="Calibri" w:hAnsi="Calibri" w:cs="Calibri"/>
        </w:rPr>
        <w:t xml:space="preserve"> seductive charms of a cross-curricular approach, Education 3-13, 38:4, 381-387, DOI: 10.1080/03004270903519238</w:t>
      </w:r>
    </w:p>
    <w:p w14:paraId="69CA01F0" w14:textId="2FBBC85F" w:rsidR="00F8188A" w:rsidRDefault="00F8188A" w:rsidP="2B5B1B13">
      <w:pPr>
        <w:rPr>
          <w:rFonts w:ascii="Calibri" w:eastAsia="Calibri" w:hAnsi="Calibri" w:cs="Calibri"/>
          <w:b/>
        </w:rPr>
      </w:pPr>
      <w:r w:rsidRPr="00F8188A">
        <w:rPr>
          <w:rFonts w:ascii="Calibri" w:eastAsia="Calibri" w:hAnsi="Calibri" w:cs="Calibri"/>
          <w:b/>
        </w:rPr>
        <w:t>Authentic learning</w:t>
      </w:r>
    </w:p>
    <w:p w14:paraId="5202BA14" w14:textId="27A8E937" w:rsidR="00F8188A" w:rsidRPr="00F8188A" w:rsidRDefault="00F8188A" w:rsidP="2B5B1B13">
      <w:r w:rsidRPr="00F8188A">
        <w:rPr>
          <w:rFonts w:ascii="Calibri" w:eastAsia="Calibri" w:hAnsi="Calibri" w:cs="Calibri"/>
        </w:rPr>
        <w:t xml:space="preserve">Pearce, S (2016) </w:t>
      </w:r>
      <w:r w:rsidR="00E60685" w:rsidRPr="00E60685">
        <w:rPr>
          <w:rFonts w:ascii="Calibri" w:eastAsia="Calibri" w:hAnsi="Calibri" w:cs="Calibri"/>
          <w:i/>
        </w:rPr>
        <w:t>Authen</w:t>
      </w:r>
      <w:r w:rsidR="00E60685">
        <w:rPr>
          <w:rFonts w:ascii="Calibri" w:eastAsia="Calibri" w:hAnsi="Calibri" w:cs="Calibri"/>
          <w:i/>
        </w:rPr>
        <w:t>tic learning: what, why and how</w:t>
      </w:r>
      <w:r w:rsidR="00E60685" w:rsidRPr="00E60685">
        <w:rPr>
          <w:rFonts w:ascii="Calibri" w:eastAsia="Calibri" w:hAnsi="Calibri" w:cs="Calibri"/>
          <w:i/>
        </w:rPr>
        <w:t>?</w:t>
      </w:r>
      <w:r w:rsidR="00E60685">
        <w:rPr>
          <w:rFonts w:ascii="Calibri" w:eastAsia="Calibri" w:hAnsi="Calibri" w:cs="Calibri"/>
          <w:i/>
        </w:rPr>
        <w:t xml:space="preserve"> </w:t>
      </w:r>
      <w:r w:rsidR="00E60685" w:rsidRPr="00E60685">
        <w:rPr>
          <w:rFonts w:ascii="Calibri" w:eastAsia="Calibri" w:hAnsi="Calibri" w:cs="Calibri"/>
        </w:rPr>
        <w:t>E-teaching April 2010</w:t>
      </w:r>
      <w:r w:rsidR="00E60685">
        <w:rPr>
          <w:rFonts w:ascii="Calibri" w:eastAsia="Calibri" w:hAnsi="Calibri" w:cs="Calibri"/>
          <w:i/>
        </w:rPr>
        <w:t xml:space="preserve">, available at </w:t>
      </w:r>
      <w:hyperlink r:id="rId14" w:history="1">
        <w:r w:rsidR="00E60685">
          <w:rPr>
            <w:rStyle w:val="Hyperlink"/>
          </w:rPr>
          <w:t>http://www.acel.org.au/acel/ACEL_docs/Publications/e-Teaching/2016/e-Teaching_2016_10.pdf</w:t>
        </w:r>
      </w:hyperlink>
    </w:p>
    <w:p w14:paraId="6B3DB0ED" w14:textId="58E3AE14" w:rsidR="2B5B1B13" w:rsidRDefault="00A36B37" w:rsidP="2B5B1B13">
      <w:r>
        <w:rPr>
          <w:rFonts w:ascii="Calibri" w:eastAsia="Calibri" w:hAnsi="Calibri" w:cs="Calibri"/>
        </w:rPr>
        <w:t xml:space="preserve">There is an Australian journal of authentic learning with some articles available here: </w:t>
      </w:r>
      <w:hyperlink r:id="rId15" w:history="1">
        <w:r w:rsidRPr="00A36B37">
          <w:rPr>
            <w:color w:val="0000FF"/>
            <w:u w:val="single"/>
          </w:rPr>
          <w:t>https://dspace.sunyconnect.suny.edu/handle/1951/384</w:t>
        </w:r>
      </w:hyperlink>
    </w:p>
    <w:p w14:paraId="319A134D" w14:textId="51ED02EB" w:rsidR="00A36B37" w:rsidRDefault="00A36B37" w:rsidP="2B5B1B13">
      <w:pPr>
        <w:rPr>
          <w:rFonts w:ascii="Calibri" w:eastAsia="Calibri" w:hAnsi="Calibri" w:cs="Calibri"/>
        </w:rPr>
      </w:pPr>
      <w:proofErr w:type="spellStart"/>
      <w:r>
        <w:t>Estyn</w:t>
      </w:r>
      <w:proofErr w:type="spellEnd"/>
      <w:r>
        <w:t xml:space="preserve"> best practice case studies and the effective evidence summaries already mentioned above may also be useful</w:t>
      </w:r>
      <w:bookmarkStart w:id="0" w:name="_GoBack"/>
      <w:bookmarkEnd w:id="0"/>
    </w:p>
    <w:p w14:paraId="1114956A" w14:textId="3B5CF323" w:rsidR="2B5B1B13" w:rsidRDefault="2B5B1B13" w:rsidP="2B5B1B13">
      <w:pPr>
        <w:rPr>
          <w:rFonts w:ascii="Calibri" w:eastAsia="Calibri" w:hAnsi="Calibri" w:cs="Calibri"/>
        </w:rPr>
      </w:pPr>
    </w:p>
    <w:sectPr w:rsidR="2B5B1B1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F5FC13"/>
    <w:rsid w:val="00940863"/>
    <w:rsid w:val="00A36B37"/>
    <w:rsid w:val="00E60685"/>
    <w:rsid w:val="00F8188A"/>
    <w:rsid w:val="2B5B1B13"/>
    <w:rsid w:val="72F5F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FC13"/>
  <w15:chartTrackingRefBased/>
  <w15:docId w15:val="{8B0A035C-6FA5-4C29-A748-17ED82E4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329746/what-makes-great-pedagogy-nine-claims-from-research.pdf" TargetMode="External"/><Relationship Id="rId13" Type="http://schemas.openxmlformats.org/officeDocument/2006/relationships/hyperlink" Target="https://teacherhead.com/2018/06/10/exploring-barak-rosenshines-seminal-principles-of-instruction-why-it-is-the-must-read-for-all-teache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eansforimpact.org/wp-content/uploads/2016/12/The_Science_of_Learning.pdf" TargetMode="External"/><Relationship Id="rId12" Type="http://schemas.openxmlformats.org/officeDocument/2006/relationships/hyperlink" Target="https://www.aft.org/sites/default/files/periodicals/Rosenshine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uttontrust.com/wp-content/uploads/2014/10/What-Makes-Great-Teaching-REPORT.pdf" TargetMode="External"/><Relationship Id="rId11" Type="http://schemas.openxmlformats.org/officeDocument/2006/relationships/hyperlink" Target="http://www.centerii.org/search/Resources/FiveDirectInstruct.pdf" TargetMode="External"/><Relationship Id="rId5" Type="http://schemas.openxmlformats.org/officeDocument/2006/relationships/hyperlink" Target="https://www.estyn.gov.wales/effective-practice" TargetMode="External"/><Relationship Id="rId15" Type="http://schemas.openxmlformats.org/officeDocument/2006/relationships/hyperlink" Target="https://dspace.sunyconnect.suny.edu/handle/1951/384" TargetMode="External"/><Relationship Id="rId10" Type="http://schemas.openxmlformats.org/officeDocument/2006/relationships/hyperlink" Target="https://www.oecd-ilibrary.org/education/fostering-students-creativity-and-critical-thinking_62212c37-en" TargetMode="External"/><Relationship Id="rId4" Type="http://schemas.openxmlformats.org/officeDocument/2006/relationships/hyperlink" Target="https://educationendowmentfoundation.org.uk/" TargetMode="External"/><Relationship Id="rId9" Type="http://schemas.openxmlformats.org/officeDocument/2006/relationships/hyperlink" Target="https://s3-eu-west-1.amazonaws.com/hwb-live-storage/05/ae/7b/09/4ca143999dea481cd5d23846/why-develop-thinking-and-assessment-for-learning-in-the-classroom.pdf" TargetMode="External"/><Relationship Id="rId14" Type="http://schemas.openxmlformats.org/officeDocument/2006/relationships/hyperlink" Target="http://www.acel.org.au/acel/ACEL_docs/Publications/e-Teaching/2016/e-Teaching_2016_1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Rachel Wallis</cp:lastModifiedBy>
  <cp:revision>4</cp:revision>
  <dcterms:created xsi:type="dcterms:W3CDTF">2019-12-08T23:00:00Z</dcterms:created>
  <dcterms:modified xsi:type="dcterms:W3CDTF">2019-12-10T04:24:00Z</dcterms:modified>
</cp:coreProperties>
</file>