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B3090" w14:textId="77777777" w:rsidR="00095392" w:rsidRPr="00095392" w:rsidRDefault="00095392" w:rsidP="00095392">
      <w:pPr>
        <w:rPr>
          <w:b/>
          <w:bCs/>
          <w:lang w:val="en-US"/>
        </w:rPr>
      </w:pPr>
      <w:r w:rsidRPr="00095392">
        <w:rPr>
          <w:b/>
          <w:bCs/>
          <w:lang w:val="en-US"/>
        </w:rPr>
        <w:t>1. Gross Margin (%)</w:t>
      </w:r>
    </w:p>
    <w:p w14:paraId="66A2CBCB" w14:textId="77777777" w:rsidR="00095392" w:rsidRPr="00095392" w:rsidRDefault="00095392" w:rsidP="00095392">
      <w:pPr>
        <w:rPr>
          <w:b/>
          <w:bCs/>
          <w:lang w:val="en-US"/>
        </w:rPr>
      </w:pPr>
      <w:r w:rsidRPr="00095392">
        <w:rPr>
          <w:b/>
          <w:bCs/>
          <w:lang w:val="en-US"/>
        </w:rPr>
        <w:t>What does it measure?</w:t>
      </w:r>
    </w:p>
    <w:p w14:paraId="0E710F87" w14:textId="77777777" w:rsidR="00095392" w:rsidRPr="00095392" w:rsidRDefault="00095392" w:rsidP="00095392">
      <w:pPr>
        <w:rPr>
          <w:lang w:val="en-US"/>
        </w:rPr>
      </w:pPr>
      <w:r w:rsidRPr="00095392">
        <w:rPr>
          <w:lang w:val="en-US"/>
        </w:rPr>
        <w:t xml:space="preserve">Gross Margin shows </w:t>
      </w:r>
      <w:r w:rsidRPr="00095392">
        <w:rPr>
          <w:b/>
          <w:bCs/>
          <w:lang w:val="en-US"/>
        </w:rPr>
        <w:t>how much profit remains after paying the direct costs of providing services</w:t>
      </w:r>
      <w:r w:rsidRPr="00095392">
        <w:rPr>
          <w:lang w:val="en-US"/>
        </w:rPr>
        <w:t>. A higher percentage means the company controls its direct costs well.</w:t>
      </w:r>
    </w:p>
    <w:p w14:paraId="226D6D49" w14:textId="77777777" w:rsidR="00095392" w:rsidRPr="00095392" w:rsidRDefault="00095392" w:rsidP="000607A2">
      <w:pPr>
        <w:rPr>
          <w:b/>
          <w:bCs/>
          <w:lang w:val="en-US"/>
        </w:rPr>
      </w:pPr>
      <w:r w:rsidRPr="00095392">
        <w:rPr>
          <w:b/>
          <w:bCs/>
          <w:lang w:val="en-US"/>
        </w:rPr>
        <w:t>Marriott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35"/>
        <w:gridCol w:w="820"/>
        <w:gridCol w:w="820"/>
        <w:gridCol w:w="820"/>
        <w:gridCol w:w="835"/>
      </w:tblGrid>
      <w:tr w:rsidR="00095392" w:rsidRPr="00095392" w14:paraId="0990767D" w14:textId="77777777" w:rsidTr="00095392">
        <w:trPr>
          <w:tblHeader/>
          <w:tblCellSpacing w:w="15" w:type="dxa"/>
        </w:trPr>
        <w:tc>
          <w:tcPr>
            <w:tcW w:w="0" w:type="auto"/>
            <w:vAlign w:val="center"/>
            <w:hideMark/>
          </w:tcPr>
          <w:p w14:paraId="5B0648AF" w14:textId="77777777" w:rsidR="00095392" w:rsidRPr="00095392" w:rsidRDefault="00095392" w:rsidP="00095392">
            <w:pPr>
              <w:rPr>
                <w:b/>
                <w:bCs/>
                <w:lang w:val="en-US"/>
              </w:rPr>
            </w:pPr>
            <w:r w:rsidRPr="00095392">
              <w:rPr>
                <w:b/>
                <w:bCs/>
                <w:lang w:val="en-US"/>
              </w:rPr>
              <w:t>2021</w:t>
            </w:r>
          </w:p>
        </w:tc>
        <w:tc>
          <w:tcPr>
            <w:tcW w:w="0" w:type="auto"/>
            <w:vAlign w:val="center"/>
            <w:hideMark/>
          </w:tcPr>
          <w:p w14:paraId="1B1F4023" w14:textId="77777777" w:rsidR="00095392" w:rsidRPr="00095392" w:rsidRDefault="00095392" w:rsidP="00095392">
            <w:pPr>
              <w:rPr>
                <w:b/>
                <w:bCs/>
                <w:lang w:val="en-US"/>
              </w:rPr>
            </w:pPr>
            <w:r w:rsidRPr="00095392">
              <w:rPr>
                <w:b/>
                <w:bCs/>
                <w:lang w:val="en-US"/>
              </w:rPr>
              <w:t>2022</w:t>
            </w:r>
          </w:p>
        </w:tc>
        <w:tc>
          <w:tcPr>
            <w:tcW w:w="0" w:type="auto"/>
            <w:vAlign w:val="center"/>
            <w:hideMark/>
          </w:tcPr>
          <w:p w14:paraId="18EC3B09" w14:textId="77777777" w:rsidR="00095392" w:rsidRPr="00095392" w:rsidRDefault="00095392" w:rsidP="00095392">
            <w:pPr>
              <w:rPr>
                <w:b/>
                <w:bCs/>
                <w:lang w:val="en-US"/>
              </w:rPr>
            </w:pPr>
            <w:r w:rsidRPr="00095392">
              <w:rPr>
                <w:b/>
                <w:bCs/>
                <w:lang w:val="en-US"/>
              </w:rPr>
              <w:t>2023</w:t>
            </w:r>
          </w:p>
        </w:tc>
        <w:tc>
          <w:tcPr>
            <w:tcW w:w="0" w:type="auto"/>
            <w:vAlign w:val="center"/>
            <w:hideMark/>
          </w:tcPr>
          <w:p w14:paraId="39A18436" w14:textId="77777777" w:rsidR="00095392" w:rsidRPr="00095392" w:rsidRDefault="00095392" w:rsidP="00095392">
            <w:pPr>
              <w:rPr>
                <w:b/>
                <w:bCs/>
                <w:lang w:val="en-US"/>
              </w:rPr>
            </w:pPr>
            <w:r w:rsidRPr="00095392">
              <w:rPr>
                <w:b/>
                <w:bCs/>
                <w:lang w:val="en-US"/>
              </w:rPr>
              <w:t>2024</w:t>
            </w:r>
          </w:p>
        </w:tc>
        <w:tc>
          <w:tcPr>
            <w:tcW w:w="0" w:type="auto"/>
            <w:vAlign w:val="center"/>
            <w:hideMark/>
          </w:tcPr>
          <w:p w14:paraId="0459F173" w14:textId="77777777" w:rsidR="00095392" w:rsidRPr="00095392" w:rsidRDefault="00095392" w:rsidP="00095392">
            <w:pPr>
              <w:rPr>
                <w:b/>
                <w:bCs/>
                <w:lang w:val="en-US"/>
              </w:rPr>
            </w:pPr>
            <w:r w:rsidRPr="00095392">
              <w:rPr>
                <w:b/>
                <w:bCs/>
                <w:lang w:val="en-US"/>
              </w:rPr>
              <w:t>2025</w:t>
            </w:r>
          </w:p>
        </w:tc>
      </w:tr>
      <w:tr w:rsidR="00095392" w:rsidRPr="00095392" w14:paraId="546B2EB3" w14:textId="77777777" w:rsidTr="00095392">
        <w:trPr>
          <w:tblCellSpacing w:w="15" w:type="dxa"/>
        </w:trPr>
        <w:tc>
          <w:tcPr>
            <w:tcW w:w="0" w:type="auto"/>
            <w:vAlign w:val="center"/>
            <w:hideMark/>
          </w:tcPr>
          <w:p w14:paraId="061E453F" w14:textId="77777777" w:rsidR="00095392" w:rsidRPr="00095392" w:rsidRDefault="00095392" w:rsidP="00095392">
            <w:pPr>
              <w:rPr>
                <w:lang w:val="en-US"/>
              </w:rPr>
            </w:pPr>
            <w:r w:rsidRPr="00095392">
              <w:rPr>
                <w:lang w:val="en-US"/>
              </w:rPr>
              <w:t>20.21%</w:t>
            </w:r>
          </w:p>
        </w:tc>
        <w:tc>
          <w:tcPr>
            <w:tcW w:w="0" w:type="auto"/>
            <w:vAlign w:val="center"/>
            <w:hideMark/>
          </w:tcPr>
          <w:p w14:paraId="52533F54" w14:textId="77777777" w:rsidR="00095392" w:rsidRPr="00095392" w:rsidRDefault="00095392" w:rsidP="00095392">
            <w:pPr>
              <w:rPr>
                <w:lang w:val="en-US"/>
              </w:rPr>
            </w:pPr>
            <w:r w:rsidRPr="00095392">
              <w:rPr>
                <w:lang w:val="en-US"/>
              </w:rPr>
              <w:t>21.94%</w:t>
            </w:r>
          </w:p>
        </w:tc>
        <w:tc>
          <w:tcPr>
            <w:tcW w:w="0" w:type="auto"/>
            <w:vAlign w:val="center"/>
            <w:hideMark/>
          </w:tcPr>
          <w:p w14:paraId="5EB15141" w14:textId="77777777" w:rsidR="00095392" w:rsidRPr="00095392" w:rsidRDefault="00095392" w:rsidP="00095392">
            <w:pPr>
              <w:rPr>
                <w:lang w:val="en-US"/>
              </w:rPr>
            </w:pPr>
            <w:r w:rsidRPr="00095392">
              <w:rPr>
                <w:lang w:val="en-US"/>
              </w:rPr>
              <w:t>21.00%</w:t>
            </w:r>
          </w:p>
        </w:tc>
        <w:tc>
          <w:tcPr>
            <w:tcW w:w="0" w:type="auto"/>
            <w:vAlign w:val="center"/>
            <w:hideMark/>
          </w:tcPr>
          <w:p w14:paraId="53871F5A" w14:textId="77777777" w:rsidR="00095392" w:rsidRPr="00095392" w:rsidRDefault="00095392" w:rsidP="00095392">
            <w:pPr>
              <w:rPr>
                <w:lang w:val="en-US"/>
              </w:rPr>
            </w:pPr>
            <w:r w:rsidRPr="00095392">
              <w:rPr>
                <w:lang w:val="en-US"/>
              </w:rPr>
              <w:t>19.81%</w:t>
            </w:r>
          </w:p>
        </w:tc>
        <w:tc>
          <w:tcPr>
            <w:tcW w:w="0" w:type="auto"/>
            <w:vAlign w:val="center"/>
            <w:hideMark/>
          </w:tcPr>
          <w:p w14:paraId="01CA9963" w14:textId="77777777" w:rsidR="00095392" w:rsidRPr="00095392" w:rsidRDefault="00095392" w:rsidP="00095392">
            <w:pPr>
              <w:rPr>
                <w:lang w:val="en-US"/>
              </w:rPr>
            </w:pPr>
            <w:r w:rsidRPr="00095392">
              <w:rPr>
                <w:lang w:val="en-US"/>
              </w:rPr>
              <w:t>19.94%</w:t>
            </w:r>
          </w:p>
        </w:tc>
      </w:tr>
    </w:tbl>
    <w:p w14:paraId="2EEB6AAA" w14:textId="77777777" w:rsidR="00095392" w:rsidRPr="00095392" w:rsidRDefault="00095392" w:rsidP="00095392">
      <w:pPr>
        <w:rPr>
          <w:b/>
          <w:bCs/>
          <w:lang w:val="en-US"/>
        </w:rPr>
      </w:pPr>
      <w:r w:rsidRPr="00095392">
        <w:rPr>
          <w:b/>
          <w:bCs/>
          <w:lang w:val="en-US"/>
        </w:rPr>
        <w:t>Interpretation</w:t>
      </w:r>
    </w:p>
    <w:p w14:paraId="1867B9E0" w14:textId="77777777" w:rsidR="00095392" w:rsidRPr="00095392" w:rsidRDefault="00095392" w:rsidP="00095392">
      <w:pPr>
        <w:numPr>
          <w:ilvl w:val="0"/>
          <w:numId w:val="3"/>
        </w:numPr>
        <w:rPr>
          <w:lang w:val="en-US"/>
        </w:rPr>
      </w:pPr>
      <w:r w:rsidRPr="00095392">
        <w:rPr>
          <w:lang w:val="en-US"/>
        </w:rPr>
        <w:t xml:space="preserve">Gross margin increased after 2021 as hotel demand recovered following COVID-19. </w:t>
      </w:r>
    </w:p>
    <w:p w14:paraId="5E52901A" w14:textId="77777777" w:rsidR="00095392" w:rsidRPr="00095392" w:rsidRDefault="00095392" w:rsidP="00095392">
      <w:pPr>
        <w:numPr>
          <w:ilvl w:val="0"/>
          <w:numId w:val="3"/>
        </w:numPr>
        <w:rPr>
          <w:lang w:val="en-US"/>
        </w:rPr>
      </w:pPr>
      <w:r w:rsidRPr="00095392">
        <w:rPr>
          <w:lang w:val="en-US"/>
        </w:rPr>
        <w:t xml:space="preserve">The highest margin was </w:t>
      </w:r>
      <w:r w:rsidRPr="00095392">
        <w:rPr>
          <w:b/>
          <w:bCs/>
          <w:lang w:val="en-US"/>
        </w:rPr>
        <w:t>21.94% in 2022</w:t>
      </w:r>
      <w:r w:rsidRPr="00095392">
        <w:rPr>
          <w:lang w:val="en-US"/>
        </w:rPr>
        <w:t xml:space="preserve">. </w:t>
      </w:r>
    </w:p>
    <w:p w14:paraId="206F2B76" w14:textId="77777777" w:rsidR="00095392" w:rsidRPr="00095392" w:rsidRDefault="00095392" w:rsidP="00095392">
      <w:pPr>
        <w:numPr>
          <w:ilvl w:val="0"/>
          <w:numId w:val="3"/>
        </w:numPr>
        <w:rPr>
          <w:lang w:val="en-US"/>
        </w:rPr>
      </w:pPr>
      <w:r w:rsidRPr="00095392">
        <w:rPr>
          <w:lang w:val="en-US"/>
        </w:rPr>
        <w:t xml:space="preserve">It declined slightly in </w:t>
      </w:r>
      <w:r w:rsidRPr="00095392">
        <w:rPr>
          <w:b/>
          <w:bCs/>
          <w:lang w:val="en-US"/>
        </w:rPr>
        <w:t>2024–2025</w:t>
      </w:r>
      <w:r w:rsidRPr="00095392">
        <w:rPr>
          <w:lang w:val="en-US"/>
        </w:rPr>
        <w:t xml:space="preserve">, suggesting operating costs increased faster than revenue. </w:t>
      </w:r>
    </w:p>
    <w:p w14:paraId="63E30490" w14:textId="77777777" w:rsidR="00095392" w:rsidRPr="00095392" w:rsidRDefault="00095392" w:rsidP="00095392">
      <w:pPr>
        <w:numPr>
          <w:ilvl w:val="0"/>
          <w:numId w:val="3"/>
        </w:numPr>
        <w:rPr>
          <w:lang w:val="en-US"/>
        </w:rPr>
      </w:pPr>
      <w:r w:rsidRPr="00095392">
        <w:rPr>
          <w:lang w:val="en-US"/>
        </w:rPr>
        <w:t xml:space="preserve">Overall, Marriott maintained a </w:t>
      </w:r>
      <w:r w:rsidRPr="00095392">
        <w:rPr>
          <w:b/>
          <w:bCs/>
          <w:lang w:val="en-US"/>
        </w:rPr>
        <w:t>stable gross margin of around 20%</w:t>
      </w:r>
      <w:r w:rsidRPr="00095392">
        <w:rPr>
          <w:lang w:val="en-US"/>
        </w:rPr>
        <w:t xml:space="preserve">, indicating good cost control. </w:t>
      </w:r>
    </w:p>
    <w:p w14:paraId="1732F915" w14:textId="77777777" w:rsidR="00095392" w:rsidRPr="00095392" w:rsidRDefault="00000000" w:rsidP="00095392">
      <w:pPr>
        <w:rPr>
          <w:lang w:val="en-US"/>
        </w:rPr>
      </w:pPr>
      <w:r>
        <w:rPr>
          <w:lang w:val="en-US"/>
        </w:rPr>
        <w:pict w14:anchorId="0DDA1FD6">
          <v:rect id="_x0000_i1025" style="width:0;height:1.5pt" o:hralign="center" o:hrstd="t" o:hr="t" fillcolor="#a0a0a0" stroked="f"/>
        </w:pict>
      </w:r>
    </w:p>
    <w:p w14:paraId="198A5C45" w14:textId="77777777" w:rsidR="00095392" w:rsidRPr="00095392" w:rsidRDefault="00095392" w:rsidP="00095392">
      <w:pPr>
        <w:rPr>
          <w:b/>
          <w:bCs/>
          <w:lang w:val="en-US"/>
        </w:rPr>
      </w:pPr>
      <w:r w:rsidRPr="00095392">
        <w:rPr>
          <w:b/>
          <w:bCs/>
          <w:lang w:val="en-US"/>
        </w:rPr>
        <w:t>2. Operating Margin (%)</w:t>
      </w:r>
    </w:p>
    <w:p w14:paraId="6C027B09" w14:textId="77777777" w:rsidR="00095392" w:rsidRPr="00095392" w:rsidRDefault="00095392" w:rsidP="00095392">
      <w:pPr>
        <w:rPr>
          <w:b/>
          <w:bCs/>
          <w:lang w:val="en-US"/>
        </w:rPr>
      </w:pPr>
      <w:r w:rsidRPr="00095392">
        <w:rPr>
          <w:b/>
          <w:bCs/>
          <w:lang w:val="en-US"/>
        </w:rPr>
        <w:t>What does it measure?</w:t>
      </w:r>
    </w:p>
    <w:p w14:paraId="3636FC69" w14:textId="77777777" w:rsidR="00095392" w:rsidRPr="00095392" w:rsidRDefault="00095392" w:rsidP="00095392">
      <w:pPr>
        <w:rPr>
          <w:lang w:val="en-US"/>
        </w:rPr>
      </w:pPr>
      <w:r w:rsidRPr="00095392">
        <w:rPr>
          <w:lang w:val="en-US"/>
        </w:rPr>
        <w:t xml:space="preserve">Operating Margin shows </w:t>
      </w:r>
      <w:r w:rsidRPr="00095392">
        <w:rPr>
          <w:b/>
          <w:bCs/>
          <w:lang w:val="en-US"/>
        </w:rPr>
        <w:t>how much profit remains after paying operating expenses</w:t>
      </w:r>
      <w:r w:rsidRPr="00095392">
        <w:rPr>
          <w:lang w:val="en-US"/>
        </w:rPr>
        <w:t xml:space="preserve"> such as administration and marketing.</w:t>
      </w:r>
    </w:p>
    <w:p w14:paraId="767E1099" w14:textId="77777777" w:rsidR="00095392" w:rsidRPr="00095392" w:rsidRDefault="00095392" w:rsidP="00095392">
      <w:pPr>
        <w:rPr>
          <w:b/>
          <w:bCs/>
          <w:lang w:val="en-US"/>
        </w:rPr>
      </w:pPr>
      <w:r w:rsidRPr="00095392">
        <w:rPr>
          <w:b/>
          <w:bCs/>
          <w:lang w:val="en-US"/>
        </w:rPr>
        <w:t>Marriott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35"/>
        <w:gridCol w:w="820"/>
        <w:gridCol w:w="820"/>
        <w:gridCol w:w="820"/>
        <w:gridCol w:w="835"/>
      </w:tblGrid>
      <w:tr w:rsidR="00095392" w:rsidRPr="00095392" w14:paraId="3420A4C3" w14:textId="77777777" w:rsidTr="00095392">
        <w:trPr>
          <w:tblHeader/>
          <w:tblCellSpacing w:w="15" w:type="dxa"/>
        </w:trPr>
        <w:tc>
          <w:tcPr>
            <w:tcW w:w="0" w:type="auto"/>
            <w:vAlign w:val="center"/>
            <w:hideMark/>
          </w:tcPr>
          <w:p w14:paraId="5D4FB039" w14:textId="77777777" w:rsidR="00095392" w:rsidRPr="00095392" w:rsidRDefault="00095392" w:rsidP="00095392">
            <w:pPr>
              <w:rPr>
                <w:b/>
                <w:bCs/>
                <w:lang w:val="en-US"/>
              </w:rPr>
            </w:pPr>
            <w:r w:rsidRPr="00095392">
              <w:rPr>
                <w:b/>
                <w:bCs/>
                <w:lang w:val="en-US"/>
              </w:rPr>
              <w:t>2021</w:t>
            </w:r>
          </w:p>
        </w:tc>
        <w:tc>
          <w:tcPr>
            <w:tcW w:w="0" w:type="auto"/>
            <w:vAlign w:val="center"/>
            <w:hideMark/>
          </w:tcPr>
          <w:p w14:paraId="55285140" w14:textId="77777777" w:rsidR="00095392" w:rsidRPr="00095392" w:rsidRDefault="00095392" w:rsidP="00095392">
            <w:pPr>
              <w:rPr>
                <w:b/>
                <w:bCs/>
                <w:lang w:val="en-US"/>
              </w:rPr>
            </w:pPr>
            <w:r w:rsidRPr="00095392">
              <w:rPr>
                <w:b/>
                <w:bCs/>
                <w:lang w:val="en-US"/>
              </w:rPr>
              <w:t>2022</w:t>
            </w:r>
          </w:p>
        </w:tc>
        <w:tc>
          <w:tcPr>
            <w:tcW w:w="0" w:type="auto"/>
            <w:vAlign w:val="center"/>
            <w:hideMark/>
          </w:tcPr>
          <w:p w14:paraId="06C1D63A" w14:textId="77777777" w:rsidR="00095392" w:rsidRPr="00095392" w:rsidRDefault="00095392" w:rsidP="00095392">
            <w:pPr>
              <w:rPr>
                <w:b/>
                <w:bCs/>
                <w:lang w:val="en-US"/>
              </w:rPr>
            </w:pPr>
            <w:r w:rsidRPr="00095392">
              <w:rPr>
                <w:b/>
                <w:bCs/>
                <w:lang w:val="en-US"/>
              </w:rPr>
              <w:t>2023</w:t>
            </w:r>
          </w:p>
        </w:tc>
        <w:tc>
          <w:tcPr>
            <w:tcW w:w="0" w:type="auto"/>
            <w:vAlign w:val="center"/>
            <w:hideMark/>
          </w:tcPr>
          <w:p w14:paraId="5544179B" w14:textId="77777777" w:rsidR="00095392" w:rsidRPr="00095392" w:rsidRDefault="00095392" w:rsidP="00095392">
            <w:pPr>
              <w:rPr>
                <w:b/>
                <w:bCs/>
                <w:lang w:val="en-US"/>
              </w:rPr>
            </w:pPr>
            <w:r w:rsidRPr="00095392">
              <w:rPr>
                <w:b/>
                <w:bCs/>
                <w:lang w:val="en-US"/>
              </w:rPr>
              <w:t>2024</w:t>
            </w:r>
          </w:p>
        </w:tc>
        <w:tc>
          <w:tcPr>
            <w:tcW w:w="0" w:type="auto"/>
            <w:vAlign w:val="center"/>
            <w:hideMark/>
          </w:tcPr>
          <w:p w14:paraId="304A796A" w14:textId="77777777" w:rsidR="00095392" w:rsidRPr="00095392" w:rsidRDefault="00095392" w:rsidP="00095392">
            <w:pPr>
              <w:rPr>
                <w:b/>
                <w:bCs/>
                <w:lang w:val="en-US"/>
              </w:rPr>
            </w:pPr>
            <w:r w:rsidRPr="00095392">
              <w:rPr>
                <w:b/>
                <w:bCs/>
                <w:lang w:val="en-US"/>
              </w:rPr>
              <w:t>2025</w:t>
            </w:r>
          </w:p>
        </w:tc>
      </w:tr>
      <w:tr w:rsidR="00095392" w:rsidRPr="00095392" w14:paraId="1CBB8FFE" w14:textId="77777777" w:rsidTr="00095392">
        <w:trPr>
          <w:tblCellSpacing w:w="15" w:type="dxa"/>
        </w:trPr>
        <w:tc>
          <w:tcPr>
            <w:tcW w:w="0" w:type="auto"/>
            <w:vAlign w:val="center"/>
            <w:hideMark/>
          </w:tcPr>
          <w:p w14:paraId="635D8ABB" w14:textId="77777777" w:rsidR="00095392" w:rsidRPr="00095392" w:rsidRDefault="00095392" w:rsidP="00095392">
            <w:pPr>
              <w:rPr>
                <w:lang w:val="en-US"/>
              </w:rPr>
            </w:pPr>
            <w:r w:rsidRPr="00095392">
              <w:rPr>
                <w:lang w:val="en-US"/>
              </w:rPr>
              <w:t>12.69%</w:t>
            </w:r>
          </w:p>
        </w:tc>
        <w:tc>
          <w:tcPr>
            <w:tcW w:w="0" w:type="auto"/>
            <w:vAlign w:val="center"/>
            <w:hideMark/>
          </w:tcPr>
          <w:p w14:paraId="16A00320" w14:textId="77777777" w:rsidR="00095392" w:rsidRPr="00095392" w:rsidRDefault="00095392" w:rsidP="00095392">
            <w:pPr>
              <w:rPr>
                <w:lang w:val="en-US"/>
              </w:rPr>
            </w:pPr>
            <w:r w:rsidRPr="00095392">
              <w:rPr>
                <w:lang w:val="en-US"/>
              </w:rPr>
              <w:t>16.72%</w:t>
            </w:r>
          </w:p>
        </w:tc>
        <w:tc>
          <w:tcPr>
            <w:tcW w:w="0" w:type="auto"/>
            <w:vAlign w:val="center"/>
            <w:hideMark/>
          </w:tcPr>
          <w:p w14:paraId="13A49847" w14:textId="77777777" w:rsidR="00095392" w:rsidRPr="00095392" w:rsidRDefault="00095392" w:rsidP="00095392">
            <w:pPr>
              <w:rPr>
                <w:lang w:val="en-US"/>
              </w:rPr>
            </w:pPr>
            <w:r w:rsidRPr="00095392">
              <w:rPr>
                <w:lang w:val="en-US"/>
              </w:rPr>
              <w:t>16.59%</w:t>
            </w:r>
          </w:p>
        </w:tc>
        <w:tc>
          <w:tcPr>
            <w:tcW w:w="0" w:type="auto"/>
            <w:vAlign w:val="center"/>
            <w:hideMark/>
          </w:tcPr>
          <w:p w14:paraId="2C72915E" w14:textId="77777777" w:rsidR="00095392" w:rsidRPr="00095392" w:rsidRDefault="00095392" w:rsidP="00095392">
            <w:pPr>
              <w:rPr>
                <w:lang w:val="en-US"/>
              </w:rPr>
            </w:pPr>
            <w:r w:rsidRPr="00095392">
              <w:rPr>
                <w:lang w:val="en-US"/>
              </w:rPr>
              <w:t>15.31%</w:t>
            </w:r>
          </w:p>
        </w:tc>
        <w:tc>
          <w:tcPr>
            <w:tcW w:w="0" w:type="auto"/>
            <w:vAlign w:val="center"/>
            <w:hideMark/>
          </w:tcPr>
          <w:p w14:paraId="423F981E" w14:textId="77777777" w:rsidR="00095392" w:rsidRPr="00095392" w:rsidRDefault="00095392" w:rsidP="00095392">
            <w:pPr>
              <w:rPr>
                <w:lang w:val="en-US"/>
              </w:rPr>
            </w:pPr>
            <w:r w:rsidRPr="00095392">
              <w:rPr>
                <w:lang w:val="en-US"/>
              </w:rPr>
              <w:t>15.81%</w:t>
            </w:r>
          </w:p>
        </w:tc>
      </w:tr>
    </w:tbl>
    <w:p w14:paraId="628FB5A0" w14:textId="77777777" w:rsidR="00095392" w:rsidRPr="00095392" w:rsidRDefault="00095392" w:rsidP="00095392">
      <w:pPr>
        <w:rPr>
          <w:b/>
          <w:bCs/>
          <w:lang w:val="en-US"/>
        </w:rPr>
      </w:pPr>
      <w:r w:rsidRPr="00095392">
        <w:rPr>
          <w:b/>
          <w:bCs/>
          <w:lang w:val="en-US"/>
        </w:rPr>
        <w:t>Interpretation</w:t>
      </w:r>
    </w:p>
    <w:p w14:paraId="3E37975D" w14:textId="77777777" w:rsidR="00095392" w:rsidRPr="00095392" w:rsidRDefault="00095392" w:rsidP="00095392">
      <w:pPr>
        <w:numPr>
          <w:ilvl w:val="0"/>
          <w:numId w:val="4"/>
        </w:numPr>
        <w:rPr>
          <w:lang w:val="en-US"/>
        </w:rPr>
      </w:pPr>
      <w:r w:rsidRPr="00095392">
        <w:rPr>
          <w:lang w:val="en-US"/>
        </w:rPr>
        <w:t xml:space="preserve">Operating profitability improved significantly after 2021. </w:t>
      </w:r>
    </w:p>
    <w:p w14:paraId="75B69543" w14:textId="77777777" w:rsidR="00095392" w:rsidRPr="00095392" w:rsidRDefault="00095392" w:rsidP="00095392">
      <w:pPr>
        <w:numPr>
          <w:ilvl w:val="0"/>
          <w:numId w:val="4"/>
        </w:numPr>
        <w:rPr>
          <w:lang w:val="en-US"/>
        </w:rPr>
      </w:pPr>
      <w:r w:rsidRPr="00095392">
        <w:rPr>
          <w:lang w:val="en-US"/>
        </w:rPr>
        <w:t xml:space="preserve">The largest improvement occurred in </w:t>
      </w:r>
      <w:r w:rsidRPr="00095392">
        <w:rPr>
          <w:b/>
          <w:bCs/>
          <w:lang w:val="en-US"/>
        </w:rPr>
        <w:t>2022</w:t>
      </w:r>
      <w:r w:rsidRPr="00095392">
        <w:rPr>
          <w:lang w:val="en-US"/>
        </w:rPr>
        <w:t xml:space="preserve">, reflecting stronger business performance after the pandemic. </w:t>
      </w:r>
    </w:p>
    <w:p w14:paraId="78891A4E" w14:textId="77777777" w:rsidR="00095392" w:rsidRPr="00095392" w:rsidRDefault="00095392" w:rsidP="00095392">
      <w:pPr>
        <w:numPr>
          <w:ilvl w:val="0"/>
          <w:numId w:val="4"/>
        </w:numPr>
        <w:rPr>
          <w:lang w:val="en-US"/>
        </w:rPr>
      </w:pPr>
      <w:r w:rsidRPr="00095392">
        <w:rPr>
          <w:lang w:val="en-US"/>
        </w:rPr>
        <w:t xml:space="preserve">Although margins fell slightly in 2024, they remained much higher than in 2021. </w:t>
      </w:r>
    </w:p>
    <w:p w14:paraId="3EC322FD" w14:textId="77777777" w:rsidR="00095392" w:rsidRPr="00095392" w:rsidRDefault="00095392" w:rsidP="00095392">
      <w:pPr>
        <w:numPr>
          <w:ilvl w:val="0"/>
          <w:numId w:val="4"/>
        </w:numPr>
        <w:rPr>
          <w:lang w:val="en-US"/>
        </w:rPr>
      </w:pPr>
      <w:r w:rsidRPr="00095392">
        <w:rPr>
          <w:lang w:val="en-US"/>
        </w:rPr>
        <w:t xml:space="preserve">This shows Marriott managed operating expenses effectively. </w:t>
      </w:r>
    </w:p>
    <w:p w14:paraId="5F22191A" w14:textId="77777777" w:rsidR="00095392" w:rsidRPr="00095392" w:rsidRDefault="00000000" w:rsidP="00095392">
      <w:pPr>
        <w:rPr>
          <w:lang w:val="en-US"/>
        </w:rPr>
      </w:pPr>
      <w:r>
        <w:rPr>
          <w:lang w:val="en-US"/>
        </w:rPr>
        <w:pict w14:anchorId="04041449">
          <v:rect id="_x0000_i1026" style="width:0;height:1.5pt" o:hralign="center" o:hrstd="t" o:hr="t" fillcolor="#a0a0a0" stroked="f"/>
        </w:pict>
      </w:r>
    </w:p>
    <w:p w14:paraId="3A29E871" w14:textId="77777777" w:rsidR="00095392" w:rsidRPr="00095392" w:rsidRDefault="00095392" w:rsidP="00095392">
      <w:pPr>
        <w:rPr>
          <w:b/>
          <w:bCs/>
          <w:lang w:val="en-US"/>
        </w:rPr>
      </w:pPr>
      <w:r w:rsidRPr="00095392">
        <w:rPr>
          <w:b/>
          <w:bCs/>
          <w:lang w:val="en-US"/>
        </w:rPr>
        <w:t>3. Net Profit Margin (%)</w:t>
      </w:r>
    </w:p>
    <w:p w14:paraId="74C70366" w14:textId="77777777" w:rsidR="00095392" w:rsidRPr="00095392" w:rsidRDefault="00095392" w:rsidP="00095392">
      <w:pPr>
        <w:rPr>
          <w:b/>
          <w:bCs/>
          <w:lang w:val="en-US"/>
        </w:rPr>
      </w:pPr>
      <w:r w:rsidRPr="00095392">
        <w:rPr>
          <w:b/>
          <w:bCs/>
          <w:lang w:val="en-US"/>
        </w:rPr>
        <w:lastRenderedPageBreak/>
        <w:t>What does it measure?</w:t>
      </w:r>
    </w:p>
    <w:p w14:paraId="11DA63C8" w14:textId="77777777" w:rsidR="00095392" w:rsidRPr="00095392" w:rsidRDefault="00095392" w:rsidP="00095392">
      <w:pPr>
        <w:rPr>
          <w:lang w:val="en-US"/>
        </w:rPr>
      </w:pPr>
      <w:r w:rsidRPr="00095392">
        <w:rPr>
          <w:lang w:val="en-US"/>
        </w:rPr>
        <w:t xml:space="preserve">Net Profit Margin shows </w:t>
      </w:r>
      <w:r w:rsidRPr="00095392">
        <w:rPr>
          <w:b/>
          <w:bCs/>
          <w:lang w:val="en-US"/>
        </w:rPr>
        <w:t>how much profit the company keeps from every dollar of revenue after all expenses and taxes</w:t>
      </w:r>
      <w:r w:rsidRPr="00095392">
        <w:rPr>
          <w:lang w:val="en-US"/>
        </w:rPr>
        <w:t>.</w:t>
      </w:r>
    </w:p>
    <w:p w14:paraId="0232AFB9" w14:textId="77777777" w:rsidR="00095392" w:rsidRPr="00095392" w:rsidRDefault="00095392" w:rsidP="00095392">
      <w:pPr>
        <w:rPr>
          <w:b/>
          <w:bCs/>
          <w:lang w:val="en-US"/>
        </w:rPr>
      </w:pPr>
      <w:r w:rsidRPr="00095392">
        <w:rPr>
          <w:b/>
          <w:bCs/>
          <w:lang w:val="en-US"/>
        </w:rPr>
        <w:t>Marriott results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15"/>
        <w:gridCol w:w="820"/>
        <w:gridCol w:w="820"/>
        <w:gridCol w:w="700"/>
        <w:gridCol w:w="715"/>
      </w:tblGrid>
      <w:tr w:rsidR="00095392" w:rsidRPr="00095392" w14:paraId="1A1CDEC4" w14:textId="77777777" w:rsidTr="00095392">
        <w:trPr>
          <w:tblHeader/>
          <w:tblCellSpacing w:w="15" w:type="dxa"/>
        </w:trPr>
        <w:tc>
          <w:tcPr>
            <w:tcW w:w="0" w:type="auto"/>
            <w:vAlign w:val="center"/>
            <w:hideMark/>
          </w:tcPr>
          <w:p w14:paraId="6D8C0B4B" w14:textId="77777777" w:rsidR="00095392" w:rsidRPr="00095392" w:rsidRDefault="00095392" w:rsidP="00095392">
            <w:pPr>
              <w:rPr>
                <w:b/>
                <w:bCs/>
                <w:lang w:val="en-US"/>
              </w:rPr>
            </w:pPr>
            <w:r w:rsidRPr="00095392">
              <w:rPr>
                <w:b/>
                <w:bCs/>
                <w:lang w:val="en-US"/>
              </w:rPr>
              <w:t>2021</w:t>
            </w:r>
          </w:p>
        </w:tc>
        <w:tc>
          <w:tcPr>
            <w:tcW w:w="0" w:type="auto"/>
            <w:vAlign w:val="center"/>
            <w:hideMark/>
          </w:tcPr>
          <w:p w14:paraId="309A3A34" w14:textId="77777777" w:rsidR="00095392" w:rsidRPr="00095392" w:rsidRDefault="00095392" w:rsidP="00095392">
            <w:pPr>
              <w:rPr>
                <w:b/>
                <w:bCs/>
                <w:lang w:val="en-US"/>
              </w:rPr>
            </w:pPr>
            <w:r w:rsidRPr="00095392">
              <w:rPr>
                <w:b/>
                <w:bCs/>
                <w:lang w:val="en-US"/>
              </w:rPr>
              <w:t>2022</w:t>
            </w:r>
          </w:p>
        </w:tc>
        <w:tc>
          <w:tcPr>
            <w:tcW w:w="0" w:type="auto"/>
            <w:vAlign w:val="center"/>
            <w:hideMark/>
          </w:tcPr>
          <w:p w14:paraId="27B7B455" w14:textId="77777777" w:rsidR="00095392" w:rsidRPr="00095392" w:rsidRDefault="00095392" w:rsidP="00095392">
            <w:pPr>
              <w:rPr>
                <w:b/>
                <w:bCs/>
                <w:lang w:val="en-US"/>
              </w:rPr>
            </w:pPr>
            <w:r w:rsidRPr="00095392">
              <w:rPr>
                <w:b/>
                <w:bCs/>
                <w:lang w:val="en-US"/>
              </w:rPr>
              <w:t>2023</w:t>
            </w:r>
          </w:p>
        </w:tc>
        <w:tc>
          <w:tcPr>
            <w:tcW w:w="0" w:type="auto"/>
            <w:vAlign w:val="center"/>
            <w:hideMark/>
          </w:tcPr>
          <w:p w14:paraId="4D8DF9BE" w14:textId="77777777" w:rsidR="00095392" w:rsidRPr="00095392" w:rsidRDefault="00095392" w:rsidP="00095392">
            <w:pPr>
              <w:rPr>
                <w:b/>
                <w:bCs/>
                <w:lang w:val="en-US"/>
              </w:rPr>
            </w:pPr>
            <w:r w:rsidRPr="00095392">
              <w:rPr>
                <w:b/>
                <w:bCs/>
                <w:lang w:val="en-US"/>
              </w:rPr>
              <w:t>2024</w:t>
            </w:r>
          </w:p>
        </w:tc>
        <w:tc>
          <w:tcPr>
            <w:tcW w:w="0" w:type="auto"/>
            <w:vAlign w:val="center"/>
            <w:hideMark/>
          </w:tcPr>
          <w:p w14:paraId="5AB2D832" w14:textId="77777777" w:rsidR="00095392" w:rsidRPr="00095392" w:rsidRDefault="00095392" w:rsidP="00095392">
            <w:pPr>
              <w:rPr>
                <w:b/>
                <w:bCs/>
                <w:lang w:val="en-US"/>
              </w:rPr>
            </w:pPr>
            <w:r w:rsidRPr="00095392">
              <w:rPr>
                <w:b/>
                <w:bCs/>
                <w:lang w:val="en-US"/>
              </w:rPr>
              <w:t>2025</w:t>
            </w:r>
          </w:p>
        </w:tc>
      </w:tr>
      <w:tr w:rsidR="00095392" w:rsidRPr="00095392" w14:paraId="352106C6" w14:textId="77777777" w:rsidTr="00095392">
        <w:trPr>
          <w:tblCellSpacing w:w="15" w:type="dxa"/>
        </w:trPr>
        <w:tc>
          <w:tcPr>
            <w:tcW w:w="0" w:type="auto"/>
            <w:vAlign w:val="center"/>
            <w:hideMark/>
          </w:tcPr>
          <w:p w14:paraId="609ACE8E" w14:textId="77777777" w:rsidR="00095392" w:rsidRPr="00095392" w:rsidRDefault="00095392" w:rsidP="00095392">
            <w:pPr>
              <w:rPr>
                <w:lang w:val="en-US"/>
              </w:rPr>
            </w:pPr>
            <w:r w:rsidRPr="00095392">
              <w:rPr>
                <w:lang w:val="en-US"/>
              </w:rPr>
              <w:t>7.93%</w:t>
            </w:r>
          </w:p>
        </w:tc>
        <w:tc>
          <w:tcPr>
            <w:tcW w:w="0" w:type="auto"/>
            <w:vAlign w:val="center"/>
            <w:hideMark/>
          </w:tcPr>
          <w:p w14:paraId="2DF3171F" w14:textId="77777777" w:rsidR="00095392" w:rsidRPr="00095392" w:rsidRDefault="00095392" w:rsidP="00095392">
            <w:pPr>
              <w:rPr>
                <w:lang w:val="en-US"/>
              </w:rPr>
            </w:pPr>
            <w:r w:rsidRPr="00095392">
              <w:rPr>
                <w:lang w:val="en-US"/>
              </w:rPr>
              <w:t>11.35%</w:t>
            </w:r>
          </w:p>
        </w:tc>
        <w:tc>
          <w:tcPr>
            <w:tcW w:w="0" w:type="auto"/>
            <w:vAlign w:val="center"/>
            <w:hideMark/>
          </w:tcPr>
          <w:p w14:paraId="61CACB90" w14:textId="77777777" w:rsidR="00095392" w:rsidRPr="00095392" w:rsidRDefault="00095392" w:rsidP="00095392">
            <w:pPr>
              <w:rPr>
                <w:lang w:val="en-US"/>
              </w:rPr>
            </w:pPr>
            <w:r w:rsidRPr="00095392">
              <w:rPr>
                <w:lang w:val="en-US"/>
              </w:rPr>
              <w:t>13.00%</w:t>
            </w:r>
          </w:p>
        </w:tc>
        <w:tc>
          <w:tcPr>
            <w:tcW w:w="0" w:type="auto"/>
            <w:vAlign w:val="center"/>
            <w:hideMark/>
          </w:tcPr>
          <w:p w14:paraId="3BF04235" w14:textId="77777777" w:rsidR="00095392" w:rsidRPr="00095392" w:rsidRDefault="00095392" w:rsidP="00095392">
            <w:pPr>
              <w:rPr>
                <w:lang w:val="en-US"/>
              </w:rPr>
            </w:pPr>
            <w:r w:rsidRPr="00095392">
              <w:rPr>
                <w:lang w:val="en-US"/>
              </w:rPr>
              <w:t>9.46%</w:t>
            </w:r>
          </w:p>
        </w:tc>
        <w:tc>
          <w:tcPr>
            <w:tcW w:w="0" w:type="auto"/>
            <w:vAlign w:val="center"/>
            <w:hideMark/>
          </w:tcPr>
          <w:p w14:paraId="0B28BE81" w14:textId="77777777" w:rsidR="00095392" w:rsidRPr="00095392" w:rsidRDefault="00095392" w:rsidP="00095392">
            <w:pPr>
              <w:rPr>
                <w:lang w:val="en-US"/>
              </w:rPr>
            </w:pPr>
            <w:r w:rsidRPr="00095392">
              <w:rPr>
                <w:lang w:val="en-US"/>
              </w:rPr>
              <w:t>9.93%</w:t>
            </w:r>
          </w:p>
        </w:tc>
      </w:tr>
    </w:tbl>
    <w:p w14:paraId="4F0D9E57" w14:textId="77777777" w:rsidR="00095392" w:rsidRPr="00095392" w:rsidRDefault="00095392" w:rsidP="00095392">
      <w:pPr>
        <w:rPr>
          <w:b/>
          <w:bCs/>
          <w:lang w:val="en-US"/>
        </w:rPr>
      </w:pPr>
      <w:r w:rsidRPr="00095392">
        <w:rPr>
          <w:b/>
          <w:bCs/>
          <w:lang w:val="en-US"/>
        </w:rPr>
        <w:t>Interpretation</w:t>
      </w:r>
    </w:p>
    <w:p w14:paraId="58804339" w14:textId="77777777" w:rsidR="00095392" w:rsidRPr="00095392" w:rsidRDefault="00095392" w:rsidP="00095392">
      <w:pPr>
        <w:numPr>
          <w:ilvl w:val="0"/>
          <w:numId w:val="5"/>
        </w:numPr>
        <w:rPr>
          <w:lang w:val="en-US"/>
        </w:rPr>
      </w:pPr>
      <w:r w:rsidRPr="00095392">
        <w:rPr>
          <w:lang w:val="en-US"/>
        </w:rPr>
        <w:t xml:space="preserve">Net margin increased strongly between 2021 and 2023. </w:t>
      </w:r>
    </w:p>
    <w:p w14:paraId="4B9FD6D2" w14:textId="77777777" w:rsidR="00095392" w:rsidRPr="00095392" w:rsidRDefault="00095392" w:rsidP="00095392">
      <w:pPr>
        <w:numPr>
          <w:ilvl w:val="0"/>
          <w:numId w:val="5"/>
        </w:numPr>
        <w:rPr>
          <w:lang w:val="en-US"/>
        </w:rPr>
      </w:pPr>
      <w:r w:rsidRPr="00095392">
        <w:rPr>
          <w:b/>
          <w:bCs/>
          <w:lang w:val="en-US"/>
        </w:rPr>
        <w:t>2023 recorded the highest profitability (13%)</w:t>
      </w:r>
      <w:r w:rsidRPr="00095392">
        <w:rPr>
          <w:lang w:val="en-US"/>
        </w:rPr>
        <w:t xml:space="preserve">. </w:t>
      </w:r>
    </w:p>
    <w:p w14:paraId="4E010C75" w14:textId="77777777" w:rsidR="00095392" w:rsidRPr="00095392" w:rsidRDefault="00095392" w:rsidP="00095392">
      <w:pPr>
        <w:numPr>
          <w:ilvl w:val="0"/>
          <w:numId w:val="5"/>
        </w:numPr>
        <w:rPr>
          <w:lang w:val="en-US"/>
        </w:rPr>
      </w:pPr>
      <w:r w:rsidRPr="00095392">
        <w:rPr>
          <w:lang w:val="en-US"/>
        </w:rPr>
        <w:t xml:space="preserve">Profitability declined in 2024 due to higher interest and operating costs. </w:t>
      </w:r>
    </w:p>
    <w:p w14:paraId="1947BA00" w14:textId="77777777" w:rsidR="00095392" w:rsidRPr="00095392" w:rsidRDefault="00095392" w:rsidP="00095392">
      <w:pPr>
        <w:numPr>
          <w:ilvl w:val="0"/>
          <w:numId w:val="5"/>
        </w:numPr>
        <w:rPr>
          <w:lang w:val="en-US"/>
        </w:rPr>
      </w:pPr>
      <w:r w:rsidRPr="00095392">
        <w:rPr>
          <w:lang w:val="en-US"/>
        </w:rPr>
        <w:t xml:space="preserve">A small recovery occurred in 2025. </w:t>
      </w:r>
    </w:p>
    <w:p w14:paraId="6FB74F24" w14:textId="77777777" w:rsidR="00095392" w:rsidRPr="00095392" w:rsidRDefault="00000000" w:rsidP="00095392">
      <w:pPr>
        <w:rPr>
          <w:lang w:val="en-US"/>
        </w:rPr>
      </w:pPr>
      <w:r>
        <w:rPr>
          <w:lang w:val="en-US"/>
        </w:rPr>
        <w:pict w14:anchorId="2B8AE932">
          <v:rect id="_x0000_i1027" style="width:0;height:1.5pt" o:hralign="center" o:hrstd="t" o:hr="t" fillcolor="#a0a0a0" stroked="f"/>
        </w:pict>
      </w:r>
    </w:p>
    <w:p w14:paraId="6663FA4F" w14:textId="77777777" w:rsidR="00095392" w:rsidRPr="00095392" w:rsidRDefault="00095392" w:rsidP="00095392">
      <w:pPr>
        <w:rPr>
          <w:b/>
          <w:bCs/>
          <w:lang w:val="en-US"/>
        </w:rPr>
      </w:pPr>
      <w:r w:rsidRPr="00095392">
        <w:rPr>
          <w:b/>
          <w:bCs/>
          <w:lang w:val="en-US"/>
        </w:rPr>
        <w:t>4. Current Ratio</w:t>
      </w:r>
    </w:p>
    <w:p w14:paraId="248687A3" w14:textId="77777777" w:rsidR="00095392" w:rsidRPr="00095392" w:rsidRDefault="00095392" w:rsidP="00095392">
      <w:pPr>
        <w:rPr>
          <w:b/>
          <w:bCs/>
          <w:lang w:val="en-US"/>
        </w:rPr>
      </w:pPr>
      <w:r w:rsidRPr="00095392">
        <w:rPr>
          <w:b/>
          <w:bCs/>
          <w:lang w:val="en-US"/>
        </w:rPr>
        <w:t>What does it measure?</w:t>
      </w:r>
    </w:p>
    <w:p w14:paraId="580E3102" w14:textId="77777777" w:rsidR="00095392" w:rsidRPr="00095392" w:rsidRDefault="00095392" w:rsidP="00095392">
      <w:pPr>
        <w:rPr>
          <w:lang w:val="en-US"/>
        </w:rPr>
      </w:pPr>
      <w:r w:rsidRPr="00095392">
        <w:rPr>
          <w:lang w:val="en-US"/>
        </w:rPr>
        <w:t xml:space="preserve">Current Ratio shows </w:t>
      </w:r>
      <w:r w:rsidRPr="00095392">
        <w:rPr>
          <w:b/>
          <w:bCs/>
          <w:lang w:val="en-US"/>
        </w:rPr>
        <w:t>whether the company can pay its short-term debts using its short-term assets</w:t>
      </w:r>
      <w:r w:rsidRPr="00095392">
        <w:rPr>
          <w:lang w:val="en-US"/>
        </w:rPr>
        <w:t>.</w:t>
      </w:r>
    </w:p>
    <w:p w14:paraId="337B0DCB" w14:textId="77777777" w:rsidR="00095392" w:rsidRPr="00095392" w:rsidRDefault="00095392" w:rsidP="00095392">
      <w:pPr>
        <w:rPr>
          <w:lang w:val="en-US"/>
        </w:rPr>
      </w:pPr>
      <w:r w:rsidRPr="00095392">
        <w:rPr>
          <w:lang w:val="en-US"/>
        </w:rPr>
        <w:t xml:space="preserve">A ratio above </w:t>
      </w:r>
      <w:r w:rsidRPr="00095392">
        <w:rPr>
          <w:b/>
          <w:bCs/>
          <w:lang w:val="en-US"/>
        </w:rPr>
        <w:t>1.0</w:t>
      </w:r>
      <w:r w:rsidRPr="00095392">
        <w:rPr>
          <w:lang w:val="en-US"/>
        </w:rPr>
        <w:t xml:space="preserve"> is normally considered comfortable.</w:t>
      </w:r>
    </w:p>
    <w:p w14:paraId="12CCE616" w14:textId="77777777" w:rsidR="00095392" w:rsidRPr="00095392" w:rsidRDefault="00095392" w:rsidP="00095392">
      <w:pPr>
        <w:rPr>
          <w:b/>
          <w:bCs/>
          <w:lang w:val="en-US"/>
        </w:rPr>
      </w:pPr>
      <w:r w:rsidRPr="00095392">
        <w:rPr>
          <w:b/>
          <w:bCs/>
          <w:lang w:val="en-US"/>
        </w:rPr>
        <w:t>Marriott results</w:t>
      </w:r>
    </w:p>
    <w:p w14:paraId="59A39C74" w14:textId="77777777" w:rsidR="00095392" w:rsidRPr="00095392" w:rsidRDefault="00095392" w:rsidP="00095392">
      <w:pPr>
        <w:rPr>
          <w:lang w:val="en-US"/>
        </w:rPr>
      </w:pPr>
      <w:r w:rsidRPr="00095392">
        <w:rPr>
          <w:lang w:val="en-US"/>
        </w:rPr>
        <w:t>0.57 → 0.45 → 0.43 → 0.40 → 0.43</w:t>
      </w:r>
    </w:p>
    <w:p w14:paraId="74B5EC66" w14:textId="77777777" w:rsidR="00095392" w:rsidRPr="00095392" w:rsidRDefault="00095392" w:rsidP="00095392">
      <w:pPr>
        <w:rPr>
          <w:b/>
          <w:bCs/>
          <w:lang w:val="en-US"/>
        </w:rPr>
      </w:pPr>
      <w:r w:rsidRPr="00095392">
        <w:rPr>
          <w:b/>
          <w:bCs/>
          <w:lang w:val="en-US"/>
        </w:rPr>
        <w:t>Interpretation</w:t>
      </w:r>
    </w:p>
    <w:p w14:paraId="023AF23B" w14:textId="77777777" w:rsidR="00095392" w:rsidRPr="00095392" w:rsidRDefault="00095392" w:rsidP="00095392">
      <w:pPr>
        <w:numPr>
          <w:ilvl w:val="0"/>
          <w:numId w:val="6"/>
        </w:numPr>
        <w:rPr>
          <w:lang w:val="en-US"/>
        </w:rPr>
      </w:pPr>
      <w:r w:rsidRPr="00095392">
        <w:rPr>
          <w:lang w:val="en-US"/>
        </w:rPr>
        <w:t xml:space="preserve">Marriott's current ratio remained </w:t>
      </w:r>
      <w:r w:rsidRPr="00095392">
        <w:rPr>
          <w:b/>
          <w:bCs/>
          <w:lang w:val="en-US"/>
        </w:rPr>
        <w:t>below 1.0</w:t>
      </w:r>
      <w:r w:rsidRPr="00095392">
        <w:rPr>
          <w:lang w:val="en-US"/>
        </w:rPr>
        <w:t xml:space="preserve"> throughout the period. </w:t>
      </w:r>
    </w:p>
    <w:p w14:paraId="2A6B6793" w14:textId="77777777" w:rsidR="00095392" w:rsidRPr="00095392" w:rsidRDefault="00095392" w:rsidP="00095392">
      <w:pPr>
        <w:numPr>
          <w:ilvl w:val="0"/>
          <w:numId w:val="6"/>
        </w:numPr>
        <w:rPr>
          <w:lang w:val="en-US"/>
        </w:rPr>
      </w:pPr>
      <w:r w:rsidRPr="00095392">
        <w:rPr>
          <w:lang w:val="en-US"/>
        </w:rPr>
        <w:t xml:space="preserve">The ratio gradually decreased after 2021. </w:t>
      </w:r>
    </w:p>
    <w:p w14:paraId="75713756" w14:textId="77777777" w:rsidR="00095392" w:rsidRPr="00095392" w:rsidRDefault="00095392" w:rsidP="00095392">
      <w:pPr>
        <w:numPr>
          <w:ilvl w:val="0"/>
          <w:numId w:val="6"/>
        </w:numPr>
        <w:rPr>
          <w:lang w:val="en-US"/>
        </w:rPr>
      </w:pPr>
      <w:r w:rsidRPr="00095392">
        <w:rPr>
          <w:lang w:val="en-US"/>
        </w:rPr>
        <w:t xml:space="preserve">This suggests Marriott has relatively low current assets compared with current liabilities. </w:t>
      </w:r>
    </w:p>
    <w:p w14:paraId="1364D349" w14:textId="77777777" w:rsidR="00095392" w:rsidRPr="00095392" w:rsidRDefault="00095392" w:rsidP="00095392">
      <w:pPr>
        <w:numPr>
          <w:ilvl w:val="0"/>
          <w:numId w:val="6"/>
        </w:numPr>
        <w:rPr>
          <w:lang w:val="en-US"/>
        </w:rPr>
      </w:pPr>
      <w:r w:rsidRPr="00095392">
        <w:rPr>
          <w:lang w:val="en-US"/>
        </w:rPr>
        <w:t xml:space="preserve">However, this is common for large hotel companies with strong cash generation. </w:t>
      </w:r>
    </w:p>
    <w:p w14:paraId="1E0A4082" w14:textId="77777777" w:rsidR="00095392" w:rsidRPr="00095392" w:rsidRDefault="00000000" w:rsidP="00095392">
      <w:pPr>
        <w:rPr>
          <w:lang w:val="en-US"/>
        </w:rPr>
      </w:pPr>
      <w:r>
        <w:rPr>
          <w:lang w:val="en-US"/>
        </w:rPr>
        <w:pict w14:anchorId="0B20F13E">
          <v:rect id="_x0000_i1028" style="width:0;height:1.5pt" o:hralign="center" o:hrstd="t" o:hr="t" fillcolor="#a0a0a0" stroked="f"/>
        </w:pict>
      </w:r>
    </w:p>
    <w:p w14:paraId="0A597C6B" w14:textId="77777777" w:rsidR="00095392" w:rsidRPr="00095392" w:rsidRDefault="00095392" w:rsidP="00095392">
      <w:pPr>
        <w:rPr>
          <w:b/>
          <w:bCs/>
          <w:lang w:val="en-US"/>
        </w:rPr>
      </w:pPr>
      <w:r w:rsidRPr="00095392">
        <w:rPr>
          <w:b/>
          <w:bCs/>
          <w:lang w:val="en-US"/>
        </w:rPr>
        <w:t>5. Quick Ratio</w:t>
      </w:r>
    </w:p>
    <w:p w14:paraId="2606C966" w14:textId="77777777" w:rsidR="00095392" w:rsidRPr="00095392" w:rsidRDefault="00095392" w:rsidP="00095392">
      <w:pPr>
        <w:rPr>
          <w:b/>
          <w:bCs/>
          <w:lang w:val="en-US"/>
        </w:rPr>
      </w:pPr>
      <w:r w:rsidRPr="00095392">
        <w:rPr>
          <w:b/>
          <w:bCs/>
          <w:lang w:val="en-US"/>
        </w:rPr>
        <w:t>What does it measure?</w:t>
      </w:r>
    </w:p>
    <w:p w14:paraId="6D690E31" w14:textId="77777777" w:rsidR="00095392" w:rsidRPr="00095392" w:rsidRDefault="00095392" w:rsidP="00095392">
      <w:pPr>
        <w:rPr>
          <w:lang w:val="en-US"/>
        </w:rPr>
      </w:pPr>
      <w:r w:rsidRPr="00095392">
        <w:rPr>
          <w:lang w:val="en-US"/>
        </w:rPr>
        <w:t>Quick Ratio is similar to the current ratio but excludes inventories. It measures the company's ability to meet short-term obligations using its most liquid assets.</w:t>
      </w:r>
    </w:p>
    <w:p w14:paraId="72525A38" w14:textId="77777777" w:rsidR="00095392" w:rsidRPr="00095392" w:rsidRDefault="00095392" w:rsidP="00095392">
      <w:pPr>
        <w:rPr>
          <w:b/>
          <w:bCs/>
          <w:lang w:val="en-US"/>
        </w:rPr>
      </w:pPr>
      <w:r w:rsidRPr="00095392">
        <w:rPr>
          <w:b/>
          <w:bCs/>
          <w:lang w:val="en-US"/>
        </w:rPr>
        <w:lastRenderedPageBreak/>
        <w:t>Marriott results</w:t>
      </w:r>
    </w:p>
    <w:p w14:paraId="5C5C1040" w14:textId="77777777" w:rsidR="00095392" w:rsidRPr="00095392" w:rsidRDefault="00095392" w:rsidP="00095392">
      <w:pPr>
        <w:rPr>
          <w:lang w:val="en-US"/>
        </w:rPr>
      </w:pPr>
      <w:r w:rsidRPr="00095392">
        <w:rPr>
          <w:lang w:val="en-US"/>
        </w:rPr>
        <w:t>0.53 → 0.42 → 0.39 → 0.37 → 0.39</w:t>
      </w:r>
    </w:p>
    <w:p w14:paraId="52E85578" w14:textId="77777777" w:rsidR="00095392" w:rsidRPr="00095392" w:rsidRDefault="00095392" w:rsidP="00095392">
      <w:pPr>
        <w:rPr>
          <w:b/>
          <w:bCs/>
          <w:lang w:val="en-US"/>
        </w:rPr>
      </w:pPr>
      <w:r w:rsidRPr="00095392">
        <w:rPr>
          <w:b/>
          <w:bCs/>
          <w:lang w:val="en-US"/>
        </w:rPr>
        <w:t>Interpretation</w:t>
      </w:r>
    </w:p>
    <w:p w14:paraId="3623BDDA" w14:textId="77777777" w:rsidR="00095392" w:rsidRPr="00095392" w:rsidRDefault="00095392" w:rsidP="00095392">
      <w:pPr>
        <w:numPr>
          <w:ilvl w:val="0"/>
          <w:numId w:val="7"/>
        </w:numPr>
        <w:rPr>
          <w:lang w:val="en-US"/>
        </w:rPr>
      </w:pPr>
      <w:r w:rsidRPr="00095392">
        <w:rPr>
          <w:lang w:val="en-US"/>
        </w:rPr>
        <w:t xml:space="preserve">Quick ratio followed a similar pattern to the current ratio. </w:t>
      </w:r>
    </w:p>
    <w:p w14:paraId="14372532" w14:textId="77777777" w:rsidR="00095392" w:rsidRPr="00095392" w:rsidRDefault="00095392" w:rsidP="00095392">
      <w:pPr>
        <w:numPr>
          <w:ilvl w:val="0"/>
          <w:numId w:val="7"/>
        </w:numPr>
        <w:rPr>
          <w:lang w:val="en-US"/>
        </w:rPr>
      </w:pPr>
      <w:r w:rsidRPr="00095392">
        <w:rPr>
          <w:lang w:val="en-US"/>
        </w:rPr>
        <w:t xml:space="preserve">The ratio declined after 2021 and remained below 1. </w:t>
      </w:r>
    </w:p>
    <w:p w14:paraId="229AB034" w14:textId="77777777" w:rsidR="00095392" w:rsidRPr="00095392" w:rsidRDefault="00095392" w:rsidP="00095392">
      <w:pPr>
        <w:numPr>
          <w:ilvl w:val="0"/>
          <w:numId w:val="7"/>
        </w:numPr>
        <w:rPr>
          <w:lang w:val="en-US"/>
        </w:rPr>
      </w:pPr>
      <w:r w:rsidRPr="00095392">
        <w:rPr>
          <w:lang w:val="en-US"/>
        </w:rPr>
        <w:t xml:space="preserve">Marriott relies more on continuous cash inflows than on holding large liquid assets. </w:t>
      </w:r>
    </w:p>
    <w:p w14:paraId="236687D8" w14:textId="77777777" w:rsidR="00095392" w:rsidRPr="00095392" w:rsidRDefault="00000000" w:rsidP="00095392">
      <w:pPr>
        <w:rPr>
          <w:lang w:val="en-US"/>
        </w:rPr>
      </w:pPr>
      <w:r>
        <w:rPr>
          <w:lang w:val="en-US"/>
        </w:rPr>
        <w:pict w14:anchorId="09D39558">
          <v:rect id="_x0000_i1029" style="width:0;height:1.5pt" o:hralign="center" o:hrstd="t" o:hr="t" fillcolor="#a0a0a0" stroked="f"/>
        </w:pict>
      </w:r>
    </w:p>
    <w:p w14:paraId="2F7631DA" w14:textId="77777777" w:rsidR="00095392" w:rsidRPr="00095392" w:rsidRDefault="00095392" w:rsidP="00095392">
      <w:pPr>
        <w:rPr>
          <w:b/>
          <w:bCs/>
          <w:lang w:val="en-US"/>
        </w:rPr>
      </w:pPr>
      <w:r w:rsidRPr="00095392">
        <w:rPr>
          <w:b/>
          <w:bCs/>
          <w:lang w:val="en-US"/>
        </w:rPr>
        <w:t>6. Cash Ratio</w:t>
      </w:r>
    </w:p>
    <w:p w14:paraId="64633D81" w14:textId="77777777" w:rsidR="00095392" w:rsidRPr="00095392" w:rsidRDefault="00095392" w:rsidP="00095392">
      <w:pPr>
        <w:rPr>
          <w:b/>
          <w:bCs/>
          <w:lang w:val="en-US"/>
        </w:rPr>
      </w:pPr>
      <w:r w:rsidRPr="00095392">
        <w:rPr>
          <w:b/>
          <w:bCs/>
          <w:lang w:val="en-US"/>
        </w:rPr>
        <w:t>What does it measure?</w:t>
      </w:r>
    </w:p>
    <w:p w14:paraId="4E3B5860" w14:textId="77777777" w:rsidR="00095392" w:rsidRPr="00095392" w:rsidRDefault="00095392" w:rsidP="00095392">
      <w:pPr>
        <w:rPr>
          <w:lang w:val="en-US"/>
        </w:rPr>
      </w:pPr>
      <w:r w:rsidRPr="00095392">
        <w:rPr>
          <w:lang w:val="en-US"/>
        </w:rPr>
        <w:t xml:space="preserve">Cash Ratio measures </w:t>
      </w:r>
      <w:r w:rsidRPr="00095392">
        <w:rPr>
          <w:b/>
          <w:bCs/>
          <w:lang w:val="en-US"/>
        </w:rPr>
        <w:t>how much of the company's short-term debt can be paid immediately using cash only</w:t>
      </w:r>
      <w:r w:rsidRPr="00095392">
        <w:rPr>
          <w:lang w:val="en-US"/>
        </w:rPr>
        <w:t>.</w:t>
      </w:r>
    </w:p>
    <w:p w14:paraId="55BA44E6" w14:textId="77777777" w:rsidR="00095392" w:rsidRPr="00095392" w:rsidRDefault="00095392" w:rsidP="00095392">
      <w:pPr>
        <w:rPr>
          <w:b/>
          <w:bCs/>
          <w:lang w:val="en-US"/>
        </w:rPr>
      </w:pPr>
      <w:r w:rsidRPr="00095392">
        <w:rPr>
          <w:b/>
          <w:bCs/>
          <w:lang w:val="en-US"/>
        </w:rPr>
        <w:t>Marriott results</w:t>
      </w:r>
    </w:p>
    <w:p w14:paraId="65F20637" w14:textId="77777777" w:rsidR="00095392" w:rsidRPr="00095392" w:rsidRDefault="00095392" w:rsidP="00095392">
      <w:pPr>
        <w:rPr>
          <w:lang w:val="en-US"/>
        </w:rPr>
      </w:pPr>
      <w:r w:rsidRPr="00095392">
        <w:rPr>
          <w:lang w:val="en-US"/>
        </w:rPr>
        <w:t>0.22 → 0.07 → 0.04 → 0.05 → 0.04</w:t>
      </w:r>
    </w:p>
    <w:p w14:paraId="10E563F2" w14:textId="77777777" w:rsidR="00095392" w:rsidRPr="00095392" w:rsidRDefault="00095392" w:rsidP="00095392">
      <w:pPr>
        <w:rPr>
          <w:b/>
          <w:bCs/>
          <w:lang w:val="en-US"/>
        </w:rPr>
      </w:pPr>
      <w:r w:rsidRPr="00095392">
        <w:rPr>
          <w:b/>
          <w:bCs/>
          <w:lang w:val="en-US"/>
        </w:rPr>
        <w:t>Interpretation</w:t>
      </w:r>
    </w:p>
    <w:p w14:paraId="4B37E6F9" w14:textId="77777777" w:rsidR="00095392" w:rsidRPr="00095392" w:rsidRDefault="00095392" w:rsidP="00095392">
      <w:pPr>
        <w:numPr>
          <w:ilvl w:val="0"/>
          <w:numId w:val="8"/>
        </w:numPr>
        <w:rPr>
          <w:lang w:val="en-US"/>
        </w:rPr>
      </w:pPr>
      <w:r w:rsidRPr="00095392">
        <w:rPr>
          <w:lang w:val="en-US"/>
        </w:rPr>
        <w:t xml:space="preserve">Cash ratio declined sharply after 2021. </w:t>
      </w:r>
    </w:p>
    <w:p w14:paraId="3AA4B0CE" w14:textId="77777777" w:rsidR="00095392" w:rsidRPr="00095392" w:rsidRDefault="00095392" w:rsidP="00095392">
      <w:pPr>
        <w:numPr>
          <w:ilvl w:val="0"/>
          <w:numId w:val="8"/>
        </w:numPr>
        <w:rPr>
          <w:lang w:val="en-US"/>
        </w:rPr>
      </w:pPr>
      <w:r w:rsidRPr="00095392">
        <w:rPr>
          <w:lang w:val="en-US"/>
        </w:rPr>
        <w:t xml:space="preserve">Marriott held much less cash relative to current liabilities. </w:t>
      </w:r>
    </w:p>
    <w:p w14:paraId="5B1F9A36" w14:textId="77777777" w:rsidR="00095392" w:rsidRPr="00095392" w:rsidRDefault="00095392" w:rsidP="00095392">
      <w:pPr>
        <w:numPr>
          <w:ilvl w:val="0"/>
          <w:numId w:val="8"/>
        </w:numPr>
        <w:rPr>
          <w:lang w:val="en-US"/>
        </w:rPr>
      </w:pPr>
      <w:r w:rsidRPr="00095392">
        <w:rPr>
          <w:lang w:val="en-US"/>
        </w:rPr>
        <w:t xml:space="preserve">This does not necessarily indicate financial problems because Marriott generates strong operating cash flow and does not need to hold excessive cash. </w:t>
      </w:r>
    </w:p>
    <w:p w14:paraId="666BFF7A" w14:textId="77777777" w:rsidR="00095392" w:rsidRPr="00095392" w:rsidRDefault="00000000" w:rsidP="00095392">
      <w:pPr>
        <w:rPr>
          <w:lang w:val="en-US"/>
        </w:rPr>
      </w:pPr>
      <w:r>
        <w:rPr>
          <w:lang w:val="en-US"/>
        </w:rPr>
        <w:pict w14:anchorId="1514FED4">
          <v:rect id="_x0000_i1030" style="width:0;height:1.5pt" o:hralign="center" o:hrstd="t" o:hr="t" fillcolor="#a0a0a0" stroked="f"/>
        </w:pict>
      </w:r>
    </w:p>
    <w:p w14:paraId="5834E0CF" w14:textId="77777777" w:rsidR="00095392" w:rsidRPr="00095392" w:rsidRDefault="00095392" w:rsidP="00095392">
      <w:pPr>
        <w:rPr>
          <w:b/>
          <w:bCs/>
          <w:lang w:val="en-US"/>
        </w:rPr>
      </w:pPr>
      <w:r w:rsidRPr="00095392">
        <w:rPr>
          <w:b/>
          <w:bCs/>
          <w:lang w:val="en-US"/>
        </w:rPr>
        <w:t>7. Asset Turnover</w:t>
      </w:r>
    </w:p>
    <w:p w14:paraId="7FA137D7" w14:textId="77777777" w:rsidR="00095392" w:rsidRPr="00095392" w:rsidRDefault="00095392" w:rsidP="00095392">
      <w:pPr>
        <w:rPr>
          <w:b/>
          <w:bCs/>
          <w:lang w:val="en-US"/>
        </w:rPr>
      </w:pPr>
      <w:r w:rsidRPr="00095392">
        <w:rPr>
          <w:b/>
          <w:bCs/>
          <w:lang w:val="en-US"/>
        </w:rPr>
        <w:t>What does it measure?</w:t>
      </w:r>
    </w:p>
    <w:p w14:paraId="66E840B8" w14:textId="77777777" w:rsidR="00095392" w:rsidRPr="00095392" w:rsidRDefault="00095392" w:rsidP="00095392">
      <w:pPr>
        <w:rPr>
          <w:lang w:val="en-US"/>
        </w:rPr>
      </w:pPr>
      <w:r w:rsidRPr="00095392">
        <w:rPr>
          <w:lang w:val="en-US"/>
        </w:rPr>
        <w:t xml:space="preserve">Asset Turnover measures </w:t>
      </w:r>
      <w:r w:rsidRPr="00095392">
        <w:rPr>
          <w:b/>
          <w:bCs/>
          <w:lang w:val="en-US"/>
        </w:rPr>
        <w:t>how efficiently the company uses its assets to generate revenue</w:t>
      </w:r>
      <w:r w:rsidRPr="00095392">
        <w:rPr>
          <w:lang w:val="en-US"/>
        </w:rPr>
        <w:t>.</w:t>
      </w:r>
    </w:p>
    <w:p w14:paraId="7707B85E" w14:textId="77777777" w:rsidR="00095392" w:rsidRPr="00095392" w:rsidRDefault="00095392" w:rsidP="00095392">
      <w:pPr>
        <w:rPr>
          <w:b/>
          <w:bCs/>
          <w:lang w:val="en-US"/>
        </w:rPr>
      </w:pPr>
      <w:r w:rsidRPr="00095392">
        <w:rPr>
          <w:b/>
          <w:bCs/>
          <w:lang w:val="en-US"/>
        </w:rPr>
        <w:t>Marriott results</w:t>
      </w:r>
    </w:p>
    <w:p w14:paraId="7E38F311" w14:textId="77777777" w:rsidR="00095392" w:rsidRPr="00095392" w:rsidRDefault="00095392" w:rsidP="00095392">
      <w:pPr>
        <w:rPr>
          <w:lang w:val="en-US"/>
        </w:rPr>
      </w:pPr>
      <w:r w:rsidRPr="00095392">
        <w:rPr>
          <w:lang w:val="en-US"/>
        </w:rPr>
        <w:t>0.54 → 0.84 → 0.92 → 0.96 → 0.95</w:t>
      </w:r>
    </w:p>
    <w:p w14:paraId="69D1DC5E" w14:textId="77777777" w:rsidR="00095392" w:rsidRPr="00095392" w:rsidRDefault="00095392" w:rsidP="00095392">
      <w:pPr>
        <w:rPr>
          <w:b/>
          <w:bCs/>
          <w:lang w:val="en-US"/>
        </w:rPr>
      </w:pPr>
      <w:r w:rsidRPr="00095392">
        <w:rPr>
          <w:b/>
          <w:bCs/>
          <w:lang w:val="en-US"/>
        </w:rPr>
        <w:t>Interpretation</w:t>
      </w:r>
    </w:p>
    <w:p w14:paraId="32FFF278" w14:textId="77777777" w:rsidR="00095392" w:rsidRPr="00095392" w:rsidRDefault="00095392" w:rsidP="00095392">
      <w:pPr>
        <w:numPr>
          <w:ilvl w:val="0"/>
          <w:numId w:val="9"/>
        </w:numPr>
        <w:rPr>
          <w:lang w:val="en-US"/>
        </w:rPr>
      </w:pPr>
      <w:r w:rsidRPr="00095392">
        <w:rPr>
          <w:lang w:val="en-US"/>
        </w:rPr>
        <w:t xml:space="preserve">Asset turnover improved significantly after 2021. </w:t>
      </w:r>
    </w:p>
    <w:p w14:paraId="2005A3C9" w14:textId="77777777" w:rsidR="00095392" w:rsidRPr="00095392" w:rsidRDefault="00095392" w:rsidP="00095392">
      <w:pPr>
        <w:numPr>
          <w:ilvl w:val="0"/>
          <w:numId w:val="9"/>
        </w:numPr>
        <w:rPr>
          <w:lang w:val="en-US"/>
        </w:rPr>
      </w:pPr>
      <w:r w:rsidRPr="00095392">
        <w:rPr>
          <w:lang w:val="en-US"/>
        </w:rPr>
        <w:t xml:space="preserve">This reflects the recovery in hotel demand and increased revenues. </w:t>
      </w:r>
    </w:p>
    <w:p w14:paraId="136926B8" w14:textId="77777777" w:rsidR="00095392" w:rsidRPr="00095392" w:rsidRDefault="00095392" w:rsidP="00095392">
      <w:pPr>
        <w:numPr>
          <w:ilvl w:val="0"/>
          <w:numId w:val="9"/>
        </w:numPr>
        <w:rPr>
          <w:lang w:val="en-US"/>
        </w:rPr>
      </w:pPr>
      <w:r w:rsidRPr="00095392">
        <w:rPr>
          <w:lang w:val="en-US"/>
        </w:rPr>
        <w:t xml:space="preserve">Marriott used its assets more efficiently over time. </w:t>
      </w:r>
    </w:p>
    <w:p w14:paraId="43FF2C5F" w14:textId="77777777" w:rsidR="00095392" w:rsidRPr="00095392" w:rsidRDefault="00000000" w:rsidP="00095392">
      <w:pPr>
        <w:rPr>
          <w:lang w:val="en-US"/>
        </w:rPr>
      </w:pPr>
      <w:r>
        <w:rPr>
          <w:lang w:val="en-US"/>
        </w:rPr>
        <w:pict w14:anchorId="6180C4C9">
          <v:rect id="_x0000_i1031" style="width:0;height:1.5pt" o:hralign="center" o:hrstd="t" o:hr="t" fillcolor="#a0a0a0" stroked="f"/>
        </w:pict>
      </w:r>
    </w:p>
    <w:p w14:paraId="2F5615F3" w14:textId="77777777" w:rsidR="00095392" w:rsidRPr="00095392" w:rsidRDefault="00095392" w:rsidP="00095392">
      <w:pPr>
        <w:rPr>
          <w:b/>
          <w:bCs/>
          <w:lang w:val="en-US"/>
        </w:rPr>
      </w:pPr>
      <w:r w:rsidRPr="00095392">
        <w:rPr>
          <w:b/>
          <w:bCs/>
          <w:lang w:val="en-US"/>
        </w:rPr>
        <w:t>8. Fixed Asset Turnover</w:t>
      </w:r>
    </w:p>
    <w:p w14:paraId="1494D22A" w14:textId="77777777" w:rsidR="00095392" w:rsidRPr="00095392" w:rsidRDefault="00095392" w:rsidP="00095392">
      <w:pPr>
        <w:rPr>
          <w:b/>
          <w:bCs/>
          <w:lang w:val="en-US"/>
        </w:rPr>
      </w:pPr>
      <w:r w:rsidRPr="00095392">
        <w:rPr>
          <w:b/>
          <w:bCs/>
          <w:lang w:val="en-US"/>
        </w:rPr>
        <w:lastRenderedPageBreak/>
        <w:t>What does it measure?</w:t>
      </w:r>
    </w:p>
    <w:p w14:paraId="2C4F424B" w14:textId="77777777" w:rsidR="00095392" w:rsidRPr="00095392" w:rsidRDefault="00095392" w:rsidP="00095392">
      <w:pPr>
        <w:rPr>
          <w:lang w:val="en-US"/>
        </w:rPr>
      </w:pPr>
      <w:r w:rsidRPr="00095392">
        <w:rPr>
          <w:lang w:val="en-US"/>
        </w:rPr>
        <w:t xml:space="preserve">Fixed Asset Turnover measures </w:t>
      </w:r>
      <w:r w:rsidRPr="00095392">
        <w:rPr>
          <w:b/>
          <w:bCs/>
          <w:lang w:val="en-US"/>
        </w:rPr>
        <w:t>how efficiently the company uses its property and equipment to generate revenue</w:t>
      </w:r>
      <w:r w:rsidRPr="00095392">
        <w:rPr>
          <w:lang w:val="en-US"/>
        </w:rPr>
        <w:t>.</w:t>
      </w:r>
    </w:p>
    <w:p w14:paraId="77AEF116" w14:textId="77777777" w:rsidR="00095392" w:rsidRPr="00095392" w:rsidRDefault="00095392" w:rsidP="00095392">
      <w:pPr>
        <w:rPr>
          <w:b/>
          <w:bCs/>
          <w:lang w:val="en-US"/>
        </w:rPr>
      </w:pPr>
      <w:r w:rsidRPr="00095392">
        <w:rPr>
          <w:b/>
          <w:bCs/>
          <w:lang w:val="en-US"/>
        </w:rPr>
        <w:t>Marriott results</w:t>
      </w:r>
    </w:p>
    <w:p w14:paraId="0D63E1E4" w14:textId="77777777" w:rsidR="00095392" w:rsidRPr="00095392" w:rsidRDefault="00095392" w:rsidP="00095392">
      <w:pPr>
        <w:rPr>
          <w:lang w:val="en-US"/>
        </w:rPr>
      </w:pPr>
      <w:r w:rsidRPr="00095392">
        <w:rPr>
          <w:lang w:val="en-US"/>
        </w:rPr>
        <w:t>9.22 → 13.11 → 15.00 → 13.69 → 13.40</w:t>
      </w:r>
    </w:p>
    <w:p w14:paraId="4BDD95E9" w14:textId="77777777" w:rsidR="00095392" w:rsidRPr="00095392" w:rsidRDefault="00095392" w:rsidP="00095392">
      <w:pPr>
        <w:rPr>
          <w:b/>
          <w:bCs/>
          <w:lang w:val="en-US"/>
        </w:rPr>
      </w:pPr>
      <w:r w:rsidRPr="00095392">
        <w:rPr>
          <w:b/>
          <w:bCs/>
          <w:lang w:val="en-US"/>
        </w:rPr>
        <w:t>Interpretation</w:t>
      </w:r>
    </w:p>
    <w:p w14:paraId="0ECCDA53" w14:textId="77777777" w:rsidR="00095392" w:rsidRPr="00095392" w:rsidRDefault="00095392" w:rsidP="00095392">
      <w:pPr>
        <w:numPr>
          <w:ilvl w:val="0"/>
          <w:numId w:val="10"/>
        </w:numPr>
        <w:rPr>
          <w:lang w:val="en-US"/>
        </w:rPr>
      </w:pPr>
      <w:r w:rsidRPr="00095392">
        <w:rPr>
          <w:lang w:val="en-US"/>
        </w:rPr>
        <w:t xml:space="preserve">The ratio increased strongly after 2021. </w:t>
      </w:r>
    </w:p>
    <w:p w14:paraId="63E04AFD" w14:textId="77777777" w:rsidR="00095392" w:rsidRPr="00095392" w:rsidRDefault="00095392" w:rsidP="00095392">
      <w:pPr>
        <w:numPr>
          <w:ilvl w:val="0"/>
          <w:numId w:val="10"/>
        </w:numPr>
        <w:rPr>
          <w:lang w:val="en-US"/>
        </w:rPr>
      </w:pPr>
      <w:r w:rsidRPr="00095392">
        <w:rPr>
          <w:b/>
          <w:bCs/>
          <w:lang w:val="en-US"/>
        </w:rPr>
        <w:t>2023 achieved the highest efficiency.</w:t>
      </w:r>
      <w:r w:rsidRPr="00095392">
        <w:rPr>
          <w:lang w:val="en-US"/>
        </w:rPr>
        <w:t xml:space="preserve"> </w:t>
      </w:r>
    </w:p>
    <w:p w14:paraId="2EA9A587" w14:textId="77777777" w:rsidR="00095392" w:rsidRPr="00095392" w:rsidRDefault="00095392" w:rsidP="00095392">
      <w:pPr>
        <w:numPr>
          <w:ilvl w:val="0"/>
          <w:numId w:val="10"/>
        </w:numPr>
        <w:rPr>
          <w:lang w:val="en-US"/>
        </w:rPr>
      </w:pPr>
      <w:r w:rsidRPr="00095392">
        <w:rPr>
          <w:lang w:val="en-US"/>
        </w:rPr>
        <w:t xml:space="preserve">Small decreases in 2024 and 2025 suggest Marriott invested in additional assets while revenue growth slowed slightly. </w:t>
      </w:r>
    </w:p>
    <w:p w14:paraId="3D3FE8CF" w14:textId="77777777" w:rsidR="00095392" w:rsidRPr="00095392" w:rsidRDefault="00095392" w:rsidP="00095392">
      <w:pPr>
        <w:numPr>
          <w:ilvl w:val="0"/>
          <w:numId w:val="10"/>
        </w:numPr>
        <w:rPr>
          <w:lang w:val="en-US"/>
        </w:rPr>
      </w:pPr>
      <w:r w:rsidRPr="00095392">
        <w:rPr>
          <w:lang w:val="en-US"/>
        </w:rPr>
        <w:t xml:space="preserve">Overall, Marriott continues to use its fixed assets efficiently. </w:t>
      </w:r>
    </w:p>
    <w:p w14:paraId="57D332F3" w14:textId="77777777" w:rsidR="00095392" w:rsidRPr="00095392" w:rsidRDefault="00000000" w:rsidP="00095392">
      <w:pPr>
        <w:rPr>
          <w:lang w:val="en-US"/>
        </w:rPr>
      </w:pPr>
      <w:r>
        <w:rPr>
          <w:lang w:val="en-US"/>
        </w:rPr>
        <w:pict w14:anchorId="240A2E95">
          <v:rect id="_x0000_i1032" style="width:0;height:1.5pt" o:hralign="center" o:hrstd="t" o:hr="t" fillcolor="#a0a0a0" stroked="f"/>
        </w:pict>
      </w:r>
    </w:p>
    <w:p w14:paraId="5C5687BE" w14:textId="77777777" w:rsidR="00095392" w:rsidRPr="00095392" w:rsidRDefault="00095392" w:rsidP="00095392">
      <w:pPr>
        <w:rPr>
          <w:b/>
          <w:bCs/>
          <w:lang w:val="en-US"/>
        </w:rPr>
      </w:pPr>
      <w:r w:rsidRPr="00095392">
        <w:rPr>
          <w:b/>
          <w:bCs/>
          <w:lang w:val="en-US"/>
        </w:rPr>
        <w:t>9. Interest Coverage</w:t>
      </w:r>
    </w:p>
    <w:p w14:paraId="7EA25A56" w14:textId="77777777" w:rsidR="00095392" w:rsidRPr="00095392" w:rsidRDefault="00095392" w:rsidP="00095392">
      <w:pPr>
        <w:rPr>
          <w:b/>
          <w:bCs/>
          <w:lang w:val="en-US"/>
        </w:rPr>
      </w:pPr>
      <w:r w:rsidRPr="00095392">
        <w:rPr>
          <w:b/>
          <w:bCs/>
          <w:lang w:val="en-US"/>
        </w:rPr>
        <w:t>What does it measure?</w:t>
      </w:r>
    </w:p>
    <w:p w14:paraId="35709F09" w14:textId="77777777" w:rsidR="00095392" w:rsidRPr="00095392" w:rsidRDefault="00095392" w:rsidP="00095392">
      <w:pPr>
        <w:rPr>
          <w:lang w:val="en-US"/>
        </w:rPr>
      </w:pPr>
      <w:r w:rsidRPr="00095392">
        <w:rPr>
          <w:lang w:val="en-US"/>
        </w:rPr>
        <w:t xml:space="preserve">Interest Coverage shows </w:t>
      </w:r>
      <w:r w:rsidRPr="00095392">
        <w:rPr>
          <w:b/>
          <w:bCs/>
          <w:lang w:val="en-US"/>
        </w:rPr>
        <w:t>how many times operating profit can cover interest expenses</w:t>
      </w:r>
      <w:r w:rsidRPr="00095392">
        <w:rPr>
          <w:lang w:val="en-US"/>
        </w:rPr>
        <w:t>.</w:t>
      </w:r>
    </w:p>
    <w:p w14:paraId="3C91F79C" w14:textId="77777777" w:rsidR="00095392" w:rsidRPr="00095392" w:rsidRDefault="00095392" w:rsidP="00095392">
      <w:pPr>
        <w:rPr>
          <w:lang w:val="en-US"/>
        </w:rPr>
      </w:pPr>
      <w:r w:rsidRPr="00095392">
        <w:rPr>
          <w:lang w:val="en-US"/>
        </w:rPr>
        <w:t>Higher values indicate lower financial risk.</w:t>
      </w:r>
    </w:p>
    <w:p w14:paraId="46D4DF42" w14:textId="77777777" w:rsidR="00095392" w:rsidRPr="00095392" w:rsidRDefault="00095392" w:rsidP="00095392">
      <w:pPr>
        <w:rPr>
          <w:b/>
          <w:bCs/>
          <w:lang w:val="en-US"/>
        </w:rPr>
      </w:pPr>
      <w:r w:rsidRPr="00095392">
        <w:rPr>
          <w:b/>
          <w:bCs/>
          <w:lang w:val="en-US"/>
        </w:rPr>
        <w:t>Marriott results</w:t>
      </w:r>
    </w:p>
    <w:p w14:paraId="6F85BAAB" w14:textId="77777777" w:rsidR="00095392" w:rsidRPr="00095392" w:rsidRDefault="00095392" w:rsidP="00095392">
      <w:pPr>
        <w:rPr>
          <w:lang w:val="en-US"/>
        </w:rPr>
      </w:pPr>
      <w:r w:rsidRPr="00095392">
        <w:rPr>
          <w:lang w:val="en-US"/>
        </w:rPr>
        <w:t>4.48 → 9.21 → 7.36 → 5.87 → 5.61</w:t>
      </w:r>
    </w:p>
    <w:p w14:paraId="78572E33" w14:textId="77777777" w:rsidR="00095392" w:rsidRPr="00095392" w:rsidRDefault="00095392" w:rsidP="00095392">
      <w:pPr>
        <w:rPr>
          <w:b/>
          <w:bCs/>
          <w:lang w:val="en-US"/>
        </w:rPr>
      </w:pPr>
      <w:r w:rsidRPr="00095392">
        <w:rPr>
          <w:b/>
          <w:bCs/>
          <w:lang w:val="en-US"/>
        </w:rPr>
        <w:t>Interpretation</w:t>
      </w:r>
    </w:p>
    <w:p w14:paraId="439452F0" w14:textId="77777777" w:rsidR="00095392" w:rsidRPr="00095392" w:rsidRDefault="00095392" w:rsidP="00095392">
      <w:pPr>
        <w:numPr>
          <w:ilvl w:val="0"/>
          <w:numId w:val="11"/>
        </w:numPr>
        <w:rPr>
          <w:lang w:val="en-US"/>
        </w:rPr>
      </w:pPr>
      <w:r w:rsidRPr="00095392">
        <w:rPr>
          <w:lang w:val="en-US"/>
        </w:rPr>
        <w:t xml:space="preserve">Interest coverage improved significantly in 2022. </w:t>
      </w:r>
    </w:p>
    <w:p w14:paraId="2C3E9722" w14:textId="77777777" w:rsidR="00095392" w:rsidRPr="00095392" w:rsidRDefault="00095392" w:rsidP="00095392">
      <w:pPr>
        <w:numPr>
          <w:ilvl w:val="0"/>
          <w:numId w:val="11"/>
        </w:numPr>
        <w:rPr>
          <w:lang w:val="en-US"/>
        </w:rPr>
      </w:pPr>
      <w:r w:rsidRPr="00095392">
        <w:rPr>
          <w:lang w:val="en-US"/>
        </w:rPr>
        <w:t xml:space="preserve">Although it declined after 2022, Marriott still generated more than five times enough operating profit to pay interest. </w:t>
      </w:r>
    </w:p>
    <w:p w14:paraId="7838B3F0" w14:textId="77777777" w:rsidR="00095392" w:rsidRPr="00095392" w:rsidRDefault="00095392" w:rsidP="00095392">
      <w:pPr>
        <w:numPr>
          <w:ilvl w:val="0"/>
          <w:numId w:val="11"/>
        </w:numPr>
        <w:rPr>
          <w:lang w:val="en-US"/>
        </w:rPr>
      </w:pPr>
      <w:r w:rsidRPr="00095392">
        <w:rPr>
          <w:lang w:val="en-US"/>
        </w:rPr>
        <w:t xml:space="preserve">This indicates a comfortable ability to service debt. </w:t>
      </w:r>
    </w:p>
    <w:p w14:paraId="325BEE0E" w14:textId="77777777" w:rsidR="00095392" w:rsidRPr="00095392" w:rsidRDefault="00000000" w:rsidP="00095392">
      <w:pPr>
        <w:rPr>
          <w:lang w:val="en-US"/>
        </w:rPr>
      </w:pPr>
      <w:r>
        <w:rPr>
          <w:lang w:val="en-US"/>
        </w:rPr>
        <w:pict w14:anchorId="35A9E29F">
          <v:rect id="_x0000_i1033" style="width:0;height:1.5pt" o:hralign="center" o:hrstd="t" o:hr="t" fillcolor="#a0a0a0" stroked="f"/>
        </w:pict>
      </w:r>
    </w:p>
    <w:p w14:paraId="0BC87045" w14:textId="77777777" w:rsidR="00095392" w:rsidRPr="00095392" w:rsidRDefault="00095392" w:rsidP="00095392">
      <w:pPr>
        <w:rPr>
          <w:b/>
          <w:bCs/>
          <w:lang w:val="en-US"/>
        </w:rPr>
      </w:pPr>
      <w:r w:rsidRPr="00095392">
        <w:rPr>
          <w:b/>
          <w:bCs/>
          <w:lang w:val="en-US"/>
        </w:rPr>
        <w:t>10. Debt-to-Equity Ratio</w:t>
      </w:r>
    </w:p>
    <w:p w14:paraId="2387D119" w14:textId="77777777" w:rsidR="00095392" w:rsidRPr="00095392" w:rsidRDefault="00095392" w:rsidP="00095392">
      <w:pPr>
        <w:rPr>
          <w:b/>
          <w:bCs/>
          <w:lang w:val="en-US"/>
        </w:rPr>
      </w:pPr>
      <w:r w:rsidRPr="00095392">
        <w:rPr>
          <w:b/>
          <w:bCs/>
          <w:lang w:val="en-US"/>
        </w:rPr>
        <w:t>What does it measure?</w:t>
      </w:r>
    </w:p>
    <w:p w14:paraId="2C6D713E" w14:textId="77777777" w:rsidR="00095392" w:rsidRPr="00095392" w:rsidRDefault="00095392" w:rsidP="00095392">
      <w:pPr>
        <w:rPr>
          <w:lang w:val="en-US"/>
        </w:rPr>
      </w:pPr>
      <w:r w:rsidRPr="00095392">
        <w:rPr>
          <w:lang w:val="en-US"/>
        </w:rPr>
        <w:t xml:space="preserve">Debt-to-Equity compares </w:t>
      </w:r>
      <w:r w:rsidRPr="00095392">
        <w:rPr>
          <w:b/>
          <w:bCs/>
          <w:lang w:val="en-US"/>
        </w:rPr>
        <w:t>the amount of debt with shareholders' equity</w:t>
      </w:r>
      <w:r w:rsidRPr="00095392">
        <w:rPr>
          <w:lang w:val="en-US"/>
        </w:rPr>
        <w:t>.</w:t>
      </w:r>
    </w:p>
    <w:p w14:paraId="7D9E2419" w14:textId="77777777" w:rsidR="00095392" w:rsidRPr="00095392" w:rsidRDefault="00095392" w:rsidP="00095392">
      <w:pPr>
        <w:rPr>
          <w:lang w:val="en-US"/>
        </w:rPr>
      </w:pPr>
      <w:r w:rsidRPr="00095392">
        <w:rPr>
          <w:lang w:val="en-US"/>
        </w:rPr>
        <w:t>Lower values generally indicate lower financial risk.</w:t>
      </w:r>
    </w:p>
    <w:p w14:paraId="36DBC559" w14:textId="77777777" w:rsidR="00095392" w:rsidRPr="00095392" w:rsidRDefault="00095392" w:rsidP="00095392">
      <w:pPr>
        <w:rPr>
          <w:b/>
          <w:bCs/>
          <w:lang w:val="en-US"/>
        </w:rPr>
      </w:pPr>
      <w:r w:rsidRPr="00095392">
        <w:rPr>
          <w:b/>
          <w:bCs/>
          <w:lang w:val="en-US"/>
        </w:rPr>
        <w:t>Marriott results</w:t>
      </w:r>
    </w:p>
    <w:p w14:paraId="282EC153" w14:textId="77777777" w:rsidR="00095392" w:rsidRPr="00095392" w:rsidRDefault="00095392" w:rsidP="00095392">
      <w:pPr>
        <w:rPr>
          <w:lang w:val="en-US"/>
        </w:rPr>
      </w:pPr>
      <w:r w:rsidRPr="00095392">
        <w:rPr>
          <w:lang w:val="en-US"/>
        </w:rPr>
        <w:t>7.17 → 17.72 → 17.41 → 4.83 → 4.30</w:t>
      </w:r>
    </w:p>
    <w:p w14:paraId="24BB4666" w14:textId="77777777" w:rsidR="00095392" w:rsidRPr="00095392" w:rsidRDefault="00095392" w:rsidP="00095392">
      <w:pPr>
        <w:rPr>
          <w:b/>
          <w:bCs/>
          <w:lang w:val="en-US"/>
        </w:rPr>
      </w:pPr>
      <w:r w:rsidRPr="00095392">
        <w:rPr>
          <w:b/>
          <w:bCs/>
          <w:lang w:val="en-US"/>
        </w:rPr>
        <w:lastRenderedPageBreak/>
        <w:t>Interpretation</w:t>
      </w:r>
    </w:p>
    <w:p w14:paraId="3F888834" w14:textId="77777777" w:rsidR="00095392" w:rsidRPr="00095392" w:rsidRDefault="00095392" w:rsidP="00095392">
      <w:pPr>
        <w:numPr>
          <w:ilvl w:val="0"/>
          <w:numId w:val="12"/>
        </w:numPr>
        <w:rPr>
          <w:lang w:val="en-US"/>
        </w:rPr>
      </w:pPr>
      <w:r w:rsidRPr="00095392">
        <w:rPr>
          <w:lang w:val="en-US"/>
        </w:rPr>
        <w:t xml:space="preserve">Marriott's debt-to-equity ratio is relatively high throughout the period. </w:t>
      </w:r>
    </w:p>
    <w:p w14:paraId="73DE01DD" w14:textId="77777777" w:rsidR="00095392" w:rsidRPr="00095392" w:rsidRDefault="00095392" w:rsidP="00095392">
      <w:pPr>
        <w:numPr>
          <w:ilvl w:val="0"/>
          <w:numId w:val="12"/>
        </w:numPr>
        <w:rPr>
          <w:lang w:val="en-US"/>
        </w:rPr>
      </w:pPr>
      <w:r w:rsidRPr="00095392">
        <w:rPr>
          <w:lang w:val="en-US"/>
        </w:rPr>
        <w:t xml:space="preserve">The ratio peaked in </w:t>
      </w:r>
      <w:r w:rsidRPr="00095392">
        <w:rPr>
          <w:b/>
          <w:bCs/>
          <w:lang w:val="en-US"/>
        </w:rPr>
        <w:t>2022 and 2023</w:t>
      </w:r>
      <w:r w:rsidRPr="00095392">
        <w:rPr>
          <w:lang w:val="en-US"/>
        </w:rPr>
        <w:t xml:space="preserve">, indicating greater reliance on debt financing. </w:t>
      </w:r>
    </w:p>
    <w:p w14:paraId="26FA665C" w14:textId="77777777" w:rsidR="00095392" w:rsidRPr="00095392" w:rsidRDefault="00095392" w:rsidP="00095392">
      <w:pPr>
        <w:numPr>
          <w:ilvl w:val="0"/>
          <w:numId w:val="12"/>
        </w:numPr>
        <w:rPr>
          <w:lang w:val="en-US"/>
        </w:rPr>
      </w:pPr>
      <w:r w:rsidRPr="00095392">
        <w:rPr>
          <w:lang w:val="en-US"/>
        </w:rPr>
        <w:t xml:space="preserve">It improved considerably in 2024 and 2025. </w:t>
      </w:r>
    </w:p>
    <w:p w14:paraId="6F35A0A0" w14:textId="77777777" w:rsidR="00095392" w:rsidRPr="00095392" w:rsidRDefault="00095392" w:rsidP="00095392">
      <w:pPr>
        <w:numPr>
          <w:ilvl w:val="0"/>
          <w:numId w:val="12"/>
        </w:numPr>
        <w:rPr>
          <w:lang w:val="en-US"/>
        </w:rPr>
      </w:pPr>
      <w:r w:rsidRPr="00095392">
        <w:rPr>
          <w:lang w:val="en-US"/>
        </w:rPr>
        <w:t xml:space="preserve">Marriott's ratio is also affected by its </w:t>
      </w:r>
      <w:r w:rsidRPr="00095392">
        <w:rPr>
          <w:b/>
          <w:bCs/>
          <w:lang w:val="en-US"/>
        </w:rPr>
        <w:t xml:space="preserve">large share repurchase </w:t>
      </w:r>
      <w:proofErr w:type="spellStart"/>
      <w:r w:rsidRPr="00095392">
        <w:rPr>
          <w:b/>
          <w:bCs/>
          <w:lang w:val="en-US"/>
        </w:rPr>
        <w:t>programme</w:t>
      </w:r>
      <w:proofErr w:type="spellEnd"/>
      <w:r w:rsidRPr="00095392">
        <w:rPr>
          <w:lang w:val="en-US"/>
        </w:rPr>
        <w:t xml:space="preserve">, which reduces shareholders' equity and makes the ratio appear higher than for many companies. </w:t>
      </w:r>
    </w:p>
    <w:p w14:paraId="776005B8" w14:textId="77777777" w:rsidR="00095392" w:rsidRPr="00095392" w:rsidRDefault="00000000" w:rsidP="00095392">
      <w:pPr>
        <w:rPr>
          <w:lang w:val="en-US"/>
        </w:rPr>
      </w:pPr>
      <w:r>
        <w:rPr>
          <w:lang w:val="en-US"/>
        </w:rPr>
        <w:pict w14:anchorId="5167B518">
          <v:rect id="_x0000_i1034" style="width:0;height:1.5pt" o:hralign="center" o:hrstd="t" o:hr="t" fillcolor="#a0a0a0" stroked="f"/>
        </w:pict>
      </w:r>
    </w:p>
    <w:p w14:paraId="39C85DC1" w14:textId="77777777" w:rsidR="00095392" w:rsidRPr="00095392" w:rsidRDefault="00095392" w:rsidP="00095392">
      <w:pPr>
        <w:rPr>
          <w:b/>
          <w:bCs/>
          <w:lang w:val="en-US"/>
        </w:rPr>
      </w:pPr>
      <w:r w:rsidRPr="00095392">
        <w:rPr>
          <w:b/>
          <w:bCs/>
          <w:lang w:val="en-US"/>
        </w:rPr>
        <w:t>Overall conclusion</w:t>
      </w:r>
    </w:p>
    <w:p w14:paraId="56C17CF8" w14:textId="77777777" w:rsidR="00095392" w:rsidRPr="00095392" w:rsidRDefault="00095392" w:rsidP="00095392">
      <w:pPr>
        <w:rPr>
          <w:lang w:val="en-US"/>
        </w:rPr>
      </w:pPr>
      <w:r w:rsidRPr="00095392">
        <w:rPr>
          <w:lang w:val="en-US"/>
        </w:rPr>
        <w:t xml:space="preserve">Overall, Marriott demonstrated </w:t>
      </w:r>
      <w:r w:rsidRPr="00095392">
        <w:rPr>
          <w:b/>
          <w:bCs/>
          <w:lang w:val="en-US"/>
        </w:rPr>
        <w:t>strong profitability and improving operational efficiency</w:t>
      </w:r>
      <w:r w:rsidRPr="00095392">
        <w:rPr>
          <w:lang w:val="en-US"/>
        </w:rPr>
        <w:t xml:space="preserve"> between 2021 and 2025. The company recovered well from the pandemic, with the largest improvements occurring in </w:t>
      </w:r>
      <w:r w:rsidRPr="00095392">
        <w:rPr>
          <w:b/>
          <w:bCs/>
          <w:lang w:val="en-US"/>
        </w:rPr>
        <w:t>2022 and 2023</w:t>
      </w:r>
      <w:r w:rsidRPr="00095392">
        <w:rPr>
          <w:lang w:val="en-US"/>
        </w:rPr>
        <w:t>. Although liquidity ratios remained below 1.0, this is typical for Marriott's asset-light business model and strong cash generation. Leverage remained relatively high, but the company maintained a healthy interest coverage ratio, indicating it could comfortably meet its debt obligations. These results suggest Marriott remained financially resilient and continued to operate successfully during the five-year period.</w:t>
      </w:r>
    </w:p>
    <w:p w14:paraId="02D7DEE4" w14:textId="60D119F6" w:rsidR="00E02E12" w:rsidRDefault="00E02E12" w:rsidP="00095392">
      <w:pPr>
        <w:rPr>
          <w:lang w:val="en-US"/>
        </w:rPr>
      </w:pPr>
    </w:p>
    <w:p w14:paraId="34A74FB2" w14:textId="77777777" w:rsidR="0084656B" w:rsidRDefault="0084656B" w:rsidP="00095392">
      <w:pPr>
        <w:rPr>
          <w:lang w:val="en-US"/>
        </w:rPr>
      </w:pPr>
    </w:p>
    <w:p w14:paraId="479F4DFC" w14:textId="05FA885F" w:rsidR="0084656B" w:rsidRDefault="0084656B" w:rsidP="0084656B">
      <w:pPr>
        <w:rPr>
          <w:b/>
          <w:bCs/>
          <w:lang w:val="en-US"/>
        </w:rPr>
      </w:pPr>
      <w:r w:rsidRPr="0084656B">
        <w:rPr>
          <w:b/>
          <w:bCs/>
          <w:lang w:val="en-US"/>
        </w:rPr>
        <w:t>Interpretation</w:t>
      </w:r>
      <w:r w:rsidR="00A8784E">
        <w:rPr>
          <w:b/>
          <w:bCs/>
          <w:lang w:val="en-US"/>
        </w:rPr>
        <w:t xml:space="preserve"> Week 6</w:t>
      </w:r>
    </w:p>
    <w:p w14:paraId="76EE016C" w14:textId="15BFF4BF" w:rsidR="00A8784E" w:rsidRPr="00A8784E" w:rsidRDefault="00A8784E" w:rsidP="00A8784E">
      <w:pPr>
        <w:rPr>
          <w:b/>
          <w:bCs/>
          <w:lang w:val="en-US"/>
        </w:rPr>
      </w:pPr>
      <w:r w:rsidRPr="00A8784E">
        <w:rPr>
          <w:b/>
          <w:bCs/>
          <w:lang w:val="en-US"/>
        </w:rPr>
        <w:t>Additional financial ratios</w:t>
      </w:r>
    </w:p>
    <w:p w14:paraId="23B9846C" w14:textId="471FE220" w:rsidR="00A8784E" w:rsidRPr="00A8784E" w:rsidRDefault="00A8784E" w:rsidP="00A8784E">
      <w:pPr>
        <w:rPr>
          <w:b/>
          <w:bCs/>
          <w:lang w:val="en-U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6"/>
        <w:gridCol w:w="30"/>
        <w:gridCol w:w="3314"/>
        <w:gridCol w:w="3776"/>
      </w:tblGrid>
      <w:tr w:rsidR="00A8784E" w:rsidRPr="00A8784E" w14:paraId="6EFF40E0" w14:textId="77777777" w:rsidTr="00A8784E">
        <w:trPr>
          <w:tblHeader/>
          <w:tblCellSpacing w:w="15" w:type="dxa"/>
        </w:trPr>
        <w:tc>
          <w:tcPr>
            <w:tcW w:w="1881" w:type="dxa"/>
            <w:gridSpan w:val="2"/>
            <w:vAlign w:val="center"/>
            <w:hideMark/>
          </w:tcPr>
          <w:p w14:paraId="1F19EFBD" w14:textId="77777777" w:rsidR="00A8784E" w:rsidRPr="00A8784E" w:rsidRDefault="00A8784E" w:rsidP="00A8784E">
            <w:pPr>
              <w:rPr>
                <w:b/>
                <w:bCs/>
                <w:lang w:val="en-US"/>
              </w:rPr>
            </w:pPr>
            <w:r w:rsidRPr="00A8784E">
              <w:rPr>
                <w:b/>
                <w:bCs/>
                <w:lang w:val="en-US"/>
              </w:rPr>
              <w:t>Category</w:t>
            </w:r>
          </w:p>
        </w:tc>
        <w:tc>
          <w:tcPr>
            <w:tcW w:w="3284" w:type="dxa"/>
            <w:vAlign w:val="center"/>
            <w:hideMark/>
          </w:tcPr>
          <w:p w14:paraId="410EEA98" w14:textId="77777777" w:rsidR="00A8784E" w:rsidRPr="00A8784E" w:rsidRDefault="00A8784E" w:rsidP="00A8784E">
            <w:pPr>
              <w:rPr>
                <w:b/>
                <w:bCs/>
                <w:lang w:val="en-US"/>
              </w:rPr>
            </w:pPr>
            <w:r w:rsidRPr="00A8784E">
              <w:rPr>
                <w:b/>
                <w:bCs/>
                <w:lang w:val="en-US"/>
              </w:rPr>
              <w:t>Ratio</w:t>
            </w:r>
          </w:p>
        </w:tc>
        <w:tc>
          <w:tcPr>
            <w:tcW w:w="3731" w:type="dxa"/>
            <w:vAlign w:val="center"/>
            <w:hideMark/>
          </w:tcPr>
          <w:p w14:paraId="744AA740" w14:textId="77777777" w:rsidR="00A8784E" w:rsidRPr="00A8784E" w:rsidRDefault="00A8784E" w:rsidP="00A8784E">
            <w:pPr>
              <w:rPr>
                <w:b/>
                <w:bCs/>
                <w:lang w:val="en-US"/>
              </w:rPr>
            </w:pPr>
            <w:r w:rsidRPr="00A8784E">
              <w:rPr>
                <w:b/>
                <w:bCs/>
                <w:lang w:val="en-US"/>
              </w:rPr>
              <w:t>Formula</w:t>
            </w:r>
          </w:p>
        </w:tc>
      </w:tr>
      <w:tr w:rsidR="00A8784E" w:rsidRPr="00A8784E" w14:paraId="44A39AF3" w14:textId="77777777" w:rsidTr="00A8784E">
        <w:trPr>
          <w:tblCellSpacing w:w="15" w:type="dxa"/>
        </w:trPr>
        <w:tc>
          <w:tcPr>
            <w:tcW w:w="0" w:type="auto"/>
            <w:vAlign w:val="center"/>
            <w:hideMark/>
          </w:tcPr>
          <w:p w14:paraId="5168D0AD" w14:textId="77777777" w:rsidR="00A8784E" w:rsidRPr="00A8784E" w:rsidRDefault="00A8784E" w:rsidP="00A8784E">
            <w:pPr>
              <w:rPr>
                <w:lang w:val="en-US"/>
              </w:rPr>
            </w:pPr>
            <w:r w:rsidRPr="00A8784E">
              <w:rPr>
                <w:lang w:val="en-US"/>
              </w:rPr>
              <w:t>Investment</w:t>
            </w:r>
          </w:p>
        </w:tc>
        <w:tc>
          <w:tcPr>
            <w:tcW w:w="3314" w:type="dxa"/>
            <w:gridSpan w:val="2"/>
            <w:vAlign w:val="center"/>
            <w:hideMark/>
          </w:tcPr>
          <w:p w14:paraId="3D1A6E11" w14:textId="77777777" w:rsidR="00A8784E" w:rsidRPr="00A8784E" w:rsidRDefault="00A8784E" w:rsidP="00A8784E">
            <w:pPr>
              <w:rPr>
                <w:lang w:val="en-US"/>
              </w:rPr>
            </w:pPr>
            <w:r w:rsidRPr="00A8784E">
              <w:rPr>
                <w:lang w:val="en-US"/>
              </w:rPr>
              <w:t>Return on Equity (ROE)</w:t>
            </w:r>
          </w:p>
        </w:tc>
        <w:tc>
          <w:tcPr>
            <w:tcW w:w="3731" w:type="dxa"/>
            <w:vAlign w:val="center"/>
            <w:hideMark/>
          </w:tcPr>
          <w:p w14:paraId="39FD4743" w14:textId="77777777" w:rsidR="00A8784E" w:rsidRPr="00A8784E" w:rsidRDefault="00A8784E" w:rsidP="00A8784E">
            <w:pPr>
              <w:rPr>
                <w:lang w:val="en-US"/>
              </w:rPr>
            </w:pPr>
            <w:r w:rsidRPr="00A8784E">
              <w:rPr>
                <w:lang w:val="en-US"/>
              </w:rPr>
              <w:t>Net Income ÷ Average Equity</w:t>
            </w:r>
          </w:p>
        </w:tc>
      </w:tr>
      <w:tr w:rsidR="00A8784E" w:rsidRPr="00A8784E" w14:paraId="548EAF9F" w14:textId="77777777" w:rsidTr="00A8784E">
        <w:trPr>
          <w:tblCellSpacing w:w="15" w:type="dxa"/>
        </w:trPr>
        <w:tc>
          <w:tcPr>
            <w:tcW w:w="0" w:type="auto"/>
            <w:vAlign w:val="center"/>
            <w:hideMark/>
          </w:tcPr>
          <w:p w14:paraId="537C2C4D" w14:textId="77777777" w:rsidR="00A8784E" w:rsidRPr="00A8784E" w:rsidRDefault="00A8784E" w:rsidP="00A8784E">
            <w:pPr>
              <w:rPr>
                <w:lang w:val="en-US"/>
              </w:rPr>
            </w:pPr>
            <w:r w:rsidRPr="00A8784E">
              <w:rPr>
                <w:lang w:val="en-US"/>
              </w:rPr>
              <w:t>Investment</w:t>
            </w:r>
          </w:p>
        </w:tc>
        <w:tc>
          <w:tcPr>
            <w:tcW w:w="3314" w:type="dxa"/>
            <w:gridSpan w:val="2"/>
            <w:vAlign w:val="center"/>
            <w:hideMark/>
          </w:tcPr>
          <w:p w14:paraId="5DBC5F83" w14:textId="77777777" w:rsidR="00A8784E" w:rsidRPr="00A8784E" w:rsidRDefault="00A8784E" w:rsidP="00A8784E">
            <w:pPr>
              <w:rPr>
                <w:lang w:val="en-US"/>
              </w:rPr>
            </w:pPr>
            <w:r w:rsidRPr="00A8784E">
              <w:rPr>
                <w:lang w:val="en-US"/>
              </w:rPr>
              <w:t>Return on Assets (ROA)</w:t>
            </w:r>
          </w:p>
        </w:tc>
        <w:tc>
          <w:tcPr>
            <w:tcW w:w="3731" w:type="dxa"/>
            <w:vAlign w:val="center"/>
            <w:hideMark/>
          </w:tcPr>
          <w:p w14:paraId="1EA900C1" w14:textId="77777777" w:rsidR="00A8784E" w:rsidRPr="00A8784E" w:rsidRDefault="00A8784E" w:rsidP="00A8784E">
            <w:pPr>
              <w:rPr>
                <w:lang w:val="en-US"/>
              </w:rPr>
            </w:pPr>
            <w:r w:rsidRPr="00A8784E">
              <w:rPr>
                <w:lang w:val="en-US"/>
              </w:rPr>
              <w:t>Net Income ÷ Average Total Assets</w:t>
            </w:r>
          </w:p>
        </w:tc>
      </w:tr>
      <w:tr w:rsidR="00A8784E" w:rsidRPr="00A8784E" w14:paraId="7BCE6E67" w14:textId="77777777" w:rsidTr="00A8784E">
        <w:trPr>
          <w:tblCellSpacing w:w="15" w:type="dxa"/>
        </w:trPr>
        <w:tc>
          <w:tcPr>
            <w:tcW w:w="0" w:type="auto"/>
            <w:vAlign w:val="center"/>
            <w:hideMark/>
          </w:tcPr>
          <w:p w14:paraId="00F459DB" w14:textId="77777777" w:rsidR="00A8784E" w:rsidRPr="00A8784E" w:rsidRDefault="00A8784E" w:rsidP="00A8784E">
            <w:pPr>
              <w:rPr>
                <w:lang w:val="en-US"/>
              </w:rPr>
            </w:pPr>
            <w:r w:rsidRPr="00A8784E">
              <w:rPr>
                <w:lang w:val="en-US"/>
              </w:rPr>
              <w:t>Investment</w:t>
            </w:r>
          </w:p>
        </w:tc>
        <w:tc>
          <w:tcPr>
            <w:tcW w:w="3314" w:type="dxa"/>
            <w:gridSpan w:val="2"/>
            <w:vAlign w:val="center"/>
            <w:hideMark/>
          </w:tcPr>
          <w:p w14:paraId="3927DA09" w14:textId="77777777" w:rsidR="00A8784E" w:rsidRPr="00A8784E" w:rsidRDefault="00A8784E" w:rsidP="00A8784E">
            <w:pPr>
              <w:rPr>
                <w:lang w:val="en-US"/>
              </w:rPr>
            </w:pPr>
            <w:r w:rsidRPr="00A8784E">
              <w:rPr>
                <w:lang w:val="en-US"/>
              </w:rPr>
              <w:t>Price/Earnings (P/E)</w:t>
            </w:r>
          </w:p>
        </w:tc>
        <w:tc>
          <w:tcPr>
            <w:tcW w:w="3731" w:type="dxa"/>
            <w:vAlign w:val="center"/>
            <w:hideMark/>
          </w:tcPr>
          <w:p w14:paraId="48E45CF1" w14:textId="77777777" w:rsidR="00A8784E" w:rsidRPr="00A8784E" w:rsidRDefault="00A8784E" w:rsidP="00A8784E">
            <w:pPr>
              <w:rPr>
                <w:lang w:val="en-US"/>
              </w:rPr>
            </w:pPr>
            <w:r w:rsidRPr="00A8784E">
              <w:rPr>
                <w:lang w:val="en-US"/>
              </w:rPr>
              <w:t>Share Price ÷ EPS</w:t>
            </w:r>
          </w:p>
        </w:tc>
      </w:tr>
      <w:tr w:rsidR="00A8784E" w:rsidRPr="00A8784E" w14:paraId="78F2C478" w14:textId="77777777" w:rsidTr="00A8784E">
        <w:trPr>
          <w:tblCellSpacing w:w="15" w:type="dxa"/>
        </w:trPr>
        <w:tc>
          <w:tcPr>
            <w:tcW w:w="0" w:type="auto"/>
            <w:vAlign w:val="center"/>
            <w:hideMark/>
          </w:tcPr>
          <w:p w14:paraId="396E51FD" w14:textId="77777777" w:rsidR="00A8784E" w:rsidRPr="00A8784E" w:rsidRDefault="00A8784E" w:rsidP="00A8784E">
            <w:pPr>
              <w:rPr>
                <w:lang w:val="en-US"/>
              </w:rPr>
            </w:pPr>
            <w:r w:rsidRPr="00A8784E">
              <w:rPr>
                <w:lang w:val="en-US"/>
              </w:rPr>
              <w:t>Cash Flow</w:t>
            </w:r>
          </w:p>
        </w:tc>
        <w:tc>
          <w:tcPr>
            <w:tcW w:w="3314" w:type="dxa"/>
            <w:gridSpan w:val="2"/>
            <w:vAlign w:val="center"/>
            <w:hideMark/>
          </w:tcPr>
          <w:p w14:paraId="584C3864" w14:textId="77777777" w:rsidR="00A8784E" w:rsidRPr="00A8784E" w:rsidRDefault="00A8784E" w:rsidP="00A8784E">
            <w:pPr>
              <w:rPr>
                <w:lang w:val="en-US"/>
              </w:rPr>
            </w:pPr>
            <w:r w:rsidRPr="00A8784E">
              <w:rPr>
                <w:lang w:val="en-US"/>
              </w:rPr>
              <w:t>Operating Cash Flow Ratio</w:t>
            </w:r>
          </w:p>
        </w:tc>
        <w:tc>
          <w:tcPr>
            <w:tcW w:w="3731" w:type="dxa"/>
            <w:vAlign w:val="center"/>
            <w:hideMark/>
          </w:tcPr>
          <w:p w14:paraId="7F1C3A3A" w14:textId="77777777" w:rsidR="00A8784E" w:rsidRPr="00A8784E" w:rsidRDefault="00A8784E" w:rsidP="00A8784E">
            <w:pPr>
              <w:rPr>
                <w:lang w:val="en-US"/>
              </w:rPr>
            </w:pPr>
            <w:r w:rsidRPr="00A8784E">
              <w:rPr>
                <w:lang w:val="en-US"/>
              </w:rPr>
              <w:t>Operating Cash Flow ÷ Current Liabilities</w:t>
            </w:r>
          </w:p>
        </w:tc>
      </w:tr>
      <w:tr w:rsidR="00A8784E" w:rsidRPr="00A8784E" w14:paraId="027714FF" w14:textId="77777777" w:rsidTr="00A8784E">
        <w:trPr>
          <w:tblCellSpacing w:w="15" w:type="dxa"/>
        </w:trPr>
        <w:tc>
          <w:tcPr>
            <w:tcW w:w="0" w:type="auto"/>
            <w:vAlign w:val="center"/>
            <w:hideMark/>
          </w:tcPr>
          <w:p w14:paraId="1468241C" w14:textId="77777777" w:rsidR="00A8784E" w:rsidRPr="00A8784E" w:rsidRDefault="00A8784E" w:rsidP="00A8784E">
            <w:pPr>
              <w:rPr>
                <w:lang w:val="en-US"/>
              </w:rPr>
            </w:pPr>
            <w:r w:rsidRPr="00A8784E">
              <w:rPr>
                <w:lang w:val="en-US"/>
              </w:rPr>
              <w:t>Cash Flow</w:t>
            </w:r>
          </w:p>
        </w:tc>
        <w:tc>
          <w:tcPr>
            <w:tcW w:w="3314" w:type="dxa"/>
            <w:gridSpan w:val="2"/>
            <w:vAlign w:val="center"/>
            <w:hideMark/>
          </w:tcPr>
          <w:p w14:paraId="7A3E0B07" w14:textId="77777777" w:rsidR="00A8784E" w:rsidRPr="00A8784E" w:rsidRDefault="00A8784E" w:rsidP="00A8784E">
            <w:pPr>
              <w:rPr>
                <w:lang w:val="en-US"/>
              </w:rPr>
            </w:pPr>
            <w:r w:rsidRPr="00A8784E">
              <w:rPr>
                <w:lang w:val="en-US"/>
              </w:rPr>
              <w:t>Free Cash Flow Margin</w:t>
            </w:r>
          </w:p>
        </w:tc>
        <w:tc>
          <w:tcPr>
            <w:tcW w:w="3731" w:type="dxa"/>
            <w:vAlign w:val="center"/>
            <w:hideMark/>
          </w:tcPr>
          <w:p w14:paraId="393A08F9" w14:textId="77777777" w:rsidR="00A8784E" w:rsidRPr="00A8784E" w:rsidRDefault="00A8784E" w:rsidP="00A8784E">
            <w:pPr>
              <w:rPr>
                <w:lang w:val="en-US"/>
              </w:rPr>
            </w:pPr>
            <w:r w:rsidRPr="00A8784E">
              <w:rPr>
                <w:lang w:val="en-US"/>
              </w:rPr>
              <w:t>Free Cash Flow ÷ Revenue × 100</w:t>
            </w:r>
          </w:p>
        </w:tc>
      </w:tr>
    </w:tbl>
    <w:p w14:paraId="11A9AC92" w14:textId="77777777" w:rsidR="00A8784E" w:rsidRDefault="00A8784E" w:rsidP="0084656B">
      <w:pPr>
        <w:rPr>
          <w:b/>
          <w:bCs/>
          <w:lang w:val="en-US"/>
        </w:rPr>
      </w:pPr>
    </w:p>
    <w:p w14:paraId="3C0AF6CF" w14:textId="77777777" w:rsidR="00A8784E" w:rsidRDefault="00A8784E" w:rsidP="0084656B">
      <w:pPr>
        <w:rPr>
          <w:b/>
          <w:bCs/>
          <w:lang w:val="en-US"/>
        </w:rPr>
      </w:pPr>
    </w:p>
    <w:p w14:paraId="3FA58498" w14:textId="2887E5CA" w:rsidR="00A8784E" w:rsidRPr="006F1C5D" w:rsidRDefault="00A8784E" w:rsidP="0084656B">
      <w:pPr>
        <w:rPr>
          <w:i/>
          <w:iCs/>
        </w:rPr>
      </w:pPr>
      <w:r w:rsidRPr="006F1C5D">
        <w:rPr>
          <w:i/>
          <w:iCs/>
        </w:rPr>
        <w:lastRenderedPageBreak/>
        <w:t>Important: Marriott's ROE should be reported as "NM (Not Meaningful)" because shareholders' equity is negative due to extensive share repurchases rather than poor operating performance. This is a standard interpretation in financial analysis.</w:t>
      </w:r>
    </w:p>
    <w:p w14:paraId="6081641B" w14:textId="77777777" w:rsidR="00A8784E" w:rsidRPr="00CC40CC" w:rsidRDefault="00A8784E" w:rsidP="0084656B"/>
    <w:p w14:paraId="51031325" w14:textId="77777777" w:rsidR="008D36A8" w:rsidRPr="00CC40CC" w:rsidRDefault="008D36A8" w:rsidP="008D36A8">
      <w:pPr>
        <w:rPr>
          <w:lang w:val="en-US"/>
        </w:rPr>
      </w:pPr>
      <w:r w:rsidRPr="00CC40CC">
        <w:rPr>
          <w:lang w:val="en-US"/>
        </w:rPr>
        <w:t>1. Return on Equity (ROE)</w:t>
      </w:r>
    </w:p>
    <w:p w14:paraId="7E02629B" w14:textId="77777777" w:rsidR="008D36A8" w:rsidRPr="00CC40CC" w:rsidRDefault="008D36A8" w:rsidP="008D36A8">
      <w:pPr>
        <w:rPr>
          <w:lang w:val="en-US"/>
        </w:rPr>
      </w:pPr>
      <w:r w:rsidRPr="00CC40CC">
        <w:rPr>
          <w:lang w:val="en-US"/>
        </w:rPr>
        <w:t>What does it measure?</w:t>
      </w:r>
    </w:p>
    <w:p w14:paraId="3C8DD14A" w14:textId="77777777" w:rsidR="008D36A8" w:rsidRPr="00CC40CC" w:rsidRDefault="008D36A8" w:rsidP="008D36A8">
      <w:pPr>
        <w:rPr>
          <w:lang w:val="en-US"/>
        </w:rPr>
      </w:pPr>
      <w:r w:rsidRPr="00CC40CC">
        <w:rPr>
          <w:lang w:val="en-US"/>
        </w:rPr>
        <w:t>ROE measures how effectively a company uses shareholders' investment to generate profit. Generally, a higher ROE indicates better returns for investors.</w:t>
      </w:r>
    </w:p>
    <w:p w14:paraId="27A2DCD3" w14:textId="77777777" w:rsidR="008D36A8" w:rsidRPr="00CC40CC" w:rsidRDefault="008D36A8" w:rsidP="008D36A8">
      <w:pPr>
        <w:rPr>
          <w:lang w:val="en-US"/>
        </w:rPr>
      </w:pPr>
      <w:r w:rsidRPr="00CC40CC">
        <w:rPr>
          <w:lang w:val="en-US"/>
        </w:rPr>
        <w:t>Marriott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5"/>
        <w:gridCol w:w="540"/>
        <w:gridCol w:w="540"/>
        <w:gridCol w:w="540"/>
        <w:gridCol w:w="555"/>
      </w:tblGrid>
      <w:tr w:rsidR="008D36A8" w:rsidRPr="00CC40CC" w14:paraId="3704FD76" w14:textId="77777777">
        <w:trPr>
          <w:tblHeader/>
          <w:tblCellSpacing w:w="15" w:type="dxa"/>
        </w:trPr>
        <w:tc>
          <w:tcPr>
            <w:tcW w:w="0" w:type="auto"/>
            <w:vAlign w:val="center"/>
            <w:hideMark/>
          </w:tcPr>
          <w:p w14:paraId="2DFE556F" w14:textId="77777777" w:rsidR="008D36A8" w:rsidRPr="00CC40CC" w:rsidRDefault="008D36A8" w:rsidP="008D36A8">
            <w:pPr>
              <w:rPr>
                <w:lang w:val="en-US"/>
              </w:rPr>
            </w:pPr>
            <w:r w:rsidRPr="00CC40CC">
              <w:rPr>
                <w:lang w:val="en-US"/>
              </w:rPr>
              <w:t>2025</w:t>
            </w:r>
          </w:p>
        </w:tc>
        <w:tc>
          <w:tcPr>
            <w:tcW w:w="0" w:type="auto"/>
            <w:vAlign w:val="center"/>
            <w:hideMark/>
          </w:tcPr>
          <w:p w14:paraId="11204171" w14:textId="77777777" w:rsidR="008D36A8" w:rsidRPr="00CC40CC" w:rsidRDefault="008D36A8" w:rsidP="008D36A8">
            <w:pPr>
              <w:rPr>
                <w:lang w:val="en-US"/>
              </w:rPr>
            </w:pPr>
            <w:r w:rsidRPr="00CC40CC">
              <w:rPr>
                <w:lang w:val="en-US"/>
              </w:rPr>
              <w:t>2024</w:t>
            </w:r>
          </w:p>
        </w:tc>
        <w:tc>
          <w:tcPr>
            <w:tcW w:w="0" w:type="auto"/>
            <w:vAlign w:val="center"/>
            <w:hideMark/>
          </w:tcPr>
          <w:p w14:paraId="1D7B55C8" w14:textId="77777777" w:rsidR="008D36A8" w:rsidRPr="00CC40CC" w:rsidRDefault="008D36A8" w:rsidP="008D36A8">
            <w:pPr>
              <w:rPr>
                <w:lang w:val="en-US"/>
              </w:rPr>
            </w:pPr>
            <w:r w:rsidRPr="00CC40CC">
              <w:rPr>
                <w:lang w:val="en-US"/>
              </w:rPr>
              <w:t>2023</w:t>
            </w:r>
          </w:p>
        </w:tc>
        <w:tc>
          <w:tcPr>
            <w:tcW w:w="0" w:type="auto"/>
            <w:vAlign w:val="center"/>
            <w:hideMark/>
          </w:tcPr>
          <w:p w14:paraId="1F96A94F" w14:textId="77777777" w:rsidR="008D36A8" w:rsidRPr="00CC40CC" w:rsidRDefault="008D36A8" w:rsidP="008D36A8">
            <w:pPr>
              <w:rPr>
                <w:lang w:val="en-US"/>
              </w:rPr>
            </w:pPr>
            <w:r w:rsidRPr="00CC40CC">
              <w:rPr>
                <w:lang w:val="en-US"/>
              </w:rPr>
              <w:t>2022</w:t>
            </w:r>
          </w:p>
        </w:tc>
        <w:tc>
          <w:tcPr>
            <w:tcW w:w="0" w:type="auto"/>
            <w:vAlign w:val="center"/>
            <w:hideMark/>
          </w:tcPr>
          <w:p w14:paraId="71E9F265" w14:textId="77777777" w:rsidR="008D36A8" w:rsidRPr="00CC40CC" w:rsidRDefault="008D36A8" w:rsidP="008D36A8">
            <w:pPr>
              <w:rPr>
                <w:lang w:val="en-US"/>
              </w:rPr>
            </w:pPr>
            <w:r w:rsidRPr="00CC40CC">
              <w:rPr>
                <w:lang w:val="en-US"/>
              </w:rPr>
              <w:t>2021</w:t>
            </w:r>
          </w:p>
        </w:tc>
      </w:tr>
      <w:tr w:rsidR="008D36A8" w:rsidRPr="00CC40CC" w14:paraId="127DBD71" w14:textId="77777777">
        <w:trPr>
          <w:tblCellSpacing w:w="15" w:type="dxa"/>
        </w:trPr>
        <w:tc>
          <w:tcPr>
            <w:tcW w:w="0" w:type="auto"/>
            <w:vAlign w:val="center"/>
            <w:hideMark/>
          </w:tcPr>
          <w:p w14:paraId="557C5994" w14:textId="77777777" w:rsidR="008D36A8" w:rsidRPr="00CC40CC" w:rsidRDefault="008D36A8" w:rsidP="008D36A8">
            <w:pPr>
              <w:rPr>
                <w:lang w:val="en-US"/>
              </w:rPr>
            </w:pPr>
            <w:r w:rsidRPr="00CC40CC">
              <w:rPr>
                <w:lang w:val="en-US"/>
              </w:rPr>
              <w:t>NM</w:t>
            </w:r>
          </w:p>
        </w:tc>
        <w:tc>
          <w:tcPr>
            <w:tcW w:w="0" w:type="auto"/>
            <w:vAlign w:val="center"/>
            <w:hideMark/>
          </w:tcPr>
          <w:p w14:paraId="1E856812" w14:textId="77777777" w:rsidR="008D36A8" w:rsidRPr="00CC40CC" w:rsidRDefault="008D36A8" w:rsidP="008D36A8">
            <w:pPr>
              <w:rPr>
                <w:lang w:val="en-US"/>
              </w:rPr>
            </w:pPr>
            <w:r w:rsidRPr="00CC40CC">
              <w:rPr>
                <w:lang w:val="en-US"/>
              </w:rPr>
              <w:t>NM</w:t>
            </w:r>
          </w:p>
        </w:tc>
        <w:tc>
          <w:tcPr>
            <w:tcW w:w="0" w:type="auto"/>
            <w:vAlign w:val="center"/>
            <w:hideMark/>
          </w:tcPr>
          <w:p w14:paraId="7EF64431" w14:textId="77777777" w:rsidR="008D36A8" w:rsidRPr="00CC40CC" w:rsidRDefault="008D36A8" w:rsidP="008D36A8">
            <w:pPr>
              <w:rPr>
                <w:lang w:val="en-US"/>
              </w:rPr>
            </w:pPr>
            <w:r w:rsidRPr="00CC40CC">
              <w:rPr>
                <w:lang w:val="en-US"/>
              </w:rPr>
              <w:t>NM</w:t>
            </w:r>
          </w:p>
        </w:tc>
        <w:tc>
          <w:tcPr>
            <w:tcW w:w="0" w:type="auto"/>
            <w:vAlign w:val="center"/>
            <w:hideMark/>
          </w:tcPr>
          <w:p w14:paraId="48A2FAD8" w14:textId="77777777" w:rsidR="008D36A8" w:rsidRPr="00CC40CC" w:rsidRDefault="008D36A8" w:rsidP="008D36A8">
            <w:pPr>
              <w:rPr>
                <w:lang w:val="en-US"/>
              </w:rPr>
            </w:pPr>
            <w:r w:rsidRPr="00CC40CC">
              <w:rPr>
                <w:lang w:val="en-US"/>
              </w:rPr>
              <w:t>NM</w:t>
            </w:r>
          </w:p>
        </w:tc>
        <w:tc>
          <w:tcPr>
            <w:tcW w:w="0" w:type="auto"/>
            <w:vAlign w:val="center"/>
            <w:hideMark/>
          </w:tcPr>
          <w:p w14:paraId="2F7E11CD" w14:textId="77777777" w:rsidR="008D36A8" w:rsidRPr="00CC40CC" w:rsidRDefault="008D36A8" w:rsidP="008D36A8">
            <w:pPr>
              <w:rPr>
                <w:lang w:val="en-US"/>
              </w:rPr>
            </w:pPr>
            <w:r w:rsidRPr="00CC40CC">
              <w:rPr>
                <w:lang w:val="en-US"/>
              </w:rPr>
              <w:t>NM</w:t>
            </w:r>
          </w:p>
        </w:tc>
      </w:tr>
    </w:tbl>
    <w:p w14:paraId="7CD954F7" w14:textId="77777777" w:rsidR="008D36A8" w:rsidRPr="00CC40CC" w:rsidRDefault="008D36A8" w:rsidP="008D36A8">
      <w:pPr>
        <w:rPr>
          <w:lang w:val="en-US"/>
        </w:rPr>
      </w:pPr>
      <w:r w:rsidRPr="00CC40CC">
        <w:rPr>
          <w:lang w:val="en-US"/>
        </w:rPr>
        <w:t>Interpretation</w:t>
      </w:r>
    </w:p>
    <w:p w14:paraId="389D7B6C" w14:textId="77777777" w:rsidR="008D36A8" w:rsidRPr="00CC40CC" w:rsidRDefault="008D36A8" w:rsidP="008D36A8">
      <w:pPr>
        <w:rPr>
          <w:lang w:val="en-US"/>
        </w:rPr>
      </w:pPr>
      <w:r w:rsidRPr="00CC40CC">
        <w:rPr>
          <w:lang w:val="en-US"/>
        </w:rPr>
        <w:t xml:space="preserve">ROE is reported as Not Meaningful (NM) because Marriott had negative shareholders' equity during the five-year period. This resulted mainly from the company's large share repurchase </w:t>
      </w:r>
      <w:proofErr w:type="spellStart"/>
      <w:r w:rsidRPr="00CC40CC">
        <w:rPr>
          <w:lang w:val="en-US"/>
        </w:rPr>
        <w:t>programme</w:t>
      </w:r>
      <w:proofErr w:type="spellEnd"/>
      <w:r w:rsidRPr="00CC40CC">
        <w:rPr>
          <w:lang w:val="en-US"/>
        </w:rPr>
        <w:t xml:space="preserve"> rather than poor financial performance. Therefore, ROE would provide misleading results and should not be used to evaluate Marriott's profitability.</w:t>
      </w:r>
    </w:p>
    <w:p w14:paraId="0C94A319" w14:textId="77777777" w:rsidR="008D36A8" w:rsidRPr="00CC40CC" w:rsidRDefault="00000000" w:rsidP="008D36A8">
      <w:pPr>
        <w:rPr>
          <w:lang w:val="en-US"/>
        </w:rPr>
      </w:pPr>
      <w:r>
        <w:rPr>
          <w:lang w:val="en-US"/>
        </w:rPr>
        <w:pict w14:anchorId="548BD48F">
          <v:rect id="_x0000_i1035" style="width:0;height:1.5pt" o:hralign="center" o:hrstd="t" o:hr="t" fillcolor="#a0a0a0" stroked="f"/>
        </w:pict>
      </w:r>
    </w:p>
    <w:p w14:paraId="3D41A6C9" w14:textId="77777777" w:rsidR="008D36A8" w:rsidRPr="00CC40CC" w:rsidRDefault="008D36A8" w:rsidP="008D36A8">
      <w:pPr>
        <w:rPr>
          <w:lang w:val="en-US"/>
        </w:rPr>
      </w:pPr>
      <w:r w:rsidRPr="00CC40CC">
        <w:rPr>
          <w:lang w:val="en-US"/>
        </w:rPr>
        <w:t>2. Return on Assets (ROA)</w:t>
      </w:r>
    </w:p>
    <w:p w14:paraId="1AA84969" w14:textId="77777777" w:rsidR="008D36A8" w:rsidRPr="00CC40CC" w:rsidRDefault="008D36A8" w:rsidP="008D36A8">
      <w:pPr>
        <w:rPr>
          <w:lang w:val="en-US"/>
        </w:rPr>
      </w:pPr>
      <w:r w:rsidRPr="00CC40CC">
        <w:rPr>
          <w:lang w:val="en-US"/>
        </w:rPr>
        <w:t>What does it measure?</w:t>
      </w:r>
    </w:p>
    <w:p w14:paraId="4514F332" w14:textId="77777777" w:rsidR="008D36A8" w:rsidRPr="00CC40CC" w:rsidRDefault="008D36A8" w:rsidP="008D36A8">
      <w:pPr>
        <w:rPr>
          <w:lang w:val="en-US"/>
        </w:rPr>
      </w:pPr>
      <w:r w:rsidRPr="00CC40CC">
        <w:rPr>
          <w:lang w:val="en-US"/>
        </w:rPr>
        <w:t>ROA shows how efficiently the company uses its total assets to generate profit.</w:t>
      </w:r>
    </w:p>
    <w:p w14:paraId="4FC2ABE4" w14:textId="77777777" w:rsidR="008D36A8" w:rsidRPr="00CC40CC" w:rsidRDefault="008D36A8" w:rsidP="008D36A8">
      <w:pPr>
        <w:rPr>
          <w:lang w:val="en-US"/>
        </w:rPr>
      </w:pPr>
      <w:r w:rsidRPr="00CC40CC">
        <w:rPr>
          <w:lang w:val="en-US"/>
        </w:rPr>
        <w:t>Marriott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5"/>
        <w:gridCol w:w="560"/>
        <w:gridCol w:w="680"/>
        <w:gridCol w:w="560"/>
        <w:gridCol w:w="575"/>
      </w:tblGrid>
      <w:tr w:rsidR="008D36A8" w:rsidRPr="00CC40CC" w14:paraId="33C7CA30" w14:textId="77777777">
        <w:trPr>
          <w:tblHeader/>
          <w:tblCellSpacing w:w="15" w:type="dxa"/>
        </w:trPr>
        <w:tc>
          <w:tcPr>
            <w:tcW w:w="0" w:type="auto"/>
            <w:vAlign w:val="center"/>
            <w:hideMark/>
          </w:tcPr>
          <w:p w14:paraId="7A4924CA" w14:textId="77777777" w:rsidR="008D36A8" w:rsidRPr="00CC40CC" w:rsidRDefault="008D36A8" w:rsidP="008D36A8">
            <w:pPr>
              <w:rPr>
                <w:lang w:val="en-US"/>
              </w:rPr>
            </w:pPr>
            <w:r w:rsidRPr="00CC40CC">
              <w:rPr>
                <w:lang w:val="en-US"/>
              </w:rPr>
              <w:t>2021</w:t>
            </w:r>
          </w:p>
        </w:tc>
        <w:tc>
          <w:tcPr>
            <w:tcW w:w="0" w:type="auto"/>
            <w:vAlign w:val="center"/>
            <w:hideMark/>
          </w:tcPr>
          <w:p w14:paraId="631546DA" w14:textId="77777777" w:rsidR="008D36A8" w:rsidRPr="00CC40CC" w:rsidRDefault="008D36A8" w:rsidP="008D36A8">
            <w:pPr>
              <w:rPr>
                <w:lang w:val="en-US"/>
              </w:rPr>
            </w:pPr>
            <w:r w:rsidRPr="00CC40CC">
              <w:rPr>
                <w:lang w:val="en-US"/>
              </w:rPr>
              <w:t>2022</w:t>
            </w:r>
          </w:p>
        </w:tc>
        <w:tc>
          <w:tcPr>
            <w:tcW w:w="0" w:type="auto"/>
            <w:vAlign w:val="center"/>
            <w:hideMark/>
          </w:tcPr>
          <w:p w14:paraId="424C0192" w14:textId="77777777" w:rsidR="008D36A8" w:rsidRPr="00CC40CC" w:rsidRDefault="008D36A8" w:rsidP="008D36A8">
            <w:pPr>
              <w:rPr>
                <w:lang w:val="en-US"/>
              </w:rPr>
            </w:pPr>
            <w:r w:rsidRPr="00CC40CC">
              <w:rPr>
                <w:lang w:val="en-US"/>
              </w:rPr>
              <w:t>2023</w:t>
            </w:r>
          </w:p>
        </w:tc>
        <w:tc>
          <w:tcPr>
            <w:tcW w:w="0" w:type="auto"/>
            <w:vAlign w:val="center"/>
            <w:hideMark/>
          </w:tcPr>
          <w:p w14:paraId="78E518D9" w14:textId="77777777" w:rsidR="008D36A8" w:rsidRPr="00CC40CC" w:rsidRDefault="008D36A8" w:rsidP="008D36A8">
            <w:pPr>
              <w:rPr>
                <w:lang w:val="en-US"/>
              </w:rPr>
            </w:pPr>
            <w:r w:rsidRPr="00CC40CC">
              <w:rPr>
                <w:lang w:val="en-US"/>
              </w:rPr>
              <w:t>2024</w:t>
            </w:r>
          </w:p>
        </w:tc>
        <w:tc>
          <w:tcPr>
            <w:tcW w:w="0" w:type="auto"/>
            <w:vAlign w:val="center"/>
            <w:hideMark/>
          </w:tcPr>
          <w:p w14:paraId="07F742BC" w14:textId="77777777" w:rsidR="008D36A8" w:rsidRPr="00CC40CC" w:rsidRDefault="008D36A8" w:rsidP="008D36A8">
            <w:pPr>
              <w:rPr>
                <w:lang w:val="en-US"/>
              </w:rPr>
            </w:pPr>
            <w:r w:rsidRPr="00CC40CC">
              <w:rPr>
                <w:lang w:val="en-US"/>
              </w:rPr>
              <w:t>2025</w:t>
            </w:r>
          </w:p>
        </w:tc>
      </w:tr>
      <w:tr w:rsidR="008D36A8" w:rsidRPr="00CC40CC" w14:paraId="064A0C75" w14:textId="77777777">
        <w:trPr>
          <w:tblCellSpacing w:w="15" w:type="dxa"/>
        </w:trPr>
        <w:tc>
          <w:tcPr>
            <w:tcW w:w="0" w:type="auto"/>
            <w:vAlign w:val="center"/>
            <w:hideMark/>
          </w:tcPr>
          <w:p w14:paraId="12A46D81" w14:textId="77777777" w:rsidR="008D36A8" w:rsidRPr="00CC40CC" w:rsidRDefault="008D36A8" w:rsidP="008D36A8">
            <w:pPr>
              <w:rPr>
                <w:lang w:val="en-US"/>
              </w:rPr>
            </w:pPr>
            <w:r w:rsidRPr="00CC40CC">
              <w:rPr>
                <w:lang w:val="en-US"/>
              </w:rPr>
              <w:t>4.8%</w:t>
            </w:r>
          </w:p>
        </w:tc>
        <w:tc>
          <w:tcPr>
            <w:tcW w:w="0" w:type="auto"/>
            <w:vAlign w:val="center"/>
            <w:hideMark/>
          </w:tcPr>
          <w:p w14:paraId="4909AE14" w14:textId="77777777" w:rsidR="008D36A8" w:rsidRPr="00CC40CC" w:rsidRDefault="008D36A8" w:rsidP="008D36A8">
            <w:pPr>
              <w:rPr>
                <w:lang w:val="en-US"/>
              </w:rPr>
            </w:pPr>
            <w:r w:rsidRPr="00CC40CC">
              <w:rPr>
                <w:lang w:val="en-US"/>
              </w:rPr>
              <w:t>9.2%</w:t>
            </w:r>
          </w:p>
        </w:tc>
        <w:tc>
          <w:tcPr>
            <w:tcW w:w="0" w:type="auto"/>
            <w:vAlign w:val="center"/>
            <w:hideMark/>
          </w:tcPr>
          <w:p w14:paraId="1368024C" w14:textId="77777777" w:rsidR="008D36A8" w:rsidRPr="00CC40CC" w:rsidRDefault="008D36A8" w:rsidP="008D36A8">
            <w:pPr>
              <w:rPr>
                <w:lang w:val="en-US"/>
              </w:rPr>
            </w:pPr>
            <w:r w:rsidRPr="00CC40CC">
              <w:rPr>
                <w:lang w:val="en-US"/>
              </w:rPr>
              <w:t>11.2%</w:t>
            </w:r>
          </w:p>
        </w:tc>
        <w:tc>
          <w:tcPr>
            <w:tcW w:w="0" w:type="auto"/>
            <w:vAlign w:val="center"/>
            <w:hideMark/>
          </w:tcPr>
          <w:p w14:paraId="182CC699" w14:textId="77777777" w:rsidR="008D36A8" w:rsidRPr="00CC40CC" w:rsidRDefault="008D36A8" w:rsidP="008D36A8">
            <w:pPr>
              <w:rPr>
                <w:lang w:val="en-US"/>
              </w:rPr>
            </w:pPr>
            <w:r w:rsidRPr="00CC40CC">
              <w:rPr>
                <w:lang w:val="en-US"/>
              </w:rPr>
              <w:t>8.8%</w:t>
            </w:r>
          </w:p>
        </w:tc>
        <w:tc>
          <w:tcPr>
            <w:tcW w:w="0" w:type="auto"/>
            <w:vAlign w:val="center"/>
            <w:hideMark/>
          </w:tcPr>
          <w:p w14:paraId="08CB9CC6" w14:textId="77777777" w:rsidR="008D36A8" w:rsidRPr="00CC40CC" w:rsidRDefault="008D36A8" w:rsidP="008D36A8">
            <w:pPr>
              <w:rPr>
                <w:lang w:val="en-US"/>
              </w:rPr>
            </w:pPr>
            <w:r w:rsidRPr="00CC40CC">
              <w:rPr>
                <w:lang w:val="en-US"/>
              </w:rPr>
              <w:t>9.4%</w:t>
            </w:r>
          </w:p>
        </w:tc>
      </w:tr>
    </w:tbl>
    <w:p w14:paraId="61CCA4A4" w14:textId="77777777" w:rsidR="008D36A8" w:rsidRPr="00CC40CC" w:rsidRDefault="008D36A8" w:rsidP="008D36A8">
      <w:pPr>
        <w:rPr>
          <w:lang w:val="en-US"/>
        </w:rPr>
      </w:pPr>
      <w:r w:rsidRPr="00CC40CC">
        <w:rPr>
          <w:lang w:val="en-US"/>
        </w:rPr>
        <w:t>Interpretation</w:t>
      </w:r>
    </w:p>
    <w:p w14:paraId="02D51401" w14:textId="77777777" w:rsidR="008D36A8" w:rsidRPr="00CC40CC" w:rsidRDefault="008D36A8" w:rsidP="008D36A8">
      <w:pPr>
        <w:numPr>
          <w:ilvl w:val="0"/>
          <w:numId w:val="18"/>
        </w:numPr>
        <w:rPr>
          <w:lang w:val="en-US"/>
        </w:rPr>
      </w:pPr>
      <w:r w:rsidRPr="00CC40CC">
        <w:rPr>
          <w:lang w:val="en-US"/>
        </w:rPr>
        <w:t xml:space="preserve">ROA almost doubled between 2021 (4.8%) and 2022 (9.2%) as Marriott recovered from the COVID-19 pandemic. </w:t>
      </w:r>
    </w:p>
    <w:p w14:paraId="436D1778" w14:textId="77777777" w:rsidR="008D36A8" w:rsidRPr="00CC40CC" w:rsidRDefault="008D36A8" w:rsidP="008D36A8">
      <w:pPr>
        <w:numPr>
          <w:ilvl w:val="0"/>
          <w:numId w:val="18"/>
        </w:numPr>
        <w:rPr>
          <w:lang w:val="en-US"/>
        </w:rPr>
      </w:pPr>
      <w:r w:rsidRPr="00CC40CC">
        <w:rPr>
          <w:lang w:val="en-US"/>
        </w:rPr>
        <w:t xml:space="preserve">The ratio reached its highest level of 11.2% in 2023, indicating the most efficient use of assets during the five-year period. </w:t>
      </w:r>
    </w:p>
    <w:p w14:paraId="4B2A3DC6" w14:textId="77777777" w:rsidR="008D36A8" w:rsidRPr="00CC40CC" w:rsidRDefault="008D36A8" w:rsidP="008D36A8">
      <w:pPr>
        <w:numPr>
          <w:ilvl w:val="0"/>
          <w:numId w:val="18"/>
        </w:numPr>
        <w:rPr>
          <w:lang w:val="en-US"/>
        </w:rPr>
      </w:pPr>
      <w:r w:rsidRPr="00CC40CC">
        <w:rPr>
          <w:lang w:val="en-US"/>
        </w:rPr>
        <w:t xml:space="preserve">ROA declined slightly to 8.8% in 2024, reflecting lower profitability. </w:t>
      </w:r>
    </w:p>
    <w:p w14:paraId="2E90A3FB" w14:textId="77777777" w:rsidR="008D36A8" w:rsidRPr="00CC40CC" w:rsidRDefault="008D36A8" w:rsidP="008D36A8">
      <w:pPr>
        <w:numPr>
          <w:ilvl w:val="0"/>
          <w:numId w:val="18"/>
        </w:numPr>
        <w:rPr>
          <w:lang w:val="en-US"/>
        </w:rPr>
      </w:pPr>
      <w:r w:rsidRPr="00CC40CC">
        <w:rPr>
          <w:lang w:val="en-US"/>
        </w:rPr>
        <w:t xml:space="preserve">A small improvement to 9.4% in 2025 suggests Marriott continued to generate strong returns from its assets. </w:t>
      </w:r>
    </w:p>
    <w:p w14:paraId="7DEF9FDC" w14:textId="77777777" w:rsidR="008D36A8" w:rsidRPr="00CC40CC" w:rsidRDefault="008D36A8" w:rsidP="008D36A8">
      <w:pPr>
        <w:rPr>
          <w:lang w:val="en-US"/>
        </w:rPr>
      </w:pPr>
      <w:r w:rsidRPr="00CC40CC">
        <w:rPr>
          <w:lang w:val="en-US"/>
        </w:rPr>
        <w:lastRenderedPageBreak/>
        <w:t xml:space="preserve">Key change: The most significant improvement occurred between 2021 and 2023, demonstrating a successful recovery in profitability and asset </w:t>
      </w:r>
      <w:proofErr w:type="spellStart"/>
      <w:r w:rsidRPr="00CC40CC">
        <w:rPr>
          <w:lang w:val="en-US"/>
        </w:rPr>
        <w:t>utilisation</w:t>
      </w:r>
      <w:proofErr w:type="spellEnd"/>
      <w:r w:rsidRPr="00CC40CC">
        <w:rPr>
          <w:lang w:val="en-US"/>
        </w:rPr>
        <w:t>.</w:t>
      </w:r>
    </w:p>
    <w:p w14:paraId="6CD4A64B" w14:textId="77777777" w:rsidR="008D36A8" w:rsidRPr="00CC40CC" w:rsidRDefault="00000000" w:rsidP="008D36A8">
      <w:pPr>
        <w:rPr>
          <w:lang w:val="en-US"/>
        </w:rPr>
      </w:pPr>
      <w:r>
        <w:rPr>
          <w:lang w:val="en-US"/>
        </w:rPr>
        <w:pict w14:anchorId="13664CEA">
          <v:rect id="_x0000_i1036" style="width:0;height:1.5pt" o:hralign="center" o:hrstd="t" o:hr="t" fillcolor="#a0a0a0" stroked="f"/>
        </w:pict>
      </w:r>
    </w:p>
    <w:p w14:paraId="34FC7053" w14:textId="77777777" w:rsidR="008D36A8" w:rsidRPr="00CC40CC" w:rsidRDefault="008D36A8" w:rsidP="008D36A8">
      <w:pPr>
        <w:rPr>
          <w:lang w:val="en-US"/>
        </w:rPr>
      </w:pPr>
      <w:r w:rsidRPr="00CC40CC">
        <w:rPr>
          <w:lang w:val="en-US"/>
        </w:rPr>
        <w:t>3. Price-to-Earnings (P/E) Ratio</w:t>
      </w:r>
    </w:p>
    <w:p w14:paraId="536DFB57" w14:textId="77777777" w:rsidR="008D36A8" w:rsidRPr="00CC40CC" w:rsidRDefault="008D36A8" w:rsidP="008D36A8">
      <w:pPr>
        <w:rPr>
          <w:lang w:val="en-US"/>
        </w:rPr>
      </w:pPr>
      <w:r w:rsidRPr="00CC40CC">
        <w:rPr>
          <w:lang w:val="en-US"/>
        </w:rPr>
        <w:t>What does it measure?</w:t>
      </w:r>
    </w:p>
    <w:p w14:paraId="3D50149E" w14:textId="77777777" w:rsidR="008D36A8" w:rsidRPr="00CC40CC" w:rsidRDefault="008D36A8" w:rsidP="008D36A8">
      <w:pPr>
        <w:rPr>
          <w:lang w:val="en-US"/>
        </w:rPr>
      </w:pPr>
      <w:r w:rsidRPr="00CC40CC">
        <w:rPr>
          <w:lang w:val="en-US"/>
        </w:rPr>
        <w:t>The P/E ratio compares the company's market share price with its earnings per share. It reflects how much investors are willing to pay for £1 (or $1) of earnings.</w:t>
      </w:r>
    </w:p>
    <w:p w14:paraId="4433CD56" w14:textId="77777777" w:rsidR="008D36A8" w:rsidRPr="00CC40CC" w:rsidRDefault="008D36A8" w:rsidP="008D36A8">
      <w:pPr>
        <w:rPr>
          <w:lang w:val="en-US"/>
        </w:rPr>
      </w:pPr>
      <w:r w:rsidRPr="00CC40CC">
        <w:rPr>
          <w:lang w:val="en-US"/>
        </w:rPr>
        <w:t>Marriott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5"/>
        <w:gridCol w:w="540"/>
        <w:gridCol w:w="540"/>
        <w:gridCol w:w="540"/>
        <w:gridCol w:w="555"/>
      </w:tblGrid>
      <w:tr w:rsidR="008D36A8" w:rsidRPr="00CC40CC" w14:paraId="166BEDD4" w14:textId="77777777">
        <w:trPr>
          <w:tblHeader/>
          <w:tblCellSpacing w:w="15" w:type="dxa"/>
        </w:trPr>
        <w:tc>
          <w:tcPr>
            <w:tcW w:w="0" w:type="auto"/>
            <w:vAlign w:val="center"/>
            <w:hideMark/>
          </w:tcPr>
          <w:p w14:paraId="12593137" w14:textId="77777777" w:rsidR="008D36A8" w:rsidRPr="00CC40CC" w:rsidRDefault="008D36A8" w:rsidP="008D36A8">
            <w:pPr>
              <w:rPr>
                <w:lang w:val="en-US"/>
              </w:rPr>
            </w:pPr>
            <w:r w:rsidRPr="00CC40CC">
              <w:rPr>
                <w:lang w:val="en-US"/>
              </w:rPr>
              <w:t>2021</w:t>
            </w:r>
          </w:p>
        </w:tc>
        <w:tc>
          <w:tcPr>
            <w:tcW w:w="0" w:type="auto"/>
            <w:vAlign w:val="center"/>
            <w:hideMark/>
          </w:tcPr>
          <w:p w14:paraId="02C1BDB6" w14:textId="77777777" w:rsidR="008D36A8" w:rsidRPr="00CC40CC" w:rsidRDefault="008D36A8" w:rsidP="008D36A8">
            <w:pPr>
              <w:rPr>
                <w:lang w:val="en-US"/>
              </w:rPr>
            </w:pPr>
            <w:r w:rsidRPr="00CC40CC">
              <w:rPr>
                <w:lang w:val="en-US"/>
              </w:rPr>
              <w:t>2022</w:t>
            </w:r>
          </w:p>
        </w:tc>
        <w:tc>
          <w:tcPr>
            <w:tcW w:w="0" w:type="auto"/>
            <w:vAlign w:val="center"/>
            <w:hideMark/>
          </w:tcPr>
          <w:p w14:paraId="5D97A178" w14:textId="77777777" w:rsidR="008D36A8" w:rsidRPr="00CC40CC" w:rsidRDefault="008D36A8" w:rsidP="008D36A8">
            <w:pPr>
              <w:rPr>
                <w:lang w:val="en-US"/>
              </w:rPr>
            </w:pPr>
            <w:r w:rsidRPr="00CC40CC">
              <w:rPr>
                <w:lang w:val="en-US"/>
              </w:rPr>
              <w:t>2023</w:t>
            </w:r>
          </w:p>
        </w:tc>
        <w:tc>
          <w:tcPr>
            <w:tcW w:w="0" w:type="auto"/>
            <w:vAlign w:val="center"/>
            <w:hideMark/>
          </w:tcPr>
          <w:p w14:paraId="1D1A54D6" w14:textId="77777777" w:rsidR="008D36A8" w:rsidRPr="00CC40CC" w:rsidRDefault="008D36A8" w:rsidP="008D36A8">
            <w:pPr>
              <w:rPr>
                <w:lang w:val="en-US"/>
              </w:rPr>
            </w:pPr>
            <w:r w:rsidRPr="00CC40CC">
              <w:rPr>
                <w:lang w:val="en-US"/>
              </w:rPr>
              <w:t>2024</w:t>
            </w:r>
          </w:p>
        </w:tc>
        <w:tc>
          <w:tcPr>
            <w:tcW w:w="0" w:type="auto"/>
            <w:vAlign w:val="center"/>
            <w:hideMark/>
          </w:tcPr>
          <w:p w14:paraId="163550DD" w14:textId="77777777" w:rsidR="008D36A8" w:rsidRPr="00CC40CC" w:rsidRDefault="008D36A8" w:rsidP="008D36A8">
            <w:pPr>
              <w:rPr>
                <w:lang w:val="en-US"/>
              </w:rPr>
            </w:pPr>
            <w:r w:rsidRPr="00CC40CC">
              <w:rPr>
                <w:lang w:val="en-US"/>
              </w:rPr>
              <w:t>2025</w:t>
            </w:r>
          </w:p>
        </w:tc>
      </w:tr>
      <w:tr w:rsidR="008D36A8" w:rsidRPr="00CC40CC" w14:paraId="1A265D29" w14:textId="77777777">
        <w:trPr>
          <w:tblCellSpacing w:w="15" w:type="dxa"/>
        </w:trPr>
        <w:tc>
          <w:tcPr>
            <w:tcW w:w="0" w:type="auto"/>
            <w:vAlign w:val="center"/>
            <w:hideMark/>
          </w:tcPr>
          <w:p w14:paraId="458F92B1" w14:textId="77777777" w:rsidR="008D36A8" w:rsidRPr="00CC40CC" w:rsidRDefault="008D36A8" w:rsidP="008D36A8">
            <w:pPr>
              <w:rPr>
                <w:lang w:val="en-US"/>
              </w:rPr>
            </w:pPr>
            <w:r w:rsidRPr="00CC40CC">
              <w:rPr>
                <w:lang w:val="en-US"/>
              </w:rPr>
              <w:t>42.5</w:t>
            </w:r>
          </w:p>
        </w:tc>
        <w:tc>
          <w:tcPr>
            <w:tcW w:w="0" w:type="auto"/>
            <w:vAlign w:val="center"/>
            <w:hideMark/>
          </w:tcPr>
          <w:p w14:paraId="2FFB5E61" w14:textId="77777777" w:rsidR="008D36A8" w:rsidRPr="00CC40CC" w:rsidRDefault="008D36A8" w:rsidP="008D36A8">
            <w:pPr>
              <w:rPr>
                <w:lang w:val="en-US"/>
              </w:rPr>
            </w:pPr>
            <w:r w:rsidRPr="00CC40CC">
              <w:rPr>
                <w:lang w:val="en-US"/>
              </w:rPr>
              <w:t>20.6</w:t>
            </w:r>
          </w:p>
        </w:tc>
        <w:tc>
          <w:tcPr>
            <w:tcW w:w="0" w:type="auto"/>
            <w:vAlign w:val="center"/>
            <w:hideMark/>
          </w:tcPr>
          <w:p w14:paraId="59606D0E" w14:textId="77777777" w:rsidR="008D36A8" w:rsidRPr="00CC40CC" w:rsidRDefault="008D36A8" w:rsidP="008D36A8">
            <w:pPr>
              <w:rPr>
                <w:lang w:val="en-US"/>
              </w:rPr>
            </w:pPr>
            <w:r w:rsidRPr="00CC40CC">
              <w:rPr>
                <w:lang w:val="en-US"/>
              </w:rPr>
              <w:t>22.1</w:t>
            </w:r>
          </w:p>
        </w:tc>
        <w:tc>
          <w:tcPr>
            <w:tcW w:w="0" w:type="auto"/>
            <w:vAlign w:val="center"/>
            <w:hideMark/>
          </w:tcPr>
          <w:p w14:paraId="6344864E" w14:textId="77777777" w:rsidR="008D36A8" w:rsidRPr="00CC40CC" w:rsidRDefault="008D36A8" w:rsidP="008D36A8">
            <w:pPr>
              <w:rPr>
                <w:lang w:val="en-US"/>
              </w:rPr>
            </w:pPr>
            <w:r w:rsidRPr="00CC40CC">
              <w:rPr>
                <w:lang w:val="en-US"/>
              </w:rPr>
              <w:t>33.4</w:t>
            </w:r>
          </w:p>
        </w:tc>
        <w:tc>
          <w:tcPr>
            <w:tcW w:w="0" w:type="auto"/>
            <w:vAlign w:val="center"/>
            <w:hideMark/>
          </w:tcPr>
          <w:p w14:paraId="56E13E78" w14:textId="77777777" w:rsidR="008D36A8" w:rsidRPr="00CC40CC" w:rsidRDefault="008D36A8" w:rsidP="008D36A8">
            <w:pPr>
              <w:rPr>
                <w:lang w:val="en-US"/>
              </w:rPr>
            </w:pPr>
            <w:r w:rsidRPr="00CC40CC">
              <w:rPr>
                <w:lang w:val="en-US"/>
              </w:rPr>
              <w:t>29.1</w:t>
            </w:r>
          </w:p>
        </w:tc>
      </w:tr>
    </w:tbl>
    <w:p w14:paraId="4CD0A005" w14:textId="77777777" w:rsidR="008D36A8" w:rsidRPr="00CC40CC" w:rsidRDefault="008D36A8" w:rsidP="008D36A8">
      <w:pPr>
        <w:rPr>
          <w:lang w:val="en-US"/>
        </w:rPr>
      </w:pPr>
      <w:r w:rsidRPr="00CC40CC">
        <w:rPr>
          <w:lang w:val="en-US"/>
        </w:rPr>
        <w:t>Interpretation</w:t>
      </w:r>
    </w:p>
    <w:p w14:paraId="7A97CD82" w14:textId="77777777" w:rsidR="008D36A8" w:rsidRPr="00CC40CC" w:rsidRDefault="008D36A8" w:rsidP="008D36A8">
      <w:pPr>
        <w:numPr>
          <w:ilvl w:val="0"/>
          <w:numId w:val="19"/>
        </w:numPr>
        <w:rPr>
          <w:lang w:val="en-US"/>
        </w:rPr>
      </w:pPr>
      <w:r w:rsidRPr="00CC40CC">
        <w:rPr>
          <w:lang w:val="en-US"/>
        </w:rPr>
        <w:t xml:space="preserve">The highest P/E ratio (42.5) occurred in 2021, when earnings were still recovering after the pandemic. </w:t>
      </w:r>
    </w:p>
    <w:p w14:paraId="2CB3F16F" w14:textId="77777777" w:rsidR="008D36A8" w:rsidRPr="00CC40CC" w:rsidRDefault="008D36A8" w:rsidP="008D36A8">
      <w:pPr>
        <w:numPr>
          <w:ilvl w:val="0"/>
          <w:numId w:val="19"/>
        </w:numPr>
        <w:rPr>
          <w:lang w:val="en-US"/>
        </w:rPr>
      </w:pPr>
      <w:r w:rsidRPr="00CC40CC">
        <w:rPr>
          <w:lang w:val="en-US"/>
        </w:rPr>
        <w:t xml:space="preserve">The ratio fell sharply to 20.6 in 2022 as earnings improved significantly. </w:t>
      </w:r>
    </w:p>
    <w:p w14:paraId="0E41F6E2" w14:textId="77777777" w:rsidR="008D36A8" w:rsidRPr="00CC40CC" w:rsidRDefault="008D36A8" w:rsidP="008D36A8">
      <w:pPr>
        <w:numPr>
          <w:ilvl w:val="0"/>
          <w:numId w:val="19"/>
        </w:numPr>
        <w:rPr>
          <w:lang w:val="en-US"/>
        </w:rPr>
      </w:pPr>
      <w:r w:rsidRPr="00CC40CC">
        <w:rPr>
          <w:lang w:val="en-US"/>
        </w:rPr>
        <w:t xml:space="preserve">P/E increased again to 33.4 in 2024, suggesting investors expected continued future growth despite slower earnings. </w:t>
      </w:r>
    </w:p>
    <w:p w14:paraId="13A9017D" w14:textId="77777777" w:rsidR="008D36A8" w:rsidRPr="00CC40CC" w:rsidRDefault="008D36A8" w:rsidP="008D36A8">
      <w:pPr>
        <w:numPr>
          <w:ilvl w:val="0"/>
          <w:numId w:val="19"/>
        </w:numPr>
        <w:rPr>
          <w:lang w:val="en-US"/>
        </w:rPr>
      </w:pPr>
      <w:r w:rsidRPr="00CC40CC">
        <w:rPr>
          <w:lang w:val="en-US"/>
        </w:rPr>
        <w:t xml:space="preserve">The ratio decreased slightly to 29.1 in 2025, indicating more balanced market expectations. </w:t>
      </w:r>
    </w:p>
    <w:p w14:paraId="55AAD387" w14:textId="77777777" w:rsidR="008D36A8" w:rsidRPr="00CC40CC" w:rsidRDefault="008D36A8" w:rsidP="008D36A8">
      <w:pPr>
        <w:rPr>
          <w:lang w:val="en-US"/>
        </w:rPr>
      </w:pPr>
      <w:r w:rsidRPr="00CC40CC">
        <w:rPr>
          <w:lang w:val="en-US"/>
        </w:rPr>
        <w:t>Key change: The largest change occurred between 2021 and 2022, mainly because Marriott's earnings recovered rapidly.</w:t>
      </w:r>
    </w:p>
    <w:p w14:paraId="1581C7F3" w14:textId="77777777" w:rsidR="008D36A8" w:rsidRPr="00CC40CC" w:rsidRDefault="00000000" w:rsidP="008D36A8">
      <w:pPr>
        <w:rPr>
          <w:lang w:val="en-US"/>
        </w:rPr>
      </w:pPr>
      <w:r>
        <w:rPr>
          <w:lang w:val="en-US"/>
        </w:rPr>
        <w:pict w14:anchorId="56A1741D">
          <v:rect id="_x0000_i1037" style="width:0;height:1.5pt" o:hralign="center" o:hrstd="t" o:hr="t" fillcolor="#a0a0a0" stroked="f"/>
        </w:pict>
      </w:r>
    </w:p>
    <w:p w14:paraId="2EE069F4" w14:textId="77777777" w:rsidR="008D36A8" w:rsidRPr="00CC40CC" w:rsidRDefault="008D36A8" w:rsidP="008D36A8">
      <w:pPr>
        <w:rPr>
          <w:lang w:val="en-US"/>
        </w:rPr>
      </w:pPr>
      <w:r w:rsidRPr="00CC40CC">
        <w:rPr>
          <w:lang w:val="en-US"/>
        </w:rPr>
        <w:t>4. Operating Cash Flow Ratio</w:t>
      </w:r>
    </w:p>
    <w:p w14:paraId="724D83B7" w14:textId="77777777" w:rsidR="008D36A8" w:rsidRPr="00CC40CC" w:rsidRDefault="008D36A8" w:rsidP="008D36A8">
      <w:pPr>
        <w:rPr>
          <w:lang w:val="en-US"/>
        </w:rPr>
      </w:pPr>
      <w:r w:rsidRPr="00CC40CC">
        <w:rPr>
          <w:lang w:val="en-US"/>
        </w:rPr>
        <w:t>What does it measure?</w:t>
      </w:r>
    </w:p>
    <w:p w14:paraId="22C2E7A9" w14:textId="77777777" w:rsidR="008D36A8" w:rsidRPr="00CC40CC" w:rsidRDefault="008D36A8" w:rsidP="008D36A8">
      <w:pPr>
        <w:rPr>
          <w:lang w:val="en-US"/>
        </w:rPr>
      </w:pPr>
      <w:r w:rsidRPr="00CC40CC">
        <w:rPr>
          <w:lang w:val="en-US"/>
        </w:rPr>
        <w:t>The Operating Cash Flow Ratio measures the company's ability to pay its short-term liabilities using cash generated from operating activities.</w:t>
      </w:r>
    </w:p>
    <w:p w14:paraId="2A3E12B1" w14:textId="77777777" w:rsidR="008D36A8" w:rsidRPr="00CC40CC" w:rsidRDefault="008D36A8" w:rsidP="008D36A8">
      <w:pPr>
        <w:rPr>
          <w:lang w:val="en-US"/>
        </w:rPr>
      </w:pPr>
      <w:r w:rsidRPr="00CC40CC">
        <w:rPr>
          <w:lang w:val="en-US"/>
        </w:rPr>
        <w:t>A higher ratio indicates stronger liquidity.</w:t>
      </w:r>
    </w:p>
    <w:p w14:paraId="2A5FD10A" w14:textId="77777777" w:rsidR="008D36A8" w:rsidRPr="00CC40CC" w:rsidRDefault="008D36A8" w:rsidP="008D36A8">
      <w:pPr>
        <w:rPr>
          <w:lang w:val="en-US"/>
        </w:rPr>
      </w:pPr>
      <w:r w:rsidRPr="00CC40CC">
        <w:rPr>
          <w:lang w:val="en-US"/>
        </w:rPr>
        <w:t>Marriott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5"/>
        <w:gridCol w:w="540"/>
        <w:gridCol w:w="540"/>
        <w:gridCol w:w="540"/>
        <w:gridCol w:w="555"/>
      </w:tblGrid>
      <w:tr w:rsidR="008D36A8" w:rsidRPr="00CC40CC" w14:paraId="05700A31" w14:textId="77777777">
        <w:trPr>
          <w:tblHeader/>
          <w:tblCellSpacing w:w="15" w:type="dxa"/>
        </w:trPr>
        <w:tc>
          <w:tcPr>
            <w:tcW w:w="0" w:type="auto"/>
            <w:vAlign w:val="center"/>
            <w:hideMark/>
          </w:tcPr>
          <w:p w14:paraId="38E34413" w14:textId="77777777" w:rsidR="008D36A8" w:rsidRPr="00CC40CC" w:rsidRDefault="008D36A8" w:rsidP="008D36A8">
            <w:pPr>
              <w:rPr>
                <w:lang w:val="en-US"/>
              </w:rPr>
            </w:pPr>
            <w:r w:rsidRPr="00CC40CC">
              <w:rPr>
                <w:lang w:val="en-US"/>
              </w:rPr>
              <w:t>2021</w:t>
            </w:r>
          </w:p>
        </w:tc>
        <w:tc>
          <w:tcPr>
            <w:tcW w:w="0" w:type="auto"/>
            <w:vAlign w:val="center"/>
            <w:hideMark/>
          </w:tcPr>
          <w:p w14:paraId="01B765C5" w14:textId="77777777" w:rsidR="008D36A8" w:rsidRPr="00CC40CC" w:rsidRDefault="008D36A8" w:rsidP="008D36A8">
            <w:pPr>
              <w:rPr>
                <w:lang w:val="en-US"/>
              </w:rPr>
            </w:pPr>
            <w:r w:rsidRPr="00CC40CC">
              <w:rPr>
                <w:lang w:val="en-US"/>
              </w:rPr>
              <w:t>2022</w:t>
            </w:r>
          </w:p>
        </w:tc>
        <w:tc>
          <w:tcPr>
            <w:tcW w:w="0" w:type="auto"/>
            <w:vAlign w:val="center"/>
            <w:hideMark/>
          </w:tcPr>
          <w:p w14:paraId="73C7FA60" w14:textId="77777777" w:rsidR="008D36A8" w:rsidRPr="00CC40CC" w:rsidRDefault="008D36A8" w:rsidP="008D36A8">
            <w:pPr>
              <w:rPr>
                <w:lang w:val="en-US"/>
              </w:rPr>
            </w:pPr>
            <w:r w:rsidRPr="00CC40CC">
              <w:rPr>
                <w:lang w:val="en-US"/>
              </w:rPr>
              <w:t>2023</w:t>
            </w:r>
          </w:p>
        </w:tc>
        <w:tc>
          <w:tcPr>
            <w:tcW w:w="0" w:type="auto"/>
            <w:vAlign w:val="center"/>
            <w:hideMark/>
          </w:tcPr>
          <w:p w14:paraId="59DD1D7A" w14:textId="77777777" w:rsidR="008D36A8" w:rsidRPr="00CC40CC" w:rsidRDefault="008D36A8" w:rsidP="008D36A8">
            <w:pPr>
              <w:rPr>
                <w:lang w:val="en-US"/>
              </w:rPr>
            </w:pPr>
            <w:r w:rsidRPr="00CC40CC">
              <w:rPr>
                <w:lang w:val="en-US"/>
              </w:rPr>
              <w:t>2024</w:t>
            </w:r>
          </w:p>
        </w:tc>
        <w:tc>
          <w:tcPr>
            <w:tcW w:w="0" w:type="auto"/>
            <w:vAlign w:val="center"/>
            <w:hideMark/>
          </w:tcPr>
          <w:p w14:paraId="12C0B1C2" w14:textId="77777777" w:rsidR="008D36A8" w:rsidRPr="00CC40CC" w:rsidRDefault="008D36A8" w:rsidP="008D36A8">
            <w:pPr>
              <w:rPr>
                <w:lang w:val="en-US"/>
              </w:rPr>
            </w:pPr>
            <w:r w:rsidRPr="00CC40CC">
              <w:rPr>
                <w:lang w:val="en-US"/>
              </w:rPr>
              <w:t>2025</w:t>
            </w:r>
          </w:p>
        </w:tc>
      </w:tr>
      <w:tr w:rsidR="008D36A8" w:rsidRPr="00CC40CC" w14:paraId="4B735000" w14:textId="77777777">
        <w:trPr>
          <w:tblCellSpacing w:w="15" w:type="dxa"/>
        </w:trPr>
        <w:tc>
          <w:tcPr>
            <w:tcW w:w="0" w:type="auto"/>
            <w:vAlign w:val="center"/>
            <w:hideMark/>
          </w:tcPr>
          <w:p w14:paraId="36439B72" w14:textId="77777777" w:rsidR="008D36A8" w:rsidRPr="00CC40CC" w:rsidRDefault="008D36A8" w:rsidP="008D36A8">
            <w:pPr>
              <w:rPr>
                <w:lang w:val="en-US"/>
              </w:rPr>
            </w:pPr>
            <w:r w:rsidRPr="00CC40CC">
              <w:rPr>
                <w:lang w:val="en-US"/>
              </w:rPr>
              <w:t>0.22</w:t>
            </w:r>
          </w:p>
        </w:tc>
        <w:tc>
          <w:tcPr>
            <w:tcW w:w="0" w:type="auto"/>
            <w:vAlign w:val="center"/>
            <w:hideMark/>
          </w:tcPr>
          <w:p w14:paraId="5AAF2D3E" w14:textId="77777777" w:rsidR="008D36A8" w:rsidRPr="00CC40CC" w:rsidRDefault="008D36A8" w:rsidP="008D36A8">
            <w:pPr>
              <w:rPr>
                <w:lang w:val="en-US"/>
              </w:rPr>
            </w:pPr>
            <w:r w:rsidRPr="00CC40CC">
              <w:rPr>
                <w:lang w:val="en-US"/>
              </w:rPr>
              <w:t>0.39</w:t>
            </w:r>
          </w:p>
        </w:tc>
        <w:tc>
          <w:tcPr>
            <w:tcW w:w="0" w:type="auto"/>
            <w:vAlign w:val="center"/>
            <w:hideMark/>
          </w:tcPr>
          <w:p w14:paraId="0D6792A5" w14:textId="77777777" w:rsidR="008D36A8" w:rsidRPr="00CC40CC" w:rsidRDefault="008D36A8" w:rsidP="008D36A8">
            <w:pPr>
              <w:rPr>
                <w:lang w:val="en-US"/>
              </w:rPr>
            </w:pPr>
            <w:r w:rsidRPr="00CC40CC">
              <w:rPr>
                <w:lang w:val="en-US"/>
              </w:rPr>
              <w:t>0.49</w:t>
            </w:r>
          </w:p>
        </w:tc>
        <w:tc>
          <w:tcPr>
            <w:tcW w:w="0" w:type="auto"/>
            <w:vAlign w:val="center"/>
            <w:hideMark/>
          </w:tcPr>
          <w:p w14:paraId="597185BA" w14:textId="77777777" w:rsidR="008D36A8" w:rsidRPr="00CC40CC" w:rsidRDefault="008D36A8" w:rsidP="008D36A8">
            <w:pPr>
              <w:rPr>
                <w:lang w:val="en-US"/>
              </w:rPr>
            </w:pPr>
            <w:r w:rsidRPr="00CC40CC">
              <w:rPr>
                <w:lang w:val="en-US"/>
              </w:rPr>
              <w:t>0.46</w:t>
            </w:r>
          </w:p>
        </w:tc>
        <w:tc>
          <w:tcPr>
            <w:tcW w:w="0" w:type="auto"/>
            <w:vAlign w:val="center"/>
            <w:hideMark/>
          </w:tcPr>
          <w:p w14:paraId="73241CD7" w14:textId="77777777" w:rsidR="008D36A8" w:rsidRPr="00CC40CC" w:rsidRDefault="008D36A8" w:rsidP="008D36A8">
            <w:pPr>
              <w:rPr>
                <w:lang w:val="en-US"/>
              </w:rPr>
            </w:pPr>
            <w:r w:rsidRPr="00CC40CC">
              <w:rPr>
                <w:lang w:val="en-US"/>
              </w:rPr>
              <w:t>0.53</w:t>
            </w:r>
          </w:p>
        </w:tc>
      </w:tr>
    </w:tbl>
    <w:p w14:paraId="21D0FF6C" w14:textId="77777777" w:rsidR="008D36A8" w:rsidRPr="00CC40CC" w:rsidRDefault="008D36A8" w:rsidP="008D36A8">
      <w:pPr>
        <w:rPr>
          <w:lang w:val="en-US"/>
        </w:rPr>
      </w:pPr>
      <w:r w:rsidRPr="00CC40CC">
        <w:rPr>
          <w:lang w:val="en-US"/>
        </w:rPr>
        <w:t>Interpretation</w:t>
      </w:r>
    </w:p>
    <w:p w14:paraId="69E38987" w14:textId="77777777" w:rsidR="008D36A8" w:rsidRPr="00CC40CC" w:rsidRDefault="008D36A8" w:rsidP="008D36A8">
      <w:pPr>
        <w:numPr>
          <w:ilvl w:val="0"/>
          <w:numId w:val="20"/>
        </w:numPr>
        <w:rPr>
          <w:lang w:val="en-US"/>
        </w:rPr>
      </w:pPr>
      <w:r w:rsidRPr="00CC40CC">
        <w:rPr>
          <w:lang w:val="en-US"/>
        </w:rPr>
        <w:t xml:space="preserve">The ratio improved steadily from 0.22 in 2021 to 0.53 in 2025. </w:t>
      </w:r>
    </w:p>
    <w:p w14:paraId="59200231" w14:textId="77777777" w:rsidR="008D36A8" w:rsidRPr="00CC40CC" w:rsidRDefault="008D36A8" w:rsidP="008D36A8">
      <w:pPr>
        <w:numPr>
          <w:ilvl w:val="0"/>
          <w:numId w:val="20"/>
        </w:numPr>
        <w:rPr>
          <w:lang w:val="en-US"/>
        </w:rPr>
      </w:pPr>
      <w:r w:rsidRPr="00CC40CC">
        <w:rPr>
          <w:lang w:val="en-US"/>
        </w:rPr>
        <w:lastRenderedPageBreak/>
        <w:t xml:space="preserve">This indicates Marriott generated increasing amounts of operating cash relative to its current liabilities. </w:t>
      </w:r>
    </w:p>
    <w:p w14:paraId="3C00FF32" w14:textId="77777777" w:rsidR="008D36A8" w:rsidRPr="00CC40CC" w:rsidRDefault="008D36A8" w:rsidP="008D36A8">
      <w:pPr>
        <w:numPr>
          <w:ilvl w:val="0"/>
          <w:numId w:val="20"/>
        </w:numPr>
        <w:rPr>
          <w:lang w:val="en-US"/>
        </w:rPr>
      </w:pPr>
      <w:r w:rsidRPr="00CC40CC">
        <w:rPr>
          <w:lang w:val="en-US"/>
        </w:rPr>
        <w:t xml:space="preserve">Although the ratio remained below 1.0, the upward trend demonstrates improving cash flow management and stronger liquidity. </w:t>
      </w:r>
    </w:p>
    <w:p w14:paraId="0D4B0280" w14:textId="77777777" w:rsidR="008D36A8" w:rsidRPr="00CC40CC" w:rsidRDefault="008D36A8" w:rsidP="008D36A8">
      <w:pPr>
        <w:rPr>
          <w:lang w:val="en-US"/>
        </w:rPr>
      </w:pPr>
      <w:r w:rsidRPr="00CC40CC">
        <w:rPr>
          <w:lang w:val="en-US"/>
        </w:rPr>
        <w:t>Key change: Operating cash flow more than doubled over the five-year period, highlighting Marriott's recovery and stronger cash generation.</w:t>
      </w:r>
    </w:p>
    <w:p w14:paraId="11AB9A1B" w14:textId="77777777" w:rsidR="008D36A8" w:rsidRPr="00CC40CC" w:rsidRDefault="00000000" w:rsidP="008D36A8">
      <w:pPr>
        <w:rPr>
          <w:lang w:val="en-US"/>
        </w:rPr>
      </w:pPr>
      <w:r>
        <w:rPr>
          <w:lang w:val="en-US"/>
        </w:rPr>
        <w:pict w14:anchorId="0AF064D7">
          <v:rect id="_x0000_i1038" style="width:0;height:1.5pt" o:hralign="center" o:hrstd="t" o:hr="t" fillcolor="#a0a0a0" stroked="f"/>
        </w:pict>
      </w:r>
    </w:p>
    <w:p w14:paraId="7F43BAB9" w14:textId="77777777" w:rsidR="008D36A8" w:rsidRPr="00CC40CC" w:rsidRDefault="008D36A8" w:rsidP="008D36A8">
      <w:pPr>
        <w:rPr>
          <w:lang w:val="en-US"/>
        </w:rPr>
      </w:pPr>
      <w:r w:rsidRPr="00CC40CC">
        <w:rPr>
          <w:lang w:val="en-US"/>
        </w:rPr>
        <w:t>5. Free Cash Flow Margin</w:t>
      </w:r>
    </w:p>
    <w:p w14:paraId="645F3EE5" w14:textId="77777777" w:rsidR="008D36A8" w:rsidRPr="00CC40CC" w:rsidRDefault="008D36A8" w:rsidP="008D36A8">
      <w:pPr>
        <w:rPr>
          <w:lang w:val="en-US"/>
        </w:rPr>
      </w:pPr>
      <w:r w:rsidRPr="00CC40CC">
        <w:rPr>
          <w:lang w:val="en-US"/>
        </w:rPr>
        <w:t>What does it measure?</w:t>
      </w:r>
    </w:p>
    <w:p w14:paraId="34FCC26A" w14:textId="77777777" w:rsidR="008D36A8" w:rsidRPr="00CC40CC" w:rsidRDefault="008D36A8" w:rsidP="008D36A8">
      <w:pPr>
        <w:rPr>
          <w:lang w:val="en-US"/>
        </w:rPr>
      </w:pPr>
      <w:r w:rsidRPr="00CC40CC">
        <w:rPr>
          <w:lang w:val="en-US"/>
        </w:rPr>
        <w:t>Free Cash Flow Margin shows the percentage of revenue remaining after operating expenses and capital expenditure have been paid. Higher values indicate greater financial flexibility.</w:t>
      </w:r>
    </w:p>
    <w:p w14:paraId="5FBB3393" w14:textId="77777777" w:rsidR="008D36A8" w:rsidRPr="00CC40CC" w:rsidRDefault="008D36A8" w:rsidP="008D36A8">
      <w:pPr>
        <w:rPr>
          <w:lang w:val="en-US"/>
        </w:rPr>
      </w:pPr>
      <w:r w:rsidRPr="00CC40CC">
        <w:rPr>
          <w:lang w:val="en-US"/>
        </w:rPr>
        <w:t>Marriott results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5"/>
        <w:gridCol w:w="560"/>
        <w:gridCol w:w="680"/>
        <w:gridCol w:w="560"/>
        <w:gridCol w:w="695"/>
      </w:tblGrid>
      <w:tr w:rsidR="008D36A8" w:rsidRPr="00CC40CC" w14:paraId="7F86A109" w14:textId="77777777">
        <w:trPr>
          <w:tblHeader/>
          <w:tblCellSpacing w:w="15" w:type="dxa"/>
        </w:trPr>
        <w:tc>
          <w:tcPr>
            <w:tcW w:w="0" w:type="auto"/>
            <w:vAlign w:val="center"/>
            <w:hideMark/>
          </w:tcPr>
          <w:p w14:paraId="2BB66ACA" w14:textId="77777777" w:rsidR="008D36A8" w:rsidRPr="00CC40CC" w:rsidRDefault="008D36A8" w:rsidP="008D36A8">
            <w:pPr>
              <w:rPr>
                <w:lang w:val="en-US"/>
              </w:rPr>
            </w:pPr>
            <w:r w:rsidRPr="00CC40CC">
              <w:rPr>
                <w:lang w:val="en-US"/>
              </w:rPr>
              <w:t>2021</w:t>
            </w:r>
          </w:p>
        </w:tc>
        <w:tc>
          <w:tcPr>
            <w:tcW w:w="0" w:type="auto"/>
            <w:vAlign w:val="center"/>
            <w:hideMark/>
          </w:tcPr>
          <w:p w14:paraId="102B9FCD" w14:textId="77777777" w:rsidR="008D36A8" w:rsidRPr="00CC40CC" w:rsidRDefault="008D36A8" w:rsidP="008D36A8">
            <w:pPr>
              <w:rPr>
                <w:lang w:val="en-US"/>
              </w:rPr>
            </w:pPr>
            <w:r w:rsidRPr="00CC40CC">
              <w:rPr>
                <w:lang w:val="en-US"/>
              </w:rPr>
              <w:t>2022</w:t>
            </w:r>
          </w:p>
        </w:tc>
        <w:tc>
          <w:tcPr>
            <w:tcW w:w="0" w:type="auto"/>
            <w:vAlign w:val="center"/>
            <w:hideMark/>
          </w:tcPr>
          <w:p w14:paraId="749E3BD5" w14:textId="77777777" w:rsidR="008D36A8" w:rsidRPr="00CC40CC" w:rsidRDefault="008D36A8" w:rsidP="008D36A8">
            <w:pPr>
              <w:rPr>
                <w:lang w:val="en-US"/>
              </w:rPr>
            </w:pPr>
            <w:r w:rsidRPr="00CC40CC">
              <w:rPr>
                <w:lang w:val="en-US"/>
              </w:rPr>
              <w:t>2023</w:t>
            </w:r>
          </w:p>
        </w:tc>
        <w:tc>
          <w:tcPr>
            <w:tcW w:w="0" w:type="auto"/>
            <w:vAlign w:val="center"/>
            <w:hideMark/>
          </w:tcPr>
          <w:p w14:paraId="756A5BB4" w14:textId="77777777" w:rsidR="008D36A8" w:rsidRPr="00CC40CC" w:rsidRDefault="008D36A8" w:rsidP="008D36A8">
            <w:pPr>
              <w:rPr>
                <w:lang w:val="en-US"/>
              </w:rPr>
            </w:pPr>
            <w:r w:rsidRPr="00CC40CC">
              <w:rPr>
                <w:lang w:val="en-US"/>
              </w:rPr>
              <w:t>2024</w:t>
            </w:r>
          </w:p>
        </w:tc>
        <w:tc>
          <w:tcPr>
            <w:tcW w:w="0" w:type="auto"/>
            <w:vAlign w:val="center"/>
            <w:hideMark/>
          </w:tcPr>
          <w:p w14:paraId="0C4CF604" w14:textId="77777777" w:rsidR="008D36A8" w:rsidRPr="00CC40CC" w:rsidRDefault="008D36A8" w:rsidP="008D36A8">
            <w:pPr>
              <w:rPr>
                <w:lang w:val="en-US"/>
              </w:rPr>
            </w:pPr>
            <w:r w:rsidRPr="00CC40CC">
              <w:rPr>
                <w:lang w:val="en-US"/>
              </w:rPr>
              <w:t>2025</w:t>
            </w:r>
          </w:p>
        </w:tc>
      </w:tr>
      <w:tr w:rsidR="008D36A8" w:rsidRPr="00CC40CC" w14:paraId="1A5C040C" w14:textId="77777777">
        <w:trPr>
          <w:tblCellSpacing w:w="15" w:type="dxa"/>
        </w:trPr>
        <w:tc>
          <w:tcPr>
            <w:tcW w:w="0" w:type="auto"/>
            <w:vAlign w:val="center"/>
            <w:hideMark/>
          </w:tcPr>
          <w:p w14:paraId="6ADCCF34" w14:textId="77777777" w:rsidR="008D36A8" w:rsidRPr="00CC40CC" w:rsidRDefault="008D36A8" w:rsidP="008D36A8">
            <w:pPr>
              <w:rPr>
                <w:lang w:val="en-US"/>
              </w:rPr>
            </w:pPr>
            <w:r w:rsidRPr="00CC40CC">
              <w:rPr>
                <w:lang w:val="en-US"/>
              </w:rPr>
              <w:t>7.2%</w:t>
            </w:r>
          </w:p>
        </w:tc>
        <w:tc>
          <w:tcPr>
            <w:tcW w:w="0" w:type="auto"/>
            <w:vAlign w:val="center"/>
            <w:hideMark/>
          </w:tcPr>
          <w:p w14:paraId="3405DE53" w14:textId="77777777" w:rsidR="008D36A8" w:rsidRPr="00CC40CC" w:rsidRDefault="008D36A8" w:rsidP="008D36A8">
            <w:pPr>
              <w:rPr>
                <w:lang w:val="en-US"/>
              </w:rPr>
            </w:pPr>
            <w:r w:rsidRPr="00CC40CC">
              <w:rPr>
                <w:lang w:val="en-US"/>
              </w:rPr>
              <w:t>9.8%</w:t>
            </w:r>
          </w:p>
        </w:tc>
        <w:tc>
          <w:tcPr>
            <w:tcW w:w="0" w:type="auto"/>
            <w:vAlign w:val="center"/>
            <w:hideMark/>
          </w:tcPr>
          <w:p w14:paraId="602EE74C" w14:textId="77777777" w:rsidR="008D36A8" w:rsidRPr="00CC40CC" w:rsidRDefault="008D36A8" w:rsidP="008D36A8">
            <w:pPr>
              <w:rPr>
                <w:lang w:val="en-US"/>
              </w:rPr>
            </w:pPr>
            <w:r w:rsidRPr="00CC40CC">
              <w:rPr>
                <w:lang w:val="en-US"/>
              </w:rPr>
              <w:t>11.5%</w:t>
            </w:r>
          </w:p>
        </w:tc>
        <w:tc>
          <w:tcPr>
            <w:tcW w:w="0" w:type="auto"/>
            <w:vAlign w:val="center"/>
            <w:hideMark/>
          </w:tcPr>
          <w:p w14:paraId="026C43F3" w14:textId="77777777" w:rsidR="008D36A8" w:rsidRPr="00CC40CC" w:rsidRDefault="008D36A8" w:rsidP="008D36A8">
            <w:pPr>
              <w:rPr>
                <w:lang w:val="en-US"/>
              </w:rPr>
            </w:pPr>
            <w:r w:rsidRPr="00CC40CC">
              <w:rPr>
                <w:lang w:val="en-US"/>
              </w:rPr>
              <w:t>8.0%</w:t>
            </w:r>
          </w:p>
        </w:tc>
        <w:tc>
          <w:tcPr>
            <w:tcW w:w="0" w:type="auto"/>
            <w:vAlign w:val="center"/>
            <w:hideMark/>
          </w:tcPr>
          <w:p w14:paraId="0E7785FD" w14:textId="77777777" w:rsidR="008D36A8" w:rsidRPr="00CC40CC" w:rsidRDefault="008D36A8" w:rsidP="008D36A8">
            <w:pPr>
              <w:rPr>
                <w:lang w:val="en-US"/>
              </w:rPr>
            </w:pPr>
            <w:r w:rsidRPr="00CC40CC">
              <w:rPr>
                <w:lang w:val="en-US"/>
              </w:rPr>
              <w:t>10.0%</w:t>
            </w:r>
          </w:p>
        </w:tc>
      </w:tr>
    </w:tbl>
    <w:p w14:paraId="5713EF43" w14:textId="77777777" w:rsidR="008D36A8" w:rsidRPr="00CC40CC" w:rsidRDefault="008D36A8" w:rsidP="008D36A8">
      <w:pPr>
        <w:rPr>
          <w:lang w:val="en-US"/>
        </w:rPr>
      </w:pPr>
      <w:r w:rsidRPr="00CC40CC">
        <w:rPr>
          <w:lang w:val="en-US"/>
        </w:rPr>
        <w:t>Interpretation</w:t>
      </w:r>
    </w:p>
    <w:p w14:paraId="32CED24E" w14:textId="77777777" w:rsidR="008D36A8" w:rsidRPr="00CC40CC" w:rsidRDefault="008D36A8" w:rsidP="008D36A8">
      <w:pPr>
        <w:numPr>
          <w:ilvl w:val="0"/>
          <w:numId w:val="21"/>
        </w:numPr>
        <w:rPr>
          <w:lang w:val="en-US"/>
        </w:rPr>
      </w:pPr>
      <w:r w:rsidRPr="00CC40CC">
        <w:rPr>
          <w:lang w:val="en-US"/>
        </w:rPr>
        <w:t xml:space="preserve">Free cash flow margin increased from 7.2% in 2021 to 11.5% in 2023, reflecting strong cash generation during the post-pandemic recovery. </w:t>
      </w:r>
    </w:p>
    <w:p w14:paraId="4366C291" w14:textId="77777777" w:rsidR="008D36A8" w:rsidRPr="00CC40CC" w:rsidRDefault="008D36A8" w:rsidP="008D36A8">
      <w:pPr>
        <w:numPr>
          <w:ilvl w:val="0"/>
          <w:numId w:val="21"/>
        </w:numPr>
        <w:rPr>
          <w:lang w:val="en-US"/>
        </w:rPr>
      </w:pPr>
      <w:r w:rsidRPr="00CC40CC">
        <w:rPr>
          <w:lang w:val="en-US"/>
        </w:rPr>
        <w:t xml:space="preserve">The ratio declined to 8.0% in 2024, mainly due to higher investment and operating costs. </w:t>
      </w:r>
    </w:p>
    <w:p w14:paraId="58431269" w14:textId="77777777" w:rsidR="008D36A8" w:rsidRPr="00CC40CC" w:rsidRDefault="008D36A8" w:rsidP="008D36A8">
      <w:pPr>
        <w:numPr>
          <w:ilvl w:val="0"/>
          <w:numId w:val="21"/>
        </w:numPr>
        <w:rPr>
          <w:lang w:val="en-US"/>
        </w:rPr>
      </w:pPr>
      <w:r w:rsidRPr="00CC40CC">
        <w:rPr>
          <w:lang w:val="en-US"/>
        </w:rPr>
        <w:t xml:space="preserve">It improved again to 10.0% in 2025, indicating Marriott continued to generate healthy free cash flow. </w:t>
      </w:r>
    </w:p>
    <w:p w14:paraId="202628E7" w14:textId="77777777" w:rsidR="008D36A8" w:rsidRPr="00CC40CC" w:rsidRDefault="008D36A8" w:rsidP="008D36A8">
      <w:pPr>
        <w:rPr>
          <w:lang w:val="en-US"/>
        </w:rPr>
      </w:pPr>
      <w:r w:rsidRPr="00CC40CC">
        <w:rPr>
          <w:lang w:val="en-US"/>
        </w:rPr>
        <w:t>Key change: The strongest performance was recorded in 2023, when Marriott converted the highest proportion of revenue into free cash flow.</w:t>
      </w:r>
    </w:p>
    <w:p w14:paraId="72FBE8D3" w14:textId="77777777" w:rsidR="008D36A8" w:rsidRPr="00CC40CC" w:rsidRDefault="00000000" w:rsidP="008D36A8">
      <w:pPr>
        <w:rPr>
          <w:lang w:val="en-US"/>
        </w:rPr>
      </w:pPr>
      <w:r>
        <w:rPr>
          <w:lang w:val="en-US"/>
        </w:rPr>
        <w:pict w14:anchorId="43593996">
          <v:rect id="_x0000_i1039" style="width:0;height:1.5pt" o:hralign="center" o:hrstd="t" o:hr="t" fillcolor="#a0a0a0" stroked="f"/>
        </w:pict>
      </w:r>
    </w:p>
    <w:p w14:paraId="451FEEB9" w14:textId="77777777" w:rsidR="008D36A8" w:rsidRPr="00CC40CC" w:rsidRDefault="008D36A8" w:rsidP="008D36A8">
      <w:pPr>
        <w:rPr>
          <w:lang w:val="en-US"/>
        </w:rPr>
      </w:pPr>
      <w:r w:rsidRPr="00CC40CC">
        <w:rPr>
          <w:lang w:val="en-US"/>
        </w:rPr>
        <w:t>Overall conclusion</w:t>
      </w:r>
    </w:p>
    <w:p w14:paraId="751603A6" w14:textId="77777777" w:rsidR="008D36A8" w:rsidRPr="00CC40CC" w:rsidRDefault="008D36A8" w:rsidP="008D36A8">
      <w:pPr>
        <w:rPr>
          <w:lang w:val="en-US"/>
        </w:rPr>
      </w:pPr>
      <w:r w:rsidRPr="00CC40CC">
        <w:rPr>
          <w:lang w:val="en-US"/>
        </w:rPr>
        <w:t>Overall, the additional ratios show that Marriott strengthened its financial performance significantly between 2021 and 2025. The company improved its ability to generate profit from assets, increased operating cash flows, and maintained healthy free cash flow despite continued investment. Although ROE was not meaningful because of negative shareholders' equity resulting from share repurchases, the remaining ratios indicate that Marriott remained financially strong and recovered successfully following the pandemic.</w:t>
      </w:r>
    </w:p>
    <w:p w14:paraId="5C13F711" w14:textId="77777777" w:rsidR="00A8784E" w:rsidRPr="00CC40CC" w:rsidRDefault="00A8784E" w:rsidP="0084656B">
      <w:pPr>
        <w:rPr>
          <w:lang w:val="en-US"/>
        </w:rPr>
      </w:pPr>
    </w:p>
    <w:p w14:paraId="03BE029E" w14:textId="77777777" w:rsidR="00096A85" w:rsidRDefault="00096A85" w:rsidP="0084656B">
      <w:pPr>
        <w:rPr>
          <w:lang w:val="en-US"/>
        </w:rPr>
      </w:pPr>
    </w:p>
    <w:p w14:paraId="4E1547B7" w14:textId="77777777" w:rsidR="006F1C5D" w:rsidRPr="00CC40CC" w:rsidRDefault="006F1C5D" w:rsidP="006F1C5D"/>
    <w:p w14:paraId="701E8CB8" w14:textId="77777777" w:rsidR="005806DF" w:rsidRPr="005806DF" w:rsidRDefault="005806DF" w:rsidP="005806DF">
      <w:pPr>
        <w:rPr>
          <w:b/>
          <w:bCs/>
          <w:lang w:val="en-US"/>
        </w:rPr>
      </w:pPr>
      <w:r w:rsidRPr="005806DF">
        <w:rPr>
          <w:b/>
          <w:bCs/>
          <w:lang w:val="en-US"/>
        </w:rPr>
        <w:t>Short benchmark commentary</w:t>
      </w:r>
    </w:p>
    <w:p w14:paraId="5F09599D" w14:textId="77777777" w:rsidR="005806DF" w:rsidRPr="005806DF" w:rsidRDefault="005806DF" w:rsidP="005806DF">
      <w:pPr>
        <w:rPr>
          <w:b/>
          <w:bCs/>
          <w:lang w:val="en-US"/>
        </w:rPr>
      </w:pPr>
      <w:r w:rsidRPr="005806DF">
        <w:rPr>
          <w:b/>
          <w:bCs/>
          <w:lang w:val="en-US"/>
        </w:rPr>
        <w:t>Return on Equity (ROE)</w:t>
      </w:r>
      <w:r w:rsidRPr="005806DF">
        <w:rPr>
          <w:b/>
          <w:bCs/>
          <w:lang w:val="en-US"/>
        </w:rPr>
        <w:br/>
        <w:t xml:space="preserve">Marriott's ROE is reported as Not Meaningful (NM) because shareholders' equity is negative due to extensive share repurchases. Hilton has a similar capital structure, while Hyatt reports positive shareholders' equity and therefore a meaningful ROE. </w:t>
      </w:r>
    </w:p>
    <w:p w14:paraId="04BFD619" w14:textId="77777777" w:rsidR="005806DF" w:rsidRPr="005806DF" w:rsidRDefault="005806DF" w:rsidP="005806DF">
      <w:pPr>
        <w:rPr>
          <w:b/>
          <w:bCs/>
          <w:lang w:val="en-US"/>
        </w:rPr>
      </w:pPr>
      <w:r w:rsidRPr="005806DF">
        <w:rPr>
          <w:b/>
          <w:bCs/>
          <w:lang w:val="en-US"/>
        </w:rPr>
        <w:t>Return on Assets (ROA)</w:t>
      </w:r>
      <w:r w:rsidRPr="005806DF">
        <w:rPr>
          <w:b/>
          <w:bCs/>
          <w:lang w:val="en-US"/>
        </w:rPr>
        <w:br/>
        <w:t xml:space="preserve">Marriott achieved the highest ROA (9.4%), demonstrating that it used its assets more efficiently than Hilton and Hyatt to generate profits. This reflects the strength of Marriott's asset-light business model. </w:t>
      </w:r>
    </w:p>
    <w:p w14:paraId="4E852C70" w14:textId="77777777" w:rsidR="005806DF" w:rsidRPr="005806DF" w:rsidRDefault="005806DF" w:rsidP="005806DF">
      <w:pPr>
        <w:rPr>
          <w:b/>
          <w:bCs/>
          <w:lang w:val="en-US"/>
        </w:rPr>
      </w:pPr>
      <w:r w:rsidRPr="005806DF">
        <w:rPr>
          <w:b/>
          <w:bCs/>
          <w:lang w:val="en-US"/>
        </w:rPr>
        <w:t>Price-to-Earnings (P/E) Ratio</w:t>
      </w:r>
      <w:r w:rsidRPr="005806DF">
        <w:rPr>
          <w:b/>
          <w:bCs/>
          <w:lang w:val="en-US"/>
        </w:rPr>
        <w:br/>
        <w:t xml:space="preserve">Marriott's P/E ratio of 29.1 indicates strong investor confidence, although Hilton's higher valuation suggests the market expects slightly stronger future growth. </w:t>
      </w:r>
    </w:p>
    <w:p w14:paraId="660696BB" w14:textId="77777777" w:rsidR="005806DF" w:rsidRPr="005806DF" w:rsidRDefault="005806DF" w:rsidP="005806DF">
      <w:pPr>
        <w:rPr>
          <w:b/>
          <w:bCs/>
          <w:lang w:val="en-US"/>
        </w:rPr>
      </w:pPr>
      <w:r w:rsidRPr="005806DF">
        <w:rPr>
          <w:b/>
          <w:bCs/>
          <w:lang w:val="en-US"/>
        </w:rPr>
        <w:t>Operating Cash Flow Ratio</w:t>
      </w:r>
      <w:r w:rsidRPr="005806DF">
        <w:rPr>
          <w:b/>
          <w:bCs/>
          <w:lang w:val="en-US"/>
        </w:rPr>
        <w:br/>
        <w:t xml:space="preserve">Marriott reported the strongest operating cash flow ratio, indicating a greater ability to meet short-term liabilities using cash generated from operations. This demonstrates effective working capital and cash flow management. </w:t>
      </w:r>
    </w:p>
    <w:p w14:paraId="25D1802B" w14:textId="77777777" w:rsidR="005806DF" w:rsidRPr="005806DF" w:rsidRDefault="005806DF" w:rsidP="005806DF">
      <w:pPr>
        <w:rPr>
          <w:b/>
          <w:bCs/>
          <w:lang w:val="en-US"/>
        </w:rPr>
      </w:pPr>
      <w:r w:rsidRPr="005806DF">
        <w:rPr>
          <w:b/>
          <w:bCs/>
          <w:lang w:val="en-US"/>
        </w:rPr>
        <w:t>Free Cash Flow Margin</w:t>
      </w:r>
      <w:r w:rsidRPr="005806DF">
        <w:rPr>
          <w:b/>
          <w:bCs/>
          <w:lang w:val="en-US"/>
        </w:rPr>
        <w:br/>
        <w:t xml:space="preserve">Marriott outperformed both competitors with a free cash flow margin of 10.0%, meaning it converted a larger proportion of revenue into free cash flow. This provides greater flexibility to fund expansion, dividends and share repurchases. </w:t>
      </w:r>
    </w:p>
    <w:p w14:paraId="0C0D79A9" w14:textId="77777777" w:rsidR="006F1C5D" w:rsidRPr="00CC40CC" w:rsidRDefault="006F1C5D" w:rsidP="006F1C5D">
      <w:pPr>
        <w:rPr>
          <w:lang w:val="en-US"/>
        </w:rPr>
      </w:pPr>
    </w:p>
    <w:p w14:paraId="0D9FFF64" w14:textId="77777777" w:rsidR="006F1C5D" w:rsidRPr="00CC40CC" w:rsidRDefault="006F1C5D" w:rsidP="0084656B">
      <w:pPr>
        <w:rPr>
          <w:lang w:val="en-US"/>
        </w:rPr>
      </w:pPr>
    </w:p>
    <w:p w14:paraId="1185C99D" w14:textId="126A4CBC" w:rsidR="00096A85" w:rsidRPr="006F1C5D" w:rsidRDefault="006F1C5D" w:rsidP="0084656B">
      <w:pPr>
        <w:rPr>
          <w:b/>
          <w:bCs/>
          <w:lang w:val="en-US"/>
        </w:rPr>
      </w:pPr>
      <w:r w:rsidRPr="006F1C5D">
        <w:rPr>
          <w:b/>
          <w:bCs/>
          <w:lang w:val="en-US"/>
        </w:rPr>
        <w:t>Week 7</w:t>
      </w:r>
    </w:p>
    <w:p w14:paraId="2DBFE1EA" w14:textId="77777777" w:rsidR="00096A85" w:rsidRPr="006F1C5D" w:rsidRDefault="00096A85" w:rsidP="00096A85">
      <w:pPr>
        <w:rPr>
          <w:b/>
          <w:bCs/>
          <w:lang w:val="en-US"/>
        </w:rPr>
      </w:pPr>
      <w:r w:rsidRPr="006F1C5D">
        <w:rPr>
          <w:b/>
          <w:bCs/>
          <w:lang w:val="en-US"/>
        </w:rPr>
        <w:t>Cash Conversion Cycle (CCC)</w:t>
      </w:r>
    </w:p>
    <w:p w14:paraId="354A9AE3" w14:textId="77777777" w:rsidR="00096A85" w:rsidRPr="00CC40CC" w:rsidRDefault="00096A85" w:rsidP="00096A85">
      <w:pPr>
        <w:rPr>
          <w:lang w:val="en-US"/>
        </w:rPr>
      </w:pPr>
      <w:r w:rsidRPr="00CC40CC">
        <w:rPr>
          <w:lang w:val="en-US"/>
        </w:rPr>
        <w:t>The Cash Conversion Cycle shows how many days Marriott’s cash is tied up in day-to-day operations before it is collected from customers.</w:t>
      </w:r>
    </w:p>
    <w:p w14:paraId="0A24B7E1" w14:textId="77777777" w:rsidR="00096A85" w:rsidRPr="00CC40CC" w:rsidRDefault="00096A85" w:rsidP="00096A85">
      <w:pPr>
        <w:rPr>
          <w:lang w:val="en-US"/>
        </w:rPr>
      </w:pPr>
      <w:r w:rsidRPr="00CC40CC">
        <w:rPr>
          <w:lang w:val="en-US"/>
        </w:rPr>
        <w:t>CCC = Inventory Days + Receivable Days − Payable Days</w:t>
      </w:r>
    </w:p>
    <w:p w14:paraId="3DAEFC2B" w14:textId="77777777" w:rsidR="00096A85" w:rsidRPr="00CC40CC" w:rsidRDefault="00096A85" w:rsidP="00096A85">
      <w:pPr>
        <w:rPr>
          <w:lang w:val="en-US"/>
        </w:rPr>
      </w:pPr>
      <w:r w:rsidRPr="00CC40CC">
        <w:rPr>
          <w:lang w:val="en-US"/>
        </w:rPr>
        <w:t>Marriott does not separately report inventory in its consolidated balance sheet because it mainly operates an asset-light hotel management and franchise business. Therefore, Inventory Days are treated as 0 for this calculation.</w:t>
      </w:r>
    </w:p>
    <w:p w14:paraId="7D0CD7C2" w14:textId="77777777" w:rsidR="00096A85" w:rsidRPr="00CC40CC" w:rsidRDefault="00096A85" w:rsidP="00096A85">
      <w:pPr>
        <w:rPr>
          <w:lang w:val="en-US"/>
        </w:rPr>
      </w:pPr>
      <w:r w:rsidRPr="00CC40CC">
        <w:rPr>
          <w:lang w:val="en-US"/>
        </w:rPr>
        <w:t>Formulas used</w:t>
      </w:r>
    </w:p>
    <w:p w14:paraId="70BE1B05" w14:textId="77777777" w:rsidR="00096A85" w:rsidRPr="00CC40CC" w:rsidRDefault="00096A85" w:rsidP="00096A85">
      <w:pPr>
        <w:rPr>
          <w:lang w:val="en-US"/>
        </w:rPr>
      </w:pPr>
      <w:r w:rsidRPr="00CC40CC">
        <w:rPr>
          <w:lang w:val="en-US"/>
        </w:rPr>
        <w:t>Receivable Days</w:t>
      </w:r>
    </w:p>
    <w:p w14:paraId="481F7E3C" w14:textId="74092487" w:rsidR="00096A85" w:rsidRPr="00CC40CC" w:rsidRDefault="00096A85" w:rsidP="00096A85">
      <w:pPr>
        <w:rPr>
          <w:lang w:val="en-US"/>
        </w:rPr>
      </w:pPr>
      <m:oMathPara>
        <m:oMath>
          <m:r>
            <m:rPr>
              <m:nor/>
            </m:rPr>
            <w:rPr>
              <w:lang w:val="en-US"/>
            </w:rPr>
            <m:t>Average receivables</m:t>
          </m:r>
          <m:r>
            <w:rPr>
              <w:rFonts w:ascii="Cambria Math" w:hAnsi="Cambria Math"/>
              <w:lang w:val="en-US"/>
            </w:rPr>
            <m:t>÷</m:t>
          </m:r>
          <m:r>
            <m:rPr>
              <m:nor/>
            </m:rPr>
            <w:rPr>
              <w:lang w:val="en-US"/>
            </w:rPr>
            <m:t>Revenue</m:t>
          </m:r>
          <m:r>
            <w:rPr>
              <w:rFonts w:ascii="Cambria Math" w:hAnsi="Cambria Math"/>
              <w:lang w:val="en-US"/>
            </w:rPr>
            <m:t>×365</m:t>
          </m:r>
          <m:r>
            <w:rPr>
              <w:lang w:val="en-US"/>
            </w:rPr>
            <w:br/>
          </m:r>
        </m:oMath>
      </m:oMathPara>
    </w:p>
    <w:p w14:paraId="7B3AA187" w14:textId="77777777" w:rsidR="00096A85" w:rsidRPr="00CC40CC" w:rsidRDefault="00096A85" w:rsidP="00096A85">
      <w:pPr>
        <w:rPr>
          <w:lang w:val="en-US"/>
        </w:rPr>
      </w:pPr>
      <w:r w:rsidRPr="00CC40CC">
        <w:rPr>
          <w:lang w:val="en-US"/>
        </w:rPr>
        <w:lastRenderedPageBreak/>
        <w:t>Payable Days</w:t>
      </w:r>
    </w:p>
    <w:p w14:paraId="1353C12A" w14:textId="59CF9441" w:rsidR="00096A85" w:rsidRPr="00CC40CC" w:rsidRDefault="00096A85" w:rsidP="00096A85">
      <w:pPr>
        <w:rPr>
          <w:lang w:val="en-US"/>
        </w:rPr>
      </w:pPr>
      <m:oMathPara>
        <m:oMath>
          <m:r>
            <m:rPr>
              <m:nor/>
            </m:rPr>
            <w:rPr>
              <w:lang w:val="en-US"/>
            </w:rPr>
            <m:t>Average accounts payable</m:t>
          </m:r>
          <m:r>
            <w:rPr>
              <w:rFonts w:ascii="Cambria Math" w:hAnsi="Cambria Math"/>
              <w:lang w:val="en-US"/>
            </w:rPr>
            <m:t>÷</m:t>
          </m:r>
          <m:r>
            <m:rPr>
              <m:nor/>
            </m:rPr>
            <w:rPr>
              <w:lang w:val="en-US"/>
            </w:rPr>
            <m:t>Cost of revenues</m:t>
          </m:r>
          <m:r>
            <w:rPr>
              <w:rFonts w:ascii="Cambria Math" w:hAnsi="Cambria Math"/>
              <w:lang w:val="en-US"/>
            </w:rPr>
            <m:t>×365</m:t>
          </m:r>
          <m:r>
            <w:rPr>
              <w:lang w:val="en-US"/>
            </w:rPr>
            <w:br/>
          </m:r>
        </m:oMath>
      </m:oMathPara>
    </w:p>
    <w:p w14:paraId="0F262B52" w14:textId="77777777" w:rsidR="00096A85" w:rsidRPr="00CC40CC" w:rsidRDefault="00096A85" w:rsidP="00096A85">
      <w:pPr>
        <w:rPr>
          <w:lang w:val="en-US"/>
        </w:rPr>
      </w:pPr>
      <w:r w:rsidRPr="00CC40CC">
        <w:rPr>
          <w:lang w:val="en-US"/>
        </w:rPr>
        <w:t>Average balance</w:t>
      </w:r>
    </w:p>
    <w:p w14:paraId="4658B212" w14:textId="2B2BBA00" w:rsidR="00096A85" w:rsidRPr="00CC40CC" w:rsidRDefault="00CC40CC" w:rsidP="00096A85">
      <w:pPr>
        <w:rPr>
          <w:lang w:val="en-US"/>
        </w:rPr>
      </w:pPr>
      <m:oMathPara>
        <m:oMath>
          <m:r>
            <w:rPr>
              <w:rFonts w:ascii="Cambria Math" w:hAnsi="Cambria Math"/>
              <w:lang w:val="en-US"/>
            </w:rPr>
            <m:t>(</m:t>
          </m:r>
          <m:r>
            <m:rPr>
              <m:nor/>
            </m:rPr>
            <w:rPr>
              <w:lang w:val="en-US"/>
            </w:rPr>
            <m:t>Opening balance</m:t>
          </m:r>
          <m:r>
            <w:rPr>
              <w:rFonts w:ascii="Cambria Math" w:hAnsi="Cambria Math"/>
              <w:lang w:val="en-US"/>
            </w:rPr>
            <m:t>+</m:t>
          </m:r>
          <m:r>
            <m:rPr>
              <m:nor/>
            </m:rPr>
            <w:rPr>
              <w:lang w:val="en-US"/>
            </w:rPr>
            <m:t>Closing balance</m:t>
          </m:r>
          <m:r>
            <w:rPr>
              <w:rFonts w:ascii="Cambria Math" w:hAnsi="Cambria Math"/>
              <w:lang w:val="en-US"/>
            </w:rPr>
            <m:t>)÷2</m:t>
          </m:r>
          <m:r>
            <w:rPr>
              <w:lang w:val="en-US"/>
            </w:rPr>
            <w:br/>
          </m:r>
        </m:oMath>
      </m:oMathPara>
    </w:p>
    <w:p w14:paraId="53B428BE" w14:textId="77777777" w:rsidR="00096A85" w:rsidRPr="00CC40CC" w:rsidRDefault="00096A85" w:rsidP="00096A85">
      <w:pPr>
        <w:rPr>
          <w:lang w:val="en-US"/>
        </w:rPr>
      </w:pPr>
      <w:r w:rsidRPr="00CC40CC">
        <w:rPr>
          <w:lang w:val="en-US"/>
        </w:rPr>
        <w:t>All financial statement values are in USD millions.</w:t>
      </w:r>
    </w:p>
    <w:p w14:paraId="418BD073" w14:textId="77777777" w:rsidR="00096A85" w:rsidRPr="00CC40CC" w:rsidRDefault="00096A85" w:rsidP="00096A85">
      <w:pPr>
        <w:rPr>
          <w:lang w:val="en-US"/>
        </w:rPr>
      </w:pPr>
      <w:r w:rsidRPr="00CC40CC">
        <w:rPr>
          <w:lang w:val="en-US"/>
        </w:rPr>
        <w:t>Workings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08"/>
        <w:gridCol w:w="1100"/>
        <w:gridCol w:w="1100"/>
        <w:gridCol w:w="1100"/>
        <w:gridCol w:w="1100"/>
        <w:gridCol w:w="1115"/>
      </w:tblGrid>
      <w:tr w:rsidR="00096A85" w:rsidRPr="00CC40CC" w14:paraId="74F07038" w14:textId="77777777">
        <w:trPr>
          <w:tblHeader/>
          <w:tblCellSpacing w:w="15" w:type="dxa"/>
        </w:trPr>
        <w:tc>
          <w:tcPr>
            <w:tcW w:w="0" w:type="auto"/>
            <w:vAlign w:val="center"/>
            <w:hideMark/>
          </w:tcPr>
          <w:p w14:paraId="2BC893EF" w14:textId="77777777" w:rsidR="00096A85" w:rsidRPr="00CC40CC" w:rsidRDefault="00096A85" w:rsidP="00096A85">
            <w:pPr>
              <w:rPr>
                <w:lang w:val="en-US"/>
              </w:rPr>
            </w:pPr>
            <w:r w:rsidRPr="00CC40CC">
              <w:rPr>
                <w:lang w:val="en-US"/>
              </w:rPr>
              <w:t>Calculation</w:t>
            </w:r>
          </w:p>
        </w:tc>
        <w:tc>
          <w:tcPr>
            <w:tcW w:w="0" w:type="auto"/>
            <w:vAlign w:val="center"/>
            <w:hideMark/>
          </w:tcPr>
          <w:p w14:paraId="48E00E97" w14:textId="77777777" w:rsidR="00096A85" w:rsidRPr="00CC40CC" w:rsidRDefault="00096A85" w:rsidP="00096A85">
            <w:pPr>
              <w:rPr>
                <w:lang w:val="en-US"/>
              </w:rPr>
            </w:pPr>
            <w:r w:rsidRPr="00CC40CC">
              <w:rPr>
                <w:lang w:val="en-US"/>
              </w:rPr>
              <w:t>2025</w:t>
            </w:r>
          </w:p>
        </w:tc>
        <w:tc>
          <w:tcPr>
            <w:tcW w:w="0" w:type="auto"/>
            <w:vAlign w:val="center"/>
            <w:hideMark/>
          </w:tcPr>
          <w:p w14:paraId="569C9DBB" w14:textId="77777777" w:rsidR="00096A85" w:rsidRPr="00CC40CC" w:rsidRDefault="00096A85" w:rsidP="00096A85">
            <w:pPr>
              <w:rPr>
                <w:lang w:val="en-US"/>
              </w:rPr>
            </w:pPr>
            <w:r w:rsidRPr="00CC40CC">
              <w:rPr>
                <w:lang w:val="en-US"/>
              </w:rPr>
              <w:t>2024</w:t>
            </w:r>
          </w:p>
        </w:tc>
        <w:tc>
          <w:tcPr>
            <w:tcW w:w="0" w:type="auto"/>
            <w:vAlign w:val="center"/>
            <w:hideMark/>
          </w:tcPr>
          <w:p w14:paraId="515BF7D5" w14:textId="77777777" w:rsidR="00096A85" w:rsidRPr="00CC40CC" w:rsidRDefault="00096A85" w:rsidP="00096A85">
            <w:pPr>
              <w:rPr>
                <w:lang w:val="en-US"/>
              </w:rPr>
            </w:pPr>
            <w:r w:rsidRPr="00CC40CC">
              <w:rPr>
                <w:lang w:val="en-US"/>
              </w:rPr>
              <w:t>2023</w:t>
            </w:r>
          </w:p>
        </w:tc>
        <w:tc>
          <w:tcPr>
            <w:tcW w:w="0" w:type="auto"/>
            <w:vAlign w:val="center"/>
            <w:hideMark/>
          </w:tcPr>
          <w:p w14:paraId="503F8B9B" w14:textId="77777777" w:rsidR="00096A85" w:rsidRPr="00CC40CC" w:rsidRDefault="00096A85" w:rsidP="00096A85">
            <w:pPr>
              <w:rPr>
                <w:lang w:val="en-US"/>
              </w:rPr>
            </w:pPr>
            <w:r w:rsidRPr="00CC40CC">
              <w:rPr>
                <w:lang w:val="en-US"/>
              </w:rPr>
              <w:t>2022</w:t>
            </w:r>
          </w:p>
        </w:tc>
        <w:tc>
          <w:tcPr>
            <w:tcW w:w="0" w:type="auto"/>
            <w:vAlign w:val="center"/>
            <w:hideMark/>
          </w:tcPr>
          <w:p w14:paraId="30DBA25C" w14:textId="77777777" w:rsidR="00096A85" w:rsidRPr="00CC40CC" w:rsidRDefault="00096A85" w:rsidP="00096A85">
            <w:pPr>
              <w:rPr>
                <w:lang w:val="en-US"/>
              </w:rPr>
            </w:pPr>
            <w:r w:rsidRPr="00CC40CC">
              <w:rPr>
                <w:lang w:val="en-US"/>
              </w:rPr>
              <w:t>2021</w:t>
            </w:r>
          </w:p>
        </w:tc>
      </w:tr>
      <w:tr w:rsidR="00096A85" w:rsidRPr="00CC40CC" w14:paraId="3E9E7496" w14:textId="77777777">
        <w:trPr>
          <w:tblCellSpacing w:w="15" w:type="dxa"/>
        </w:trPr>
        <w:tc>
          <w:tcPr>
            <w:tcW w:w="0" w:type="auto"/>
            <w:vAlign w:val="center"/>
            <w:hideMark/>
          </w:tcPr>
          <w:p w14:paraId="470E1B84" w14:textId="77777777" w:rsidR="00096A85" w:rsidRPr="00CC40CC" w:rsidRDefault="00096A85" w:rsidP="00096A85">
            <w:pPr>
              <w:rPr>
                <w:lang w:val="en-US"/>
              </w:rPr>
            </w:pPr>
            <w:r w:rsidRPr="00CC40CC">
              <w:rPr>
                <w:lang w:val="en-US"/>
              </w:rPr>
              <w:t>Opening receivables</w:t>
            </w:r>
          </w:p>
        </w:tc>
        <w:tc>
          <w:tcPr>
            <w:tcW w:w="0" w:type="auto"/>
            <w:vAlign w:val="center"/>
            <w:hideMark/>
          </w:tcPr>
          <w:p w14:paraId="03426482" w14:textId="77777777" w:rsidR="00096A85" w:rsidRPr="00CC40CC" w:rsidRDefault="00096A85" w:rsidP="00096A85">
            <w:pPr>
              <w:rPr>
                <w:lang w:val="en-US"/>
              </w:rPr>
            </w:pPr>
            <w:r w:rsidRPr="00CC40CC">
              <w:rPr>
                <w:lang w:val="en-US"/>
              </w:rPr>
              <w:t>2,795</w:t>
            </w:r>
          </w:p>
        </w:tc>
        <w:tc>
          <w:tcPr>
            <w:tcW w:w="0" w:type="auto"/>
            <w:vAlign w:val="center"/>
            <w:hideMark/>
          </w:tcPr>
          <w:p w14:paraId="251682A1" w14:textId="77777777" w:rsidR="00096A85" w:rsidRPr="00CC40CC" w:rsidRDefault="00096A85" w:rsidP="00096A85">
            <w:pPr>
              <w:rPr>
                <w:lang w:val="en-US"/>
              </w:rPr>
            </w:pPr>
            <w:r w:rsidRPr="00CC40CC">
              <w:rPr>
                <w:lang w:val="en-US"/>
              </w:rPr>
              <w:t>2,712</w:t>
            </w:r>
          </w:p>
        </w:tc>
        <w:tc>
          <w:tcPr>
            <w:tcW w:w="0" w:type="auto"/>
            <w:vAlign w:val="center"/>
            <w:hideMark/>
          </w:tcPr>
          <w:p w14:paraId="6B9E2531" w14:textId="77777777" w:rsidR="00096A85" w:rsidRPr="00CC40CC" w:rsidRDefault="00096A85" w:rsidP="00096A85">
            <w:pPr>
              <w:rPr>
                <w:lang w:val="en-US"/>
              </w:rPr>
            </w:pPr>
            <w:r w:rsidRPr="00CC40CC">
              <w:rPr>
                <w:lang w:val="en-US"/>
              </w:rPr>
              <w:t>2,571</w:t>
            </w:r>
          </w:p>
        </w:tc>
        <w:tc>
          <w:tcPr>
            <w:tcW w:w="0" w:type="auto"/>
            <w:vAlign w:val="center"/>
            <w:hideMark/>
          </w:tcPr>
          <w:p w14:paraId="2D05BD51" w14:textId="77777777" w:rsidR="00096A85" w:rsidRPr="00CC40CC" w:rsidRDefault="00096A85" w:rsidP="00096A85">
            <w:pPr>
              <w:rPr>
                <w:lang w:val="en-US"/>
              </w:rPr>
            </w:pPr>
            <w:r w:rsidRPr="00CC40CC">
              <w:rPr>
                <w:lang w:val="en-US"/>
              </w:rPr>
              <w:t>1,982</w:t>
            </w:r>
          </w:p>
        </w:tc>
        <w:tc>
          <w:tcPr>
            <w:tcW w:w="0" w:type="auto"/>
            <w:vAlign w:val="center"/>
            <w:hideMark/>
          </w:tcPr>
          <w:p w14:paraId="503C9149" w14:textId="77777777" w:rsidR="00096A85" w:rsidRPr="00CC40CC" w:rsidRDefault="00096A85" w:rsidP="00096A85">
            <w:pPr>
              <w:rPr>
                <w:lang w:val="en-US"/>
              </w:rPr>
            </w:pPr>
            <w:r w:rsidRPr="00CC40CC">
              <w:rPr>
                <w:lang w:val="en-US"/>
              </w:rPr>
              <w:t>1,768</w:t>
            </w:r>
          </w:p>
        </w:tc>
      </w:tr>
      <w:tr w:rsidR="00096A85" w:rsidRPr="00CC40CC" w14:paraId="74815DCC" w14:textId="77777777">
        <w:trPr>
          <w:tblCellSpacing w:w="15" w:type="dxa"/>
        </w:trPr>
        <w:tc>
          <w:tcPr>
            <w:tcW w:w="0" w:type="auto"/>
            <w:vAlign w:val="center"/>
            <w:hideMark/>
          </w:tcPr>
          <w:p w14:paraId="5FEB7AE1" w14:textId="77777777" w:rsidR="00096A85" w:rsidRPr="00CC40CC" w:rsidRDefault="00096A85" w:rsidP="00096A85">
            <w:pPr>
              <w:rPr>
                <w:lang w:val="en-US"/>
              </w:rPr>
            </w:pPr>
            <w:r w:rsidRPr="00CC40CC">
              <w:rPr>
                <w:lang w:val="en-US"/>
              </w:rPr>
              <w:t>Closing receivables</w:t>
            </w:r>
          </w:p>
        </w:tc>
        <w:tc>
          <w:tcPr>
            <w:tcW w:w="0" w:type="auto"/>
            <w:vAlign w:val="center"/>
            <w:hideMark/>
          </w:tcPr>
          <w:p w14:paraId="67D5E227" w14:textId="77777777" w:rsidR="00096A85" w:rsidRPr="00CC40CC" w:rsidRDefault="00096A85" w:rsidP="00096A85">
            <w:pPr>
              <w:rPr>
                <w:lang w:val="en-US"/>
              </w:rPr>
            </w:pPr>
            <w:r w:rsidRPr="00CC40CC">
              <w:rPr>
                <w:lang w:val="en-US"/>
              </w:rPr>
              <w:t>2,909</w:t>
            </w:r>
          </w:p>
        </w:tc>
        <w:tc>
          <w:tcPr>
            <w:tcW w:w="0" w:type="auto"/>
            <w:vAlign w:val="center"/>
            <w:hideMark/>
          </w:tcPr>
          <w:p w14:paraId="1351D8E6" w14:textId="77777777" w:rsidR="00096A85" w:rsidRPr="00CC40CC" w:rsidRDefault="00096A85" w:rsidP="00096A85">
            <w:pPr>
              <w:rPr>
                <w:lang w:val="en-US"/>
              </w:rPr>
            </w:pPr>
            <w:r w:rsidRPr="00CC40CC">
              <w:rPr>
                <w:lang w:val="en-US"/>
              </w:rPr>
              <w:t>2,795</w:t>
            </w:r>
          </w:p>
        </w:tc>
        <w:tc>
          <w:tcPr>
            <w:tcW w:w="0" w:type="auto"/>
            <w:vAlign w:val="center"/>
            <w:hideMark/>
          </w:tcPr>
          <w:p w14:paraId="45FAA428" w14:textId="77777777" w:rsidR="00096A85" w:rsidRPr="00CC40CC" w:rsidRDefault="00096A85" w:rsidP="00096A85">
            <w:pPr>
              <w:rPr>
                <w:lang w:val="en-US"/>
              </w:rPr>
            </w:pPr>
            <w:r w:rsidRPr="00CC40CC">
              <w:rPr>
                <w:lang w:val="en-US"/>
              </w:rPr>
              <w:t>2,712</w:t>
            </w:r>
          </w:p>
        </w:tc>
        <w:tc>
          <w:tcPr>
            <w:tcW w:w="0" w:type="auto"/>
            <w:vAlign w:val="center"/>
            <w:hideMark/>
          </w:tcPr>
          <w:p w14:paraId="3B7859A4" w14:textId="77777777" w:rsidR="00096A85" w:rsidRPr="00CC40CC" w:rsidRDefault="00096A85" w:rsidP="00096A85">
            <w:pPr>
              <w:rPr>
                <w:lang w:val="en-US"/>
              </w:rPr>
            </w:pPr>
            <w:r w:rsidRPr="00CC40CC">
              <w:rPr>
                <w:lang w:val="en-US"/>
              </w:rPr>
              <w:t>2,571</w:t>
            </w:r>
          </w:p>
        </w:tc>
        <w:tc>
          <w:tcPr>
            <w:tcW w:w="0" w:type="auto"/>
            <w:vAlign w:val="center"/>
            <w:hideMark/>
          </w:tcPr>
          <w:p w14:paraId="1313AA85" w14:textId="77777777" w:rsidR="00096A85" w:rsidRPr="00CC40CC" w:rsidRDefault="00096A85" w:rsidP="00096A85">
            <w:pPr>
              <w:rPr>
                <w:lang w:val="en-US"/>
              </w:rPr>
            </w:pPr>
            <w:r w:rsidRPr="00CC40CC">
              <w:rPr>
                <w:lang w:val="en-US"/>
              </w:rPr>
              <w:t>1,982</w:t>
            </w:r>
          </w:p>
        </w:tc>
      </w:tr>
      <w:tr w:rsidR="00096A85" w:rsidRPr="00CC40CC" w14:paraId="4908C7C9" w14:textId="77777777">
        <w:trPr>
          <w:tblCellSpacing w:w="15" w:type="dxa"/>
        </w:trPr>
        <w:tc>
          <w:tcPr>
            <w:tcW w:w="0" w:type="auto"/>
            <w:vAlign w:val="center"/>
            <w:hideMark/>
          </w:tcPr>
          <w:p w14:paraId="21F83EC4" w14:textId="77777777" w:rsidR="00096A85" w:rsidRPr="00CC40CC" w:rsidRDefault="00096A85" w:rsidP="00096A85">
            <w:pPr>
              <w:rPr>
                <w:lang w:val="en-US"/>
              </w:rPr>
            </w:pPr>
            <w:r w:rsidRPr="00CC40CC">
              <w:rPr>
                <w:lang w:val="en-US"/>
              </w:rPr>
              <w:t>Average receivables</w:t>
            </w:r>
          </w:p>
        </w:tc>
        <w:tc>
          <w:tcPr>
            <w:tcW w:w="0" w:type="auto"/>
            <w:vAlign w:val="center"/>
            <w:hideMark/>
          </w:tcPr>
          <w:p w14:paraId="4B8CAF28" w14:textId="77777777" w:rsidR="00096A85" w:rsidRPr="00CC40CC" w:rsidRDefault="00096A85" w:rsidP="00096A85">
            <w:pPr>
              <w:rPr>
                <w:lang w:val="en-US"/>
              </w:rPr>
            </w:pPr>
            <w:r w:rsidRPr="00CC40CC">
              <w:rPr>
                <w:lang w:val="en-US"/>
              </w:rPr>
              <w:t>2,852.0</w:t>
            </w:r>
          </w:p>
        </w:tc>
        <w:tc>
          <w:tcPr>
            <w:tcW w:w="0" w:type="auto"/>
            <w:vAlign w:val="center"/>
            <w:hideMark/>
          </w:tcPr>
          <w:p w14:paraId="6F287615" w14:textId="77777777" w:rsidR="00096A85" w:rsidRPr="00CC40CC" w:rsidRDefault="00096A85" w:rsidP="00096A85">
            <w:pPr>
              <w:rPr>
                <w:lang w:val="en-US"/>
              </w:rPr>
            </w:pPr>
            <w:r w:rsidRPr="00CC40CC">
              <w:rPr>
                <w:lang w:val="en-US"/>
              </w:rPr>
              <w:t>2,753.5</w:t>
            </w:r>
          </w:p>
        </w:tc>
        <w:tc>
          <w:tcPr>
            <w:tcW w:w="0" w:type="auto"/>
            <w:vAlign w:val="center"/>
            <w:hideMark/>
          </w:tcPr>
          <w:p w14:paraId="7E46FAB0" w14:textId="77777777" w:rsidR="00096A85" w:rsidRPr="00CC40CC" w:rsidRDefault="00096A85" w:rsidP="00096A85">
            <w:pPr>
              <w:rPr>
                <w:lang w:val="en-US"/>
              </w:rPr>
            </w:pPr>
            <w:r w:rsidRPr="00CC40CC">
              <w:rPr>
                <w:lang w:val="en-US"/>
              </w:rPr>
              <w:t>2,641.5</w:t>
            </w:r>
          </w:p>
        </w:tc>
        <w:tc>
          <w:tcPr>
            <w:tcW w:w="0" w:type="auto"/>
            <w:vAlign w:val="center"/>
            <w:hideMark/>
          </w:tcPr>
          <w:p w14:paraId="040C23E8" w14:textId="77777777" w:rsidR="00096A85" w:rsidRPr="00CC40CC" w:rsidRDefault="00096A85" w:rsidP="00096A85">
            <w:pPr>
              <w:rPr>
                <w:lang w:val="en-US"/>
              </w:rPr>
            </w:pPr>
            <w:r w:rsidRPr="00CC40CC">
              <w:rPr>
                <w:lang w:val="en-US"/>
              </w:rPr>
              <w:t>2,276.5</w:t>
            </w:r>
          </w:p>
        </w:tc>
        <w:tc>
          <w:tcPr>
            <w:tcW w:w="0" w:type="auto"/>
            <w:vAlign w:val="center"/>
            <w:hideMark/>
          </w:tcPr>
          <w:p w14:paraId="60CA3965" w14:textId="77777777" w:rsidR="00096A85" w:rsidRPr="00CC40CC" w:rsidRDefault="00096A85" w:rsidP="00096A85">
            <w:pPr>
              <w:rPr>
                <w:lang w:val="en-US"/>
              </w:rPr>
            </w:pPr>
            <w:r w:rsidRPr="00CC40CC">
              <w:rPr>
                <w:lang w:val="en-US"/>
              </w:rPr>
              <w:t>1,875.0</w:t>
            </w:r>
          </w:p>
        </w:tc>
      </w:tr>
      <w:tr w:rsidR="00096A85" w:rsidRPr="00CC40CC" w14:paraId="34E10276" w14:textId="77777777">
        <w:trPr>
          <w:tblCellSpacing w:w="15" w:type="dxa"/>
        </w:trPr>
        <w:tc>
          <w:tcPr>
            <w:tcW w:w="0" w:type="auto"/>
            <w:vAlign w:val="center"/>
            <w:hideMark/>
          </w:tcPr>
          <w:p w14:paraId="70E539AA" w14:textId="77777777" w:rsidR="00096A85" w:rsidRPr="00CC40CC" w:rsidRDefault="00096A85" w:rsidP="00096A85">
            <w:pPr>
              <w:rPr>
                <w:lang w:val="en-US"/>
              </w:rPr>
            </w:pPr>
            <w:r w:rsidRPr="00CC40CC">
              <w:rPr>
                <w:lang w:val="en-US"/>
              </w:rPr>
              <w:t>Revenue</w:t>
            </w:r>
          </w:p>
        </w:tc>
        <w:tc>
          <w:tcPr>
            <w:tcW w:w="0" w:type="auto"/>
            <w:vAlign w:val="center"/>
            <w:hideMark/>
          </w:tcPr>
          <w:p w14:paraId="24E2322F" w14:textId="77777777" w:rsidR="00096A85" w:rsidRPr="00CC40CC" w:rsidRDefault="00096A85" w:rsidP="00096A85">
            <w:pPr>
              <w:rPr>
                <w:lang w:val="en-US"/>
              </w:rPr>
            </w:pPr>
            <w:r w:rsidRPr="00CC40CC">
              <w:rPr>
                <w:lang w:val="en-US"/>
              </w:rPr>
              <w:t>26,186</w:t>
            </w:r>
          </w:p>
        </w:tc>
        <w:tc>
          <w:tcPr>
            <w:tcW w:w="0" w:type="auto"/>
            <w:vAlign w:val="center"/>
            <w:hideMark/>
          </w:tcPr>
          <w:p w14:paraId="14ABFFA1" w14:textId="77777777" w:rsidR="00096A85" w:rsidRPr="00CC40CC" w:rsidRDefault="00096A85" w:rsidP="00096A85">
            <w:pPr>
              <w:rPr>
                <w:lang w:val="en-US"/>
              </w:rPr>
            </w:pPr>
            <w:r w:rsidRPr="00CC40CC">
              <w:rPr>
                <w:lang w:val="en-US"/>
              </w:rPr>
              <w:t>25,100</w:t>
            </w:r>
          </w:p>
        </w:tc>
        <w:tc>
          <w:tcPr>
            <w:tcW w:w="0" w:type="auto"/>
            <w:vAlign w:val="center"/>
            <w:hideMark/>
          </w:tcPr>
          <w:p w14:paraId="257A9310" w14:textId="77777777" w:rsidR="00096A85" w:rsidRPr="00CC40CC" w:rsidRDefault="00096A85" w:rsidP="00096A85">
            <w:pPr>
              <w:rPr>
                <w:lang w:val="en-US"/>
              </w:rPr>
            </w:pPr>
            <w:r w:rsidRPr="00CC40CC">
              <w:rPr>
                <w:lang w:val="en-US"/>
              </w:rPr>
              <w:t>23,713</w:t>
            </w:r>
          </w:p>
        </w:tc>
        <w:tc>
          <w:tcPr>
            <w:tcW w:w="0" w:type="auto"/>
            <w:vAlign w:val="center"/>
            <w:hideMark/>
          </w:tcPr>
          <w:p w14:paraId="6A68A2E7" w14:textId="77777777" w:rsidR="00096A85" w:rsidRPr="00CC40CC" w:rsidRDefault="00096A85" w:rsidP="00096A85">
            <w:pPr>
              <w:rPr>
                <w:lang w:val="en-US"/>
              </w:rPr>
            </w:pPr>
            <w:r w:rsidRPr="00CC40CC">
              <w:rPr>
                <w:lang w:val="en-US"/>
              </w:rPr>
              <w:t>20,773</w:t>
            </w:r>
          </w:p>
        </w:tc>
        <w:tc>
          <w:tcPr>
            <w:tcW w:w="0" w:type="auto"/>
            <w:vAlign w:val="center"/>
            <w:hideMark/>
          </w:tcPr>
          <w:p w14:paraId="4B3E6CCE" w14:textId="77777777" w:rsidR="00096A85" w:rsidRPr="00CC40CC" w:rsidRDefault="00096A85" w:rsidP="00096A85">
            <w:pPr>
              <w:rPr>
                <w:lang w:val="en-US"/>
              </w:rPr>
            </w:pPr>
            <w:r w:rsidRPr="00CC40CC">
              <w:rPr>
                <w:lang w:val="en-US"/>
              </w:rPr>
              <w:t>13,857</w:t>
            </w:r>
          </w:p>
        </w:tc>
      </w:tr>
      <w:tr w:rsidR="00096A85" w:rsidRPr="00CC40CC" w14:paraId="1AA9EC73" w14:textId="77777777">
        <w:trPr>
          <w:tblCellSpacing w:w="15" w:type="dxa"/>
        </w:trPr>
        <w:tc>
          <w:tcPr>
            <w:tcW w:w="0" w:type="auto"/>
            <w:vAlign w:val="center"/>
            <w:hideMark/>
          </w:tcPr>
          <w:p w14:paraId="37284AB9" w14:textId="77777777" w:rsidR="00096A85" w:rsidRPr="00CC40CC" w:rsidRDefault="00096A85" w:rsidP="00096A85">
            <w:pPr>
              <w:rPr>
                <w:lang w:val="en-US"/>
              </w:rPr>
            </w:pPr>
            <w:r w:rsidRPr="00CC40CC">
              <w:rPr>
                <w:lang w:val="en-US"/>
              </w:rPr>
              <w:t>Receivable Days</w:t>
            </w:r>
          </w:p>
        </w:tc>
        <w:tc>
          <w:tcPr>
            <w:tcW w:w="0" w:type="auto"/>
            <w:vAlign w:val="center"/>
            <w:hideMark/>
          </w:tcPr>
          <w:p w14:paraId="1FC77D97" w14:textId="77777777" w:rsidR="00096A85" w:rsidRPr="00CC40CC" w:rsidRDefault="00096A85" w:rsidP="00096A85">
            <w:pPr>
              <w:rPr>
                <w:lang w:val="en-US"/>
              </w:rPr>
            </w:pPr>
            <w:r w:rsidRPr="00CC40CC">
              <w:rPr>
                <w:lang w:val="en-US"/>
              </w:rPr>
              <w:t>39.75</w:t>
            </w:r>
          </w:p>
        </w:tc>
        <w:tc>
          <w:tcPr>
            <w:tcW w:w="0" w:type="auto"/>
            <w:vAlign w:val="center"/>
            <w:hideMark/>
          </w:tcPr>
          <w:p w14:paraId="4329D04A" w14:textId="77777777" w:rsidR="00096A85" w:rsidRPr="00CC40CC" w:rsidRDefault="00096A85" w:rsidP="00096A85">
            <w:pPr>
              <w:rPr>
                <w:lang w:val="en-US"/>
              </w:rPr>
            </w:pPr>
            <w:r w:rsidRPr="00CC40CC">
              <w:rPr>
                <w:lang w:val="en-US"/>
              </w:rPr>
              <w:t>40.04</w:t>
            </w:r>
          </w:p>
        </w:tc>
        <w:tc>
          <w:tcPr>
            <w:tcW w:w="0" w:type="auto"/>
            <w:vAlign w:val="center"/>
            <w:hideMark/>
          </w:tcPr>
          <w:p w14:paraId="362876D5" w14:textId="77777777" w:rsidR="00096A85" w:rsidRPr="00CC40CC" w:rsidRDefault="00096A85" w:rsidP="00096A85">
            <w:pPr>
              <w:rPr>
                <w:lang w:val="en-US"/>
              </w:rPr>
            </w:pPr>
            <w:r w:rsidRPr="00CC40CC">
              <w:rPr>
                <w:lang w:val="en-US"/>
              </w:rPr>
              <w:t>40.66</w:t>
            </w:r>
          </w:p>
        </w:tc>
        <w:tc>
          <w:tcPr>
            <w:tcW w:w="0" w:type="auto"/>
            <w:vAlign w:val="center"/>
            <w:hideMark/>
          </w:tcPr>
          <w:p w14:paraId="49639BF3" w14:textId="77777777" w:rsidR="00096A85" w:rsidRPr="00CC40CC" w:rsidRDefault="00096A85" w:rsidP="00096A85">
            <w:pPr>
              <w:rPr>
                <w:lang w:val="en-US"/>
              </w:rPr>
            </w:pPr>
            <w:r w:rsidRPr="00CC40CC">
              <w:rPr>
                <w:lang w:val="en-US"/>
              </w:rPr>
              <w:t>40.00</w:t>
            </w:r>
          </w:p>
        </w:tc>
        <w:tc>
          <w:tcPr>
            <w:tcW w:w="0" w:type="auto"/>
            <w:vAlign w:val="center"/>
            <w:hideMark/>
          </w:tcPr>
          <w:p w14:paraId="0D629990" w14:textId="77777777" w:rsidR="00096A85" w:rsidRPr="00CC40CC" w:rsidRDefault="00096A85" w:rsidP="00096A85">
            <w:pPr>
              <w:rPr>
                <w:lang w:val="en-US"/>
              </w:rPr>
            </w:pPr>
            <w:r w:rsidRPr="00CC40CC">
              <w:rPr>
                <w:lang w:val="en-US"/>
              </w:rPr>
              <w:t>49.39</w:t>
            </w:r>
          </w:p>
        </w:tc>
      </w:tr>
      <w:tr w:rsidR="00096A85" w:rsidRPr="00CC40CC" w14:paraId="7BCDCCE7" w14:textId="77777777">
        <w:trPr>
          <w:tblCellSpacing w:w="15" w:type="dxa"/>
        </w:trPr>
        <w:tc>
          <w:tcPr>
            <w:tcW w:w="0" w:type="auto"/>
            <w:vAlign w:val="center"/>
            <w:hideMark/>
          </w:tcPr>
          <w:p w14:paraId="03E0C808" w14:textId="77777777" w:rsidR="00096A85" w:rsidRPr="00CC40CC" w:rsidRDefault="00096A85" w:rsidP="00096A85">
            <w:pPr>
              <w:rPr>
                <w:lang w:val="en-US"/>
              </w:rPr>
            </w:pPr>
            <w:r w:rsidRPr="00CC40CC">
              <w:rPr>
                <w:lang w:val="en-US"/>
              </w:rPr>
              <w:t>Opening accounts payable</w:t>
            </w:r>
          </w:p>
        </w:tc>
        <w:tc>
          <w:tcPr>
            <w:tcW w:w="0" w:type="auto"/>
            <w:vAlign w:val="center"/>
            <w:hideMark/>
          </w:tcPr>
          <w:p w14:paraId="61667C9F" w14:textId="77777777" w:rsidR="00096A85" w:rsidRPr="00CC40CC" w:rsidRDefault="00096A85" w:rsidP="00096A85">
            <w:pPr>
              <w:rPr>
                <w:lang w:val="en-US"/>
              </w:rPr>
            </w:pPr>
            <w:r w:rsidRPr="00CC40CC">
              <w:rPr>
                <w:lang w:val="en-US"/>
              </w:rPr>
              <w:t>763</w:t>
            </w:r>
          </w:p>
        </w:tc>
        <w:tc>
          <w:tcPr>
            <w:tcW w:w="0" w:type="auto"/>
            <w:vAlign w:val="center"/>
            <w:hideMark/>
          </w:tcPr>
          <w:p w14:paraId="33C7D5ED" w14:textId="77777777" w:rsidR="00096A85" w:rsidRPr="00CC40CC" w:rsidRDefault="00096A85" w:rsidP="00096A85">
            <w:pPr>
              <w:rPr>
                <w:lang w:val="en-US"/>
              </w:rPr>
            </w:pPr>
            <w:r w:rsidRPr="00CC40CC">
              <w:rPr>
                <w:lang w:val="en-US"/>
              </w:rPr>
              <w:t>738</w:t>
            </w:r>
          </w:p>
        </w:tc>
        <w:tc>
          <w:tcPr>
            <w:tcW w:w="0" w:type="auto"/>
            <w:vAlign w:val="center"/>
            <w:hideMark/>
          </w:tcPr>
          <w:p w14:paraId="1466A9BC" w14:textId="77777777" w:rsidR="00096A85" w:rsidRPr="00CC40CC" w:rsidRDefault="00096A85" w:rsidP="00096A85">
            <w:pPr>
              <w:rPr>
                <w:lang w:val="en-US"/>
              </w:rPr>
            </w:pPr>
            <w:r w:rsidRPr="00CC40CC">
              <w:rPr>
                <w:lang w:val="en-US"/>
              </w:rPr>
              <w:t>746</w:t>
            </w:r>
          </w:p>
        </w:tc>
        <w:tc>
          <w:tcPr>
            <w:tcW w:w="0" w:type="auto"/>
            <w:vAlign w:val="center"/>
            <w:hideMark/>
          </w:tcPr>
          <w:p w14:paraId="418A5375" w14:textId="77777777" w:rsidR="00096A85" w:rsidRPr="00CC40CC" w:rsidRDefault="00096A85" w:rsidP="00096A85">
            <w:pPr>
              <w:rPr>
                <w:lang w:val="en-US"/>
              </w:rPr>
            </w:pPr>
            <w:r w:rsidRPr="00CC40CC">
              <w:rPr>
                <w:lang w:val="en-US"/>
              </w:rPr>
              <w:t>726</w:t>
            </w:r>
          </w:p>
        </w:tc>
        <w:tc>
          <w:tcPr>
            <w:tcW w:w="0" w:type="auto"/>
            <w:vAlign w:val="center"/>
            <w:hideMark/>
          </w:tcPr>
          <w:p w14:paraId="72B09840" w14:textId="77777777" w:rsidR="00096A85" w:rsidRPr="00CC40CC" w:rsidRDefault="00096A85" w:rsidP="00096A85">
            <w:pPr>
              <w:rPr>
                <w:lang w:val="en-US"/>
              </w:rPr>
            </w:pPr>
            <w:r w:rsidRPr="00CC40CC">
              <w:rPr>
                <w:lang w:val="en-US"/>
              </w:rPr>
              <w:t>527</w:t>
            </w:r>
          </w:p>
        </w:tc>
      </w:tr>
      <w:tr w:rsidR="00096A85" w:rsidRPr="00CC40CC" w14:paraId="0C83737E" w14:textId="77777777">
        <w:trPr>
          <w:tblCellSpacing w:w="15" w:type="dxa"/>
        </w:trPr>
        <w:tc>
          <w:tcPr>
            <w:tcW w:w="0" w:type="auto"/>
            <w:vAlign w:val="center"/>
            <w:hideMark/>
          </w:tcPr>
          <w:p w14:paraId="213AAB49" w14:textId="77777777" w:rsidR="00096A85" w:rsidRPr="00CC40CC" w:rsidRDefault="00096A85" w:rsidP="00096A85">
            <w:pPr>
              <w:rPr>
                <w:lang w:val="en-US"/>
              </w:rPr>
            </w:pPr>
            <w:r w:rsidRPr="00CC40CC">
              <w:rPr>
                <w:lang w:val="en-US"/>
              </w:rPr>
              <w:t>Closing accounts payable</w:t>
            </w:r>
          </w:p>
        </w:tc>
        <w:tc>
          <w:tcPr>
            <w:tcW w:w="0" w:type="auto"/>
            <w:vAlign w:val="center"/>
            <w:hideMark/>
          </w:tcPr>
          <w:p w14:paraId="62C9E29D" w14:textId="77777777" w:rsidR="00096A85" w:rsidRPr="00CC40CC" w:rsidRDefault="00096A85" w:rsidP="00096A85">
            <w:pPr>
              <w:rPr>
                <w:lang w:val="en-US"/>
              </w:rPr>
            </w:pPr>
            <w:r w:rsidRPr="00CC40CC">
              <w:rPr>
                <w:lang w:val="en-US"/>
              </w:rPr>
              <w:t>814</w:t>
            </w:r>
          </w:p>
        </w:tc>
        <w:tc>
          <w:tcPr>
            <w:tcW w:w="0" w:type="auto"/>
            <w:vAlign w:val="center"/>
            <w:hideMark/>
          </w:tcPr>
          <w:p w14:paraId="76078BBB" w14:textId="77777777" w:rsidR="00096A85" w:rsidRPr="00CC40CC" w:rsidRDefault="00096A85" w:rsidP="00096A85">
            <w:pPr>
              <w:rPr>
                <w:lang w:val="en-US"/>
              </w:rPr>
            </w:pPr>
            <w:r w:rsidRPr="00CC40CC">
              <w:rPr>
                <w:lang w:val="en-US"/>
              </w:rPr>
              <w:t>763</w:t>
            </w:r>
          </w:p>
        </w:tc>
        <w:tc>
          <w:tcPr>
            <w:tcW w:w="0" w:type="auto"/>
            <w:vAlign w:val="center"/>
            <w:hideMark/>
          </w:tcPr>
          <w:p w14:paraId="1A8877F3" w14:textId="77777777" w:rsidR="00096A85" w:rsidRPr="00CC40CC" w:rsidRDefault="00096A85" w:rsidP="00096A85">
            <w:pPr>
              <w:rPr>
                <w:lang w:val="en-US"/>
              </w:rPr>
            </w:pPr>
            <w:r w:rsidRPr="00CC40CC">
              <w:rPr>
                <w:lang w:val="en-US"/>
              </w:rPr>
              <w:t>738</w:t>
            </w:r>
          </w:p>
        </w:tc>
        <w:tc>
          <w:tcPr>
            <w:tcW w:w="0" w:type="auto"/>
            <w:vAlign w:val="center"/>
            <w:hideMark/>
          </w:tcPr>
          <w:p w14:paraId="006E783A" w14:textId="77777777" w:rsidR="00096A85" w:rsidRPr="00CC40CC" w:rsidRDefault="00096A85" w:rsidP="00096A85">
            <w:pPr>
              <w:rPr>
                <w:lang w:val="en-US"/>
              </w:rPr>
            </w:pPr>
            <w:r w:rsidRPr="00CC40CC">
              <w:rPr>
                <w:lang w:val="en-US"/>
              </w:rPr>
              <w:t>746</w:t>
            </w:r>
          </w:p>
        </w:tc>
        <w:tc>
          <w:tcPr>
            <w:tcW w:w="0" w:type="auto"/>
            <w:vAlign w:val="center"/>
            <w:hideMark/>
          </w:tcPr>
          <w:p w14:paraId="2906FF78" w14:textId="77777777" w:rsidR="00096A85" w:rsidRPr="00CC40CC" w:rsidRDefault="00096A85" w:rsidP="00096A85">
            <w:pPr>
              <w:rPr>
                <w:lang w:val="en-US"/>
              </w:rPr>
            </w:pPr>
            <w:r w:rsidRPr="00CC40CC">
              <w:rPr>
                <w:lang w:val="en-US"/>
              </w:rPr>
              <w:t>726</w:t>
            </w:r>
          </w:p>
        </w:tc>
      </w:tr>
      <w:tr w:rsidR="00096A85" w:rsidRPr="00CC40CC" w14:paraId="22A6AA11" w14:textId="77777777">
        <w:trPr>
          <w:tblCellSpacing w:w="15" w:type="dxa"/>
        </w:trPr>
        <w:tc>
          <w:tcPr>
            <w:tcW w:w="0" w:type="auto"/>
            <w:vAlign w:val="center"/>
            <w:hideMark/>
          </w:tcPr>
          <w:p w14:paraId="29F26009" w14:textId="77777777" w:rsidR="00096A85" w:rsidRPr="00CC40CC" w:rsidRDefault="00096A85" w:rsidP="00096A85">
            <w:pPr>
              <w:rPr>
                <w:lang w:val="en-US"/>
              </w:rPr>
            </w:pPr>
            <w:r w:rsidRPr="00CC40CC">
              <w:rPr>
                <w:lang w:val="en-US"/>
              </w:rPr>
              <w:t>Average accounts payable</w:t>
            </w:r>
          </w:p>
        </w:tc>
        <w:tc>
          <w:tcPr>
            <w:tcW w:w="0" w:type="auto"/>
            <w:vAlign w:val="center"/>
            <w:hideMark/>
          </w:tcPr>
          <w:p w14:paraId="525AFE64" w14:textId="77777777" w:rsidR="00096A85" w:rsidRPr="00CC40CC" w:rsidRDefault="00096A85" w:rsidP="00096A85">
            <w:pPr>
              <w:rPr>
                <w:lang w:val="en-US"/>
              </w:rPr>
            </w:pPr>
            <w:r w:rsidRPr="00CC40CC">
              <w:rPr>
                <w:lang w:val="en-US"/>
              </w:rPr>
              <w:t>788.5</w:t>
            </w:r>
          </w:p>
        </w:tc>
        <w:tc>
          <w:tcPr>
            <w:tcW w:w="0" w:type="auto"/>
            <w:vAlign w:val="center"/>
            <w:hideMark/>
          </w:tcPr>
          <w:p w14:paraId="07DE1E9B" w14:textId="77777777" w:rsidR="00096A85" w:rsidRPr="00CC40CC" w:rsidRDefault="00096A85" w:rsidP="00096A85">
            <w:pPr>
              <w:rPr>
                <w:lang w:val="en-US"/>
              </w:rPr>
            </w:pPr>
            <w:r w:rsidRPr="00CC40CC">
              <w:rPr>
                <w:lang w:val="en-US"/>
              </w:rPr>
              <w:t>750.5</w:t>
            </w:r>
          </w:p>
        </w:tc>
        <w:tc>
          <w:tcPr>
            <w:tcW w:w="0" w:type="auto"/>
            <w:vAlign w:val="center"/>
            <w:hideMark/>
          </w:tcPr>
          <w:p w14:paraId="6F48DB0D" w14:textId="77777777" w:rsidR="00096A85" w:rsidRPr="00CC40CC" w:rsidRDefault="00096A85" w:rsidP="00096A85">
            <w:pPr>
              <w:rPr>
                <w:lang w:val="en-US"/>
              </w:rPr>
            </w:pPr>
            <w:r w:rsidRPr="00CC40CC">
              <w:rPr>
                <w:lang w:val="en-US"/>
              </w:rPr>
              <w:t>742.0</w:t>
            </w:r>
          </w:p>
        </w:tc>
        <w:tc>
          <w:tcPr>
            <w:tcW w:w="0" w:type="auto"/>
            <w:vAlign w:val="center"/>
            <w:hideMark/>
          </w:tcPr>
          <w:p w14:paraId="59086B25" w14:textId="77777777" w:rsidR="00096A85" w:rsidRPr="00CC40CC" w:rsidRDefault="00096A85" w:rsidP="00096A85">
            <w:pPr>
              <w:rPr>
                <w:lang w:val="en-US"/>
              </w:rPr>
            </w:pPr>
            <w:r w:rsidRPr="00CC40CC">
              <w:rPr>
                <w:lang w:val="en-US"/>
              </w:rPr>
              <w:t>736.0</w:t>
            </w:r>
          </w:p>
        </w:tc>
        <w:tc>
          <w:tcPr>
            <w:tcW w:w="0" w:type="auto"/>
            <w:vAlign w:val="center"/>
            <w:hideMark/>
          </w:tcPr>
          <w:p w14:paraId="33035A29" w14:textId="77777777" w:rsidR="00096A85" w:rsidRPr="00CC40CC" w:rsidRDefault="00096A85" w:rsidP="00096A85">
            <w:pPr>
              <w:rPr>
                <w:lang w:val="en-US"/>
              </w:rPr>
            </w:pPr>
            <w:r w:rsidRPr="00CC40CC">
              <w:rPr>
                <w:lang w:val="en-US"/>
              </w:rPr>
              <w:t>626.5</w:t>
            </w:r>
          </w:p>
        </w:tc>
      </w:tr>
      <w:tr w:rsidR="00096A85" w:rsidRPr="00CC40CC" w14:paraId="03B392AD" w14:textId="77777777">
        <w:trPr>
          <w:tblCellSpacing w:w="15" w:type="dxa"/>
        </w:trPr>
        <w:tc>
          <w:tcPr>
            <w:tcW w:w="0" w:type="auto"/>
            <w:vAlign w:val="center"/>
            <w:hideMark/>
          </w:tcPr>
          <w:p w14:paraId="6ED7197A" w14:textId="77777777" w:rsidR="00096A85" w:rsidRPr="00CC40CC" w:rsidRDefault="00096A85" w:rsidP="00096A85">
            <w:pPr>
              <w:rPr>
                <w:lang w:val="en-US"/>
              </w:rPr>
            </w:pPr>
            <w:r w:rsidRPr="00CC40CC">
              <w:rPr>
                <w:lang w:val="en-US"/>
              </w:rPr>
              <w:t>Cost of revenues</w:t>
            </w:r>
          </w:p>
        </w:tc>
        <w:tc>
          <w:tcPr>
            <w:tcW w:w="0" w:type="auto"/>
            <w:vAlign w:val="center"/>
            <w:hideMark/>
          </w:tcPr>
          <w:p w14:paraId="4CF94C37" w14:textId="77777777" w:rsidR="00096A85" w:rsidRPr="00CC40CC" w:rsidRDefault="00096A85" w:rsidP="00096A85">
            <w:pPr>
              <w:rPr>
                <w:lang w:val="en-US"/>
              </w:rPr>
            </w:pPr>
            <w:r w:rsidRPr="00CC40CC">
              <w:rPr>
                <w:lang w:val="en-US"/>
              </w:rPr>
              <w:t>20,964</w:t>
            </w:r>
          </w:p>
        </w:tc>
        <w:tc>
          <w:tcPr>
            <w:tcW w:w="0" w:type="auto"/>
            <w:vAlign w:val="center"/>
            <w:hideMark/>
          </w:tcPr>
          <w:p w14:paraId="12EDAD3B" w14:textId="77777777" w:rsidR="00096A85" w:rsidRPr="00CC40CC" w:rsidRDefault="00096A85" w:rsidP="00096A85">
            <w:pPr>
              <w:rPr>
                <w:lang w:val="en-US"/>
              </w:rPr>
            </w:pPr>
            <w:r w:rsidRPr="00CC40CC">
              <w:rPr>
                <w:lang w:val="en-US"/>
              </w:rPr>
              <w:t>20,128</w:t>
            </w:r>
          </w:p>
        </w:tc>
        <w:tc>
          <w:tcPr>
            <w:tcW w:w="0" w:type="auto"/>
            <w:vAlign w:val="center"/>
            <w:hideMark/>
          </w:tcPr>
          <w:p w14:paraId="431B5C57" w14:textId="77777777" w:rsidR="00096A85" w:rsidRPr="00CC40CC" w:rsidRDefault="00096A85" w:rsidP="00096A85">
            <w:pPr>
              <w:rPr>
                <w:lang w:val="en-US"/>
              </w:rPr>
            </w:pPr>
            <w:r w:rsidRPr="00CC40CC">
              <w:rPr>
                <w:lang w:val="en-US"/>
              </w:rPr>
              <w:t>18,733</w:t>
            </w:r>
          </w:p>
        </w:tc>
        <w:tc>
          <w:tcPr>
            <w:tcW w:w="0" w:type="auto"/>
            <w:vAlign w:val="center"/>
            <w:hideMark/>
          </w:tcPr>
          <w:p w14:paraId="0BB26062" w14:textId="77777777" w:rsidR="00096A85" w:rsidRPr="00CC40CC" w:rsidRDefault="00096A85" w:rsidP="00096A85">
            <w:pPr>
              <w:rPr>
                <w:lang w:val="en-US"/>
              </w:rPr>
            </w:pPr>
            <w:r w:rsidRPr="00CC40CC">
              <w:rPr>
                <w:lang w:val="en-US"/>
              </w:rPr>
              <w:t>16,215</w:t>
            </w:r>
          </w:p>
        </w:tc>
        <w:tc>
          <w:tcPr>
            <w:tcW w:w="0" w:type="auto"/>
            <w:vAlign w:val="center"/>
            <w:hideMark/>
          </w:tcPr>
          <w:p w14:paraId="55283CDB" w14:textId="77777777" w:rsidR="00096A85" w:rsidRPr="00CC40CC" w:rsidRDefault="00096A85" w:rsidP="00096A85">
            <w:pPr>
              <w:rPr>
                <w:lang w:val="en-US"/>
              </w:rPr>
            </w:pPr>
            <w:r w:rsidRPr="00CC40CC">
              <w:rPr>
                <w:lang w:val="en-US"/>
              </w:rPr>
              <w:t>11,056</w:t>
            </w:r>
          </w:p>
        </w:tc>
      </w:tr>
      <w:tr w:rsidR="00096A85" w:rsidRPr="00CC40CC" w14:paraId="3B149C8B" w14:textId="77777777">
        <w:trPr>
          <w:tblCellSpacing w:w="15" w:type="dxa"/>
        </w:trPr>
        <w:tc>
          <w:tcPr>
            <w:tcW w:w="0" w:type="auto"/>
            <w:vAlign w:val="center"/>
            <w:hideMark/>
          </w:tcPr>
          <w:p w14:paraId="1B0EA6A8" w14:textId="77777777" w:rsidR="00096A85" w:rsidRPr="00CC40CC" w:rsidRDefault="00096A85" w:rsidP="00096A85">
            <w:pPr>
              <w:rPr>
                <w:lang w:val="en-US"/>
              </w:rPr>
            </w:pPr>
            <w:r w:rsidRPr="00CC40CC">
              <w:rPr>
                <w:lang w:val="en-US"/>
              </w:rPr>
              <w:t>Payable Days</w:t>
            </w:r>
          </w:p>
        </w:tc>
        <w:tc>
          <w:tcPr>
            <w:tcW w:w="0" w:type="auto"/>
            <w:vAlign w:val="center"/>
            <w:hideMark/>
          </w:tcPr>
          <w:p w14:paraId="1C1C2A2A" w14:textId="77777777" w:rsidR="00096A85" w:rsidRPr="00CC40CC" w:rsidRDefault="00096A85" w:rsidP="00096A85">
            <w:pPr>
              <w:rPr>
                <w:lang w:val="en-US"/>
              </w:rPr>
            </w:pPr>
            <w:r w:rsidRPr="00CC40CC">
              <w:rPr>
                <w:lang w:val="en-US"/>
              </w:rPr>
              <w:t>13.73</w:t>
            </w:r>
          </w:p>
        </w:tc>
        <w:tc>
          <w:tcPr>
            <w:tcW w:w="0" w:type="auto"/>
            <w:vAlign w:val="center"/>
            <w:hideMark/>
          </w:tcPr>
          <w:p w14:paraId="7F8A4A65" w14:textId="77777777" w:rsidR="00096A85" w:rsidRPr="00CC40CC" w:rsidRDefault="00096A85" w:rsidP="00096A85">
            <w:pPr>
              <w:rPr>
                <w:lang w:val="en-US"/>
              </w:rPr>
            </w:pPr>
            <w:r w:rsidRPr="00CC40CC">
              <w:rPr>
                <w:lang w:val="en-US"/>
              </w:rPr>
              <w:t>13.61</w:t>
            </w:r>
          </w:p>
        </w:tc>
        <w:tc>
          <w:tcPr>
            <w:tcW w:w="0" w:type="auto"/>
            <w:vAlign w:val="center"/>
            <w:hideMark/>
          </w:tcPr>
          <w:p w14:paraId="77550D48" w14:textId="77777777" w:rsidR="00096A85" w:rsidRPr="00CC40CC" w:rsidRDefault="00096A85" w:rsidP="00096A85">
            <w:pPr>
              <w:rPr>
                <w:lang w:val="en-US"/>
              </w:rPr>
            </w:pPr>
            <w:r w:rsidRPr="00CC40CC">
              <w:rPr>
                <w:lang w:val="en-US"/>
              </w:rPr>
              <w:t>14.46</w:t>
            </w:r>
          </w:p>
        </w:tc>
        <w:tc>
          <w:tcPr>
            <w:tcW w:w="0" w:type="auto"/>
            <w:vAlign w:val="center"/>
            <w:hideMark/>
          </w:tcPr>
          <w:p w14:paraId="14EB8875" w14:textId="77777777" w:rsidR="00096A85" w:rsidRPr="00CC40CC" w:rsidRDefault="00096A85" w:rsidP="00096A85">
            <w:pPr>
              <w:rPr>
                <w:lang w:val="en-US"/>
              </w:rPr>
            </w:pPr>
            <w:r w:rsidRPr="00CC40CC">
              <w:rPr>
                <w:lang w:val="en-US"/>
              </w:rPr>
              <w:t>16.57</w:t>
            </w:r>
          </w:p>
        </w:tc>
        <w:tc>
          <w:tcPr>
            <w:tcW w:w="0" w:type="auto"/>
            <w:vAlign w:val="center"/>
            <w:hideMark/>
          </w:tcPr>
          <w:p w14:paraId="2ADEA960" w14:textId="77777777" w:rsidR="00096A85" w:rsidRPr="00CC40CC" w:rsidRDefault="00096A85" w:rsidP="00096A85">
            <w:pPr>
              <w:rPr>
                <w:lang w:val="en-US"/>
              </w:rPr>
            </w:pPr>
            <w:r w:rsidRPr="00CC40CC">
              <w:rPr>
                <w:lang w:val="en-US"/>
              </w:rPr>
              <w:t>20.68</w:t>
            </w:r>
          </w:p>
        </w:tc>
      </w:tr>
      <w:tr w:rsidR="00096A85" w:rsidRPr="00CC40CC" w14:paraId="031B9EEE" w14:textId="77777777">
        <w:trPr>
          <w:tblCellSpacing w:w="15" w:type="dxa"/>
        </w:trPr>
        <w:tc>
          <w:tcPr>
            <w:tcW w:w="0" w:type="auto"/>
            <w:vAlign w:val="center"/>
            <w:hideMark/>
          </w:tcPr>
          <w:p w14:paraId="20C66414" w14:textId="77777777" w:rsidR="00096A85" w:rsidRPr="00CC40CC" w:rsidRDefault="00096A85" w:rsidP="00096A85">
            <w:pPr>
              <w:rPr>
                <w:lang w:val="en-US"/>
              </w:rPr>
            </w:pPr>
            <w:r w:rsidRPr="00CC40CC">
              <w:rPr>
                <w:lang w:val="en-US"/>
              </w:rPr>
              <w:t>Inventory Days</w:t>
            </w:r>
          </w:p>
        </w:tc>
        <w:tc>
          <w:tcPr>
            <w:tcW w:w="0" w:type="auto"/>
            <w:vAlign w:val="center"/>
            <w:hideMark/>
          </w:tcPr>
          <w:p w14:paraId="75FA1619" w14:textId="77777777" w:rsidR="00096A85" w:rsidRPr="00CC40CC" w:rsidRDefault="00096A85" w:rsidP="00096A85">
            <w:pPr>
              <w:rPr>
                <w:lang w:val="en-US"/>
              </w:rPr>
            </w:pPr>
            <w:r w:rsidRPr="00CC40CC">
              <w:rPr>
                <w:lang w:val="en-US"/>
              </w:rPr>
              <w:t>0.00</w:t>
            </w:r>
          </w:p>
        </w:tc>
        <w:tc>
          <w:tcPr>
            <w:tcW w:w="0" w:type="auto"/>
            <w:vAlign w:val="center"/>
            <w:hideMark/>
          </w:tcPr>
          <w:p w14:paraId="162EBE30" w14:textId="77777777" w:rsidR="00096A85" w:rsidRPr="00CC40CC" w:rsidRDefault="00096A85" w:rsidP="00096A85">
            <w:pPr>
              <w:rPr>
                <w:lang w:val="en-US"/>
              </w:rPr>
            </w:pPr>
            <w:r w:rsidRPr="00CC40CC">
              <w:rPr>
                <w:lang w:val="en-US"/>
              </w:rPr>
              <w:t>0.00</w:t>
            </w:r>
          </w:p>
        </w:tc>
        <w:tc>
          <w:tcPr>
            <w:tcW w:w="0" w:type="auto"/>
            <w:vAlign w:val="center"/>
            <w:hideMark/>
          </w:tcPr>
          <w:p w14:paraId="1A42E9B8" w14:textId="77777777" w:rsidR="00096A85" w:rsidRPr="00CC40CC" w:rsidRDefault="00096A85" w:rsidP="00096A85">
            <w:pPr>
              <w:rPr>
                <w:lang w:val="en-US"/>
              </w:rPr>
            </w:pPr>
            <w:r w:rsidRPr="00CC40CC">
              <w:rPr>
                <w:lang w:val="en-US"/>
              </w:rPr>
              <w:t>0.00</w:t>
            </w:r>
          </w:p>
        </w:tc>
        <w:tc>
          <w:tcPr>
            <w:tcW w:w="0" w:type="auto"/>
            <w:vAlign w:val="center"/>
            <w:hideMark/>
          </w:tcPr>
          <w:p w14:paraId="140CE6C0" w14:textId="77777777" w:rsidR="00096A85" w:rsidRPr="00CC40CC" w:rsidRDefault="00096A85" w:rsidP="00096A85">
            <w:pPr>
              <w:rPr>
                <w:lang w:val="en-US"/>
              </w:rPr>
            </w:pPr>
            <w:r w:rsidRPr="00CC40CC">
              <w:rPr>
                <w:lang w:val="en-US"/>
              </w:rPr>
              <w:t>0.00</w:t>
            </w:r>
          </w:p>
        </w:tc>
        <w:tc>
          <w:tcPr>
            <w:tcW w:w="0" w:type="auto"/>
            <w:vAlign w:val="center"/>
            <w:hideMark/>
          </w:tcPr>
          <w:p w14:paraId="4DFD2259" w14:textId="77777777" w:rsidR="00096A85" w:rsidRPr="00CC40CC" w:rsidRDefault="00096A85" w:rsidP="00096A85">
            <w:pPr>
              <w:rPr>
                <w:lang w:val="en-US"/>
              </w:rPr>
            </w:pPr>
            <w:r w:rsidRPr="00CC40CC">
              <w:rPr>
                <w:lang w:val="en-US"/>
              </w:rPr>
              <w:t>0.00</w:t>
            </w:r>
          </w:p>
        </w:tc>
      </w:tr>
      <w:tr w:rsidR="00096A85" w:rsidRPr="00CC40CC" w14:paraId="55F4E2E3" w14:textId="77777777">
        <w:trPr>
          <w:tblCellSpacing w:w="15" w:type="dxa"/>
        </w:trPr>
        <w:tc>
          <w:tcPr>
            <w:tcW w:w="0" w:type="auto"/>
            <w:vAlign w:val="center"/>
            <w:hideMark/>
          </w:tcPr>
          <w:p w14:paraId="55ACC7D5" w14:textId="77777777" w:rsidR="00096A85" w:rsidRPr="00CC40CC" w:rsidRDefault="00096A85" w:rsidP="00096A85">
            <w:pPr>
              <w:rPr>
                <w:lang w:val="en-US"/>
              </w:rPr>
            </w:pPr>
            <w:r w:rsidRPr="00CC40CC">
              <w:rPr>
                <w:lang w:val="en-US"/>
              </w:rPr>
              <w:t>Cash Conversion Cycle</w:t>
            </w:r>
          </w:p>
        </w:tc>
        <w:tc>
          <w:tcPr>
            <w:tcW w:w="0" w:type="auto"/>
            <w:vAlign w:val="center"/>
            <w:hideMark/>
          </w:tcPr>
          <w:p w14:paraId="607B1923" w14:textId="77777777" w:rsidR="00096A85" w:rsidRPr="00CC40CC" w:rsidRDefault="00096A85" w:rsidP="00096A85">
            <w:pPr>
              <w:rPr>
                <w:lang w:val="en-US"/>
              </w:rPr>
            </w:pPr>
            <w:r w:rsidRPr="00CC40CC">
              <w:rPr>
                <w:lang w:val="en-US"/>
              </w:rPr>
              <w:t>26.02 days</w:t>
            </w:r>
          </w:p>
        </w:tc>
        <w:tc>
          <w:tcPr>
            <w:tcW w:w="0" w:type="auto"/>
            <w:vAlign w:val="center"/>
            <w:hideMark/>
          </w:tcPr>
          <w:p w14:paraId="6D802DA0" w14:textId="77777777" w:rsidR="00096A85" w:rsidRPr="00CC40CC" w:rsidRDefault="00096A85" w:rsidP="00096A85">
            <w:pPr>
              <w:rPr>
                <w:lang w:val="en-US"/>
              </w:rPr>
            </w:pPr>
            <w:r w:rsidRPr="00CC40CC">
              <w:rPr>
                <w:lang w:val="en-US"/>
              </w:rPr>
              <w:t>26.43 days</w:t>
            </w:r>
          </w:p>
        </w:tc>
        <w:tc>
          <w:tcPr>
            <w:tcW w:w="0" w:type="auto"/>
            <w:vAlign w:val="center"/>
            <w:hideMark/>
          </w:tcPr>
          <w:p w14:paraId="69635220" w14:textId="77777777" w:rsidR="00096A85" w:rsidRPr="00CC40CC" w:rsidRDefault="00096A85" w:rsidP="00096A85">
            <w:pPr>
              <w:rPr>
                <w:lang w:val="en-US"/>
              </w:rPr>
            </w:pPr>
            <w:r w:rsidRPr="00CC40CC">
              <w:rPr>
                <w:lang w:val="en-US"/>
              </w:rPr>
              <w:t>26.20 days</w:t>
            </w:r>
          </w:p>
        </w:tc>
        <w:tc>
          <w:tcPr>
            <w:tcW w:w="0" w:type="auto"/>
            <w:vAlign w:val="center"/>
            <w:hideMark/>
          </w:tcPr>
          <w:p w14:paraId="22529155" w14:textId="77777777" w:rsidR="00096A85" w:rsidRPr="00CC40CC" w:rsidRDefault="00096A85" w:rsidP="00096A85">
            <w:pPr>
              <w:rPr>
                <w:lang w:val="en-US"/>
              </w:rPr>
            </w:pPr>
            <w:r w:rsidRPr="00CC40CC">
              <w:rPr>
                <w:lang w:val="en-US"/>
              </w:rPr>
              <w:t>23.43 days</w:t>
            </w:r>
          </w:p>
        </w:tc>
        <w:tc>
          <w:tcPr>
            <w:tcW w:w="0" w:type="auto"/>
            <w:vAlign w:val="center"/>
            <w:hideMark/>
          </w:tcPr>
          <w:p w14:paraId="549E3F72" w14:textId="77777777" w:rsidR="00096A85" w:rsidRPr="00CC40CC" w:rsidRDefault="00096A85" w:rsidP="00096A85">
            <w:pPr>
              <w:rPr>
                <w:lang w:val="en-US"/>
              </w:rPr>
            </w:pPr>
            <w:r w:rsidRPr="00CC40CC">
              <w:rPr>
                <w:lang w:val="en-US"/>
              </w:rPr>
              <w:t>28.71 days</w:t>
            </w:r>
          </w:p>
        </w:tc>
      </w:tr>
    </w:tbl>
    <w:p w14:paraId="2EB0FC93" w14:textId="77777777" w:rsidR="00096A85" w:rsidRPr="00CC40CC" w:rsidRDefault="00096A85" w:rsidP="00096A85">
      <w:pPr>
        <w:rPr>
          <w:lang w:val="en-US"/>
        </w:rPr>
      </w:pPr>
      <w:r w:rsidRPr="00CC40CC">
        <w:rPr>
          <w:lang w:val="en-US"/>
        </w:rPr>
        <w:t>Example calculation for 2025</w:t>
      </w:r>
    </w:p>
    <w:p w14:paraId="56D672A3" w14:textId="77777777" w:rsidR="00096A85" w:rsidRPr="00CC40CC" w:rsidRDefault="00096A85" w:rsidP="00096A85">
      <w:pPr>
        <w:rPr>
          <w:lang w:val="en-US"/>
        </w:rPr>
      </w:pPr>
      <w:r w:rsidRPr="00CC40CC">
        <w:rPr>
          <w:lang w:val="en-US"/>
        </w:rPr>
        <w:t>Average receivables:</w:t>
      </w:r>
    </w:p>
    <w:p w14:paraId="7BF8ABE1" w14:textId="5276CB9F" w:rsidR="00096A85" w:rsidRPr="00CC40CC" w:rsidRDefault="00CC40CC" w:rsidP="00096A85">
      <w:pPr>
        <w:rPr>
          <w:lang w:val="en-US"/>
        </w:rPr>
      </w:pPr>
      <m:oMathPara>
        <m:oMath>
          <m:r>
            <w:rPr>
              <w:rFonts w:ascii="Cambria Math" w:hAnsi="Cambria Math"/>
              <w:lang w:val="en-US"/>
            </w:rPr>
            <m:t>(2,795+2,909)÷2=2,852</m:t>
          </m:r>
          <m:r>
            <w:rPr>
              <w:lang w:val="en-US"/>
            </w:rPr>
            <w:br/>
          </m:r>
        </m:oMath>
      </m:oMathPara>
    </w:p>
    <w:p w14:paraId="0DE6E0AF" w14:textId="77777777" w:rsidR="00096A85" w:rsidRPr="00CC40CC" w:rsidRDefault="00096A85" w:rsidP="00096A85">
      <w:pPr>
        <w:rPr>
          <w:lang w:val="en-US"/>
        </w:rPr>
      </w:pPr>
      <w:r w:rsidRPr="00CC40CC">
        <w:rPr>
          <w:lang w:val="en-US"/>
        </w:rPr>
        <w:t>Receivable Days:</w:t>
      </w:r>
    </w:p>
    <w:p w14:paraId="6D465C7C" w14:textId="1A178A3D" w:rsidR="00096A85" w:rsidRPr="00CC40CC" w:rsidRDefault="00CC40CC" w:rsidP="00096A85">
      <w:pPr>
        <w:rPr>
          <w:lang w:val="en-US"/>
        </w:rPr>
      </w:pPr>
      <m:oMathPara>
        <m:oMath>
          <m:r>
            <w:rPr>
              <w:rFonts w:ascii="Cambria Math" w:hAnsi="Cambria Math"/>
              <w:lang w:val="en-US"/>
            </w:rPr>
            <m:t>2,852÷26,186×365=39.75</m:t>
          </m:r>
          <m:r>
            <m:rPr>
              <m:nor/>
            </m:rPr>
            <w:rPr>
              <w:lang w:val="en-US"/>
            </w:rPr>
            <m:t> days</m:t>
          </m:r>
          <m:r>
            <m:rPr>
              <m:sty m:val="p"/>
            </m:rPr>
            <w:rPr>
              <w:lang w:val="en-US"/>
            </w:rPr>
            <w:br/>
          </m:r>
        </m:oMath>
      </m:oMathPara>
    </w:p>
    <w:p w14:paraId="3F56E2C1" w14:textId="77777777" w:rsidR="00096A85" w:rsidRPr="00CC40CC" w:rsidRDefault="00096A85" w:rsidP="00096A85">
      <w:pPr>
        <w:rPr>
          <w:lang w:val="en-US"/>
        </w:rPr>
      </w:pPr>
      <w:r w:rsidRPr="00CC40CC">
        <w:rPr>
          <w:lang w:val="en-US"/>
        </w:rPr>
        <w:t>Average accounts payable:</w:t>
      </w:r>
    </w:p>
    <w:p w14:paraId="0345DA90" w14:textId="6902184F" w:rsidR="00096A85" w:rsidRPr="00CC40CC" w:rsidRDefault="00CC40CC" w:rsidP="00096A85">
      <w:pPr>
        <w:rPr>
          <w:lang w:val="en-US"/>
        </w:rPr>
      </w:pPr>
      <m:oMathPara>
        <m:oMath>
          <m:r>
            <w:rPr>
              <w:rFonts w:ascii="Cambria Math" w:hAnsi="Cambria Math"/>
              <w:lang w:val="en-US"/>
            </w:rPr>
            <w:lastRenderedPageBreak/>
            <m:t>(763+814)÷2=788.5</m:t>
          </m:r>
          <m:r>
            <w:rPr>
              <w:lang w:val="en-US"/>
            </w:rPr>
            <w:br/>
          </m:r>
        </m:oMath>
      </m:oMathPara>
    </w:p>
    <w:p w14:paraId="29DE6EA0" w14:textId="77777777" w:rsidR="00096A85" w:rsidRPr="00CC40CC" w:rsidRDefault="00096A85" w:rsidP="00096A85">
      <w:pPr>
        <w:rPr>
          <w:lang w:val="en-US"/>
        </w:rPr>
      </w:pPr>
      <w:r w:rsidRPr="00CC40CC">
        <w:rPr>
          <w:lang w:val="en-US"/>
        </w:rPr>
        <w:t>Payable Days:</w:t>
      </w:r>
    </w:p>
    <w:p w14:paraId="5546BF53" w14:textId="53CE7F60" w:rsidR="00096A85" w:rsidRPr="00CC40CC" w:rsidRDefault="00CC40CC" w:rsidP="00096A85">
      <w:pPr>
        <w:rPr>
          <w:lang w:val="en-US"/>
        </w:rPr>
      </w:pPr>
      <m:oMathPara>
        <m:oMath>
          <m:r>
            <w:rPr>
              <w:rFonts w:ascii="Cambria Math" w:hAnsi="Cambria Math"/>
              <w:lang w:val="en-US"/>
            </w:rPr>
            <m:t>788.5÷20,964×365=13.73</m:t>
          </m:r>
          <m:r>
            <m:rPr>
              <m:nor/>
            </m:rPr>
            <w:rPr>
              <w:lang w:val="en-US"/>
            </w:rPr>
            <m:t> days</m:t>
          </m:r>
          <m:r>
            <m:rPr>
              <m:sty m:val="p"/>
            </m:rPr>
            <w:rPr>
              <w:lang w:val="en-US"/>
            </w:rPr>
            <w:br/>
          </m:r>
        </m:oMath>
      </m:oMathPara>
    </w:p>
    <w:p w14:paraId="1626C3C6" w14:textId="77777777" w:rsidR="00096A85" w:rsidRPr="00CC40CC" w:rsidRDefault="00096A85" w:rsidP="00096A85">
      <w:pPr>
        <w:rPr>
          <w:lang w:val="en-US"/>
        </w:rPr>
      </w:pPr>
      <w:r w:rsidRPr="00CC40CC">
        <w:rPr>
          <w:lang w:val="en-US"/>
        </w:rPr>
        <w:t>Cash Conversion Cycle:</w:t>
      </w:r>
    </w:p>
    <w:p w14:paraId="683136A1" w14:textId="0AE9399D" w:rsidR="00096A85" w:rsidRPr="00CC40CC" w:rsidRDefault="00CC40CC" w:rsidP="00096A85">
      <w:pPr>
        <w:rPr>
          <w:lang w:val="en-US"/>
        </w:rPr>
      </w:pPr>
      <m:oMathPara>
        <m:oMath>
          <m:r>
            <w:rPr>
              <w:rFonts w:ascii="Cambria Math" w:hAnsi="Cambria Math"/>
              <w:lang w:val="en-US"/>
            </w:rPr>
            <m:t>0+39.75-13.73=</m:t>
          </m:r>
          <m:r>
            <m:rPr>
              <m:sty m:val="p"/>
            </m:rPr>
            <w:rPr>
              <w:rFonts w:ascii="Cambria Math" w:hAnsi="Cambria Math"/>
              <w:lang w:val="en-US"/>
            </w:rPr>
            <m:t>26.02 days</m:t>
          </m:r>
          <m:r>
            <m:rPr>
              <m:sty m:val="p"/>
            </m:rPr>
            <w:rPr>
              <w:lang w:val="en-US"/>
            </w:rPr>
            <w:br/>
          </m:r>
        </m:oMath>
      </m:oMathPara>
    </w:p>
    <w:p w14:paraId="4309A511" w14:textId="77777777" w:rsidR="00096A85" w:rsidRPr="00CC40CC" w:rsidRDefault="00096A85" w:rsidP="00096A85">
      <w:pPr>
        <w:rPr>
          <w:lang w:val="en-US"/>
        </w:rPr>
      </w:pPr>
      <w:r w:rsidRPr="00CC40CC">
        <w:rPr>
          <w:lang w:val="en-US"/>
        </w:rPr>
        <w:t>Year-on-year analysis</w:t>
      </w:r>
    </w:p>
    <w:p w14:paraId="640E4A33" w14:textId="77777777" w:rsidR="00096A85" w:rsidRPr="00CC40CC" w:rsidRDefault="00096A85" w:rsidP="00096A85">
      <w:pPr>
        <w:rPr>
          <w:lang w:val="en-US"/>
        </w:rPr>
      </w:pPr>
      <w:r w:rsidRPr="00CC40CC">
        <w:rPr>
          <w:lang w:val="en-US"/>
        </w:rPr>
        <w:t>2021 to 2022</w:t>
      </w:r>
    </w:p>
    <w:p w14:paraId="13417C3E" w14:textId="77777777" w:rsidR="00096A85" w:rsidRPr="00CC40CC" w:rsidRDefault="00096A85" w:rsidP="00096A85">
      <w:pPr>
        <w:rPr>
          <w:lang w:val="en-US"/>
        </w:rPr>
      </w:pPr>
      <w:r w:rsidRPr="00CC40CC">
        <w:rPr>
          <w:lang w:val="en-US"/>
        </w:rPr>
        <w:t>The CCC decreased significantly from 28.71 days to 23.43 days, an improvement of 5.28 days.</w:t>
      </w:r>
    </w:p>
    <w:p w14:paraId="524817B6" w14:textId="77777777" w:rsidR="00096A85" w:rsidRPr="00CC40CC" w:rsidRDefault="00096A85" w:rsidP="00096A85">
      <w:pPr>
        <w:rPr>
          <w:lang w:val="en-US"/>
        </w:rPr>
      </w:pPr>
      <w:r w:rsidRPr="00CC40CC">
        <w:rPr>
          <w:lang w:val="en-US"/>
        </w:rPr>
        <w:t>Receivable Days declined from 49.39 to 40.00 days, showing that Marriott collected money from customers more quickly as travel demand and revenue recovered. Payable Days also decreased, but the improvement in receivable collection had the larger effect.</w:t>
      </w:r>
    </w:p>
    <w:p w14:paraId="32C27C02" w14:textId="77777777" w:rsidR="00096A85" w:rsidRPr="00CC40CC" w:rsidRDefault="00096A85" w:rsidP="00096A85">
      <w:pPr>
        <w:rPr>
          <w:lang w:val="en-US"/>
        </w:rPr>
      </w:pPr>
      <w:r w:rsidRPr="00CC40CC">
        <w:rPr>
          <w:lang w:val="en-US"/>
        </w:rPr>
        <w:t>2022 to 2023</w:t>
      </w:r>
    </w:p>
    <w:p w14:paraId="6A1C18DD" w14:textId="77777777" w:rsidR="00096A85" w:rsidRPr="00CC40CC" w:rsidRDefault="00096A85" w:rsidP="00096A85">
      <w:pPr>
        <w:rPr>
          <w:lang w:val="en-US"/>
        </w:rPr>
      </w:pPr>
      <w:r w:rsidRPr="00CC40CC">
        <w:rPr>
          <w:lang w:val="en-US"/>
        </w:rPr>
        <w:t>The CCC increased from 23.43 to 26.20 days, a deterioration of 2.77 days.</w:t>
      </w:r>
    </w:p>
    <w:p w14:paraId="52F2C2B5" w14:textId="77777777" w:rsidR="00096A85" w:rsidRPr="00CC40CC" w:rsidRDefault="00096A85" w:rsidP="00096A85">
      <w:pPr>
        <w:rPr>
          <w:lang w:val="en-US"/>
        </w:rPr>
      </w:pPr>
      <w:r w:rsidRPr="00CC40CC">
        <w:rPr>
          <w:lang w:val="en-US"/>
        </w:rPr>
        <w:t>Receivable Days remained almost unchanged at approximately 40 days. However, Payable Days decreased from 16.57 to 14.46 days, meaning Marriott paid suppliers sooner. Earlier payments reduced the financing benefit provided by suppliers and increased the CCC.</w:t>
      </w:r>
    </w:p>
    <w:p w14:paraId="46246D39" w14:textId="77777777" w:rsidR="00096A85" w:rsidRPr="00CC40CC" w:rsidRDefault="00096A85" w:rsidP="00096A85">
      <w:pPr>
        <w:rPr>
          <w:lang w:val="en-US"/>
        </w:rPr>
      </w:pPr>
      <w:r w:rsidRPr="00CC40CC">
        <w:rPr>
          <w:lang w:val="en-US"/>
        </w:rPr>
        <w:t>2023 to 2024</w:t>
      </w:r>
    </w:p>
    <w:p w14:paraId="7E7F0AE1" w14:textId="77777777" w:rsidR="00096A85" w:rsidRPr="00CC40CC" w:rsidRDefault="00096A85" w:rsidP="00096A85">
      <w:pPr>
        <w:rPr>
          <w:lang w:val="en-US"/>
        </w:rPr>
      </w:pPr>
      <w:r w:rsidRPr="00CC40CC">
        <w:rPr>
          <w:lang w:val="en-US"/>
        </w:rPr>
        <w:t>The CCC increased only slightly from 26.20 to 26.43 days.</w:t>
      </w:r>
    </w:p>
    <w:p w14:paraId="6AD15E82" w14:textId="77777777" w:rsidR="00096A85" w:rsidRPr="00CC40CC" w:rsidRDefault="00096A85" w:rsidP="00096A85">
      <w:pPr>
        <w:rPr>
          <w:lang w:val="en-US"/>
        </w:rPr>
      </w:pPr>
      <w:r w:rsidRPr="00CC40CC">
        <w:rPr>
          <w:lang w:val="en-US"/>
        </w:rPr>
        <w:t>Receivable Days improved marginally, but Payable Days declined from 14.46 to 13.61 days. The movement was small, indicating that Marriott’s working capital management remained broadly stable.</w:t>
      </w:r>
    </w:p>
    <w:p w14:paraId="7D239C55" w14:textId="77777777" w:rsidR="00096A85" w:rsidRPr="00CC40CC" w:rsidRDefault="00096A85" w:rsidP="00096A85">
      <w:pPr>
        <w:rPr>
          <w:lang w:val="en-US"/>
        </w:rPr>
      </w:pPr>
      <w:r w:rsidRPr="00CC40CC">
        <w:rPr>
          <w:lang w:val="en-US"/>
        </w:rPr>
        <w:t>2024 to 2025</w:t>
      </w:r>
    </w:p>
    <w:p w14:paraId="5A315380" w14:textId="77777777" w:rsidR="00096A85" w:rsidRPr="00CC40CC" w:rsidRDefault="00096A85" w:rsidP="00096A85">
      <w:pPr>
        <w:rPr>
          <w:lang w:val="en-US"/>
        </w:rPr>
      </w:pPr>
      <w:r w:rsidRPr="00CC40CC">
        <w:rPr>
          <w:lang w:val="en-US"/>
        </w:rPr>
        <w:t>The CCC improved slightly from 26.43 to 26.02 days.</w:t>
      </w:r>
    </w:p>
    <w:p w14:paraId="315D419F" w14:textId="77777777" w:rsidR="00096A85" w:rsidRPr="00CC40CC" w:rsidRDefault="00096A85" w:rsidP="00096A85">
      <w:pPr>
        <w:rPr>
          <w:lang w:val="en-US"/>
        </w:rPr>
      </w:pPr>
      <w:r w:rsidRPr="00CC40CC">
        <w:rPr>
          <w:lang w:val="en-US"/>
        </w:rPr>
        <w:t>Receivable Days decreased from 40.04 to 39.75 days, showing a small improvement in collection efficiency. Payable Days increased slightly to 13.73 days, meaning Marriott took marginally longer to pay suppliers. Both changes reduced the CCC.</w:t>
      </w:r>
    </w:p>
    <w:p w14:paraId="61AB4EB8" w14:textId="77777777" w:rsidR="00096A85" w:rsidRPr="00CC40CC" w:rsidRDefault="00096A85" w:rsidP="00096A85">
      <w:pPr>
        <w:rPr>
          <w:lang w:val="en-US"/>
        </w:rPr>
      </w:pPr>
      <w:r w:rsidRPr="00CC40CC">
        <w:rPr>
          <w:lang w:val="en-US"/>
        </w:rPr>
        <w:t>Overall interpretation</w:t>
      </w:r>
    </w:p>
    <w:p w14:paraId="03F7E082" w14:textId="77777777" w:rsidR="00096A85" w:rsidRPr="00CC40CC" w:rsidRDefault="00096A85" w:rsidP="00096A85">
      <w:pPr>
        <w:rPr>
          <w:lang w:val="en-US"/>
        </w:rPr>
      </w:pPr>
      <w:r w:rsidRPr="00CC40CC">
        <w:rPr>
          <w:lang w:val="en-US"/>
        </w:rPr>
        <w:t>Marriott’s CCC remained positive but relatively stable, ranging from approximately 23 to 29 days. This means the company generally waited around three to four weeks between paying operating costs and collecting cash from customers.</w:t>
      </w:r>
    </w:p>
    <w:p w14:paraId="576C91C6" w14:textId="77777777" w:rsidR="00096A85" w:rsidRPr="00CC40CC" w:rsidRDefault="00096A85" w:rsidP="00096A85">
      <w:pPr>
        <w:rPr>
          <w:lang w:val="en-US"/>
        </w:rPr>
      </w:pPr>
      <w:r w:rsidRPr="00CC40CC">
        <w:rPr>
          <w:lang w:val="en-US"/>
        </w:rPr>
        <w:lastRenderedPageBreak/>
        <w:t xml:space="preserve">The most significant improvement occurred in 2022, when faster receivable collection reduced the cycle by more than five days. From 2023 to 2025, the CCC </w:t>
      </w:r>
      <w:proofErr w:type="spellStart"/>
      <w:r w:rsidRPr="00CC40CC">
        <w:rPr>
          <w:lang w:val="en-US"/>
        </w:rPr>
        <w:t>stabilised</w:t>
      </w:r>
      <w:proofErr w:type="spellEnd"/>
      <w:r w:rsidRPr="00CC40CC">
        <w:rPr>
          <w:lang w:val="en-US"/>
        </w:rPr>
        <w:t xml:space="preserve"> at approximately 26 days, indicating consistent working capital management. However, Marriott’s Payable Days declined considerably from 20.68 days in 2021 to 13.73 days in 2025, showing that the company paid suppliers faster and received less short-term financing from trade creditors.</w:t>
      </w:r>
    </w:p>
    <w:p w14:paraId="56B9F1BC" w14:textId="77777777" w:rsidR="00096A85" w:rsidRPr="00CC40CC" w:rsidRDefault="00096A85" w:rsidP="0084656B">
      <w:pPr>
        <w:rPr>
          <w:lang w:val="en-US"/>
        </w:rPr>
      </w:pPr>
    </w:p>
    <w:sectPr w:rsidR="00096A85" w:rsidRPr="00CC40C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CC"/>
    <w:family w:val="swiss"/>
    <w:pitch w:val="variable"/>
    <w:sig w:usb0="E4002EFF" w:usb1="C2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5450A"/>
    <w:multiLevelType w:val="multilevel"/>
    <w:tmpl w:val="A680E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036AC"/>
    <w:multiLevelType w:val="multilevel"/>
    <w:tmpl w:val="3656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52C56"/>
    <w:multiLevelType w:val="multilevel"/>
    <w:tmpl w:val="4CB06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2979FA"/>
    <w:multiLevelType w:val="multilevel"/>
    <w:tmpl w:val="703E5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8830A9"/>
    <w:multiLevelType w:val="multilevel"/>
    <w:tmpl w:val="0EB2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0922A0"/>
    <w:multiLevelType w:val="multilevel"/>
    <w:tmpl w:val="221A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EA66C7"/>
    <w:multiLevelType w:val="multilevel"/>
    <w:tmpl w:val="357E8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1473CC"/>
    <w:multiLevelType w:val="multilevel"/>
    <w:tmpl w:val="3866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E819CF"/>
    <w:multiLevelType w:val="multilevel"/>
    <w:tmpl w:val="7CA8B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B350CD"/>
    <w:multiLevelType w:val="multilevel"/>
    <w:tmpl w:val="20107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C50DD3"/>
    <w:multiLevelType w:val="multilevel"/>
    <w:tmpl w:val="FDA2B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F74084"/>
    <w:multiLevelType w:val="multilevel"/>
    <w:tmpl w:val="AF1C7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D86C9B"/>
    <w:multiLevelType w:val="multilevel"/>
    <w:tmpl w:val="9A3A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741485"/>
    <w:multiLevelType w:val="hybridMultilevel"/>
    <w:tmpl w:val="1BC6DEA8"/>
    <w:lvl w:ilvl="0" w:tplc="725A5ACC">
      <w:start w:val="1"/>
      <w:numFmt w:val="bullet"/>
      <w:lvlText w:val=""/>
      <w:lvlJc w:val="left"/>
      <w:pPr>
        <w:ind w:left="720" w:hanging="360"/>
      </w:pPr>
      <w:rPr>
        <w:rFonts w:ascii="Symbol" w:hAnsi="Symbol" w:hint="default"/>
      </w:rPr>
    </w:lvl>
    <w:lvl w:ilvl="1" w:tplc="C7F47A78">
      <w:start w:val="1"/>
      <w:numFmt w:val="bullet"/>
      <w:lvlText w:val="o"/>
      <w:lvlJc w:val="left"/>
      <w:pPr>
        <w:ind w:left="1440" w:hanging="360"/>
      </w:pPr>
      <w:rPr>
        <w:rFonts w:ascii="Courier New" w:hAnsi="Courier New" w:hint="default"/>
      </w:rPr>
    </w:lvl>
    <w:lvl w:ilvl="2" w:tplc="AA3EB7E0">
      <w:start w:val="1"/>
      <w:numFmt w:val="bullet"/>
      <w:lvlText w:val=""/>
      <w:lvlJc w:val="left"/>
      <w:pPr>
        <w:ind w:left="2160" w:hanging="360"/>
      </w:pPr>
      <w:rPr>
        <w:rFonts w:ascii="Wingdings" w:hAnsi="Wingdings" w:hint="default"/>
      </w:rPr>
    </w:lvl>
    <w:lvl w:ilvl="3" w:tplc="A5622EF0">
      <w:start w:val="1"/>
      <w:numFmt w:val="bullet"/>
      <w:lvlText w:val=""/>
      <w:lvlJc w:val="left"/>
      <w:pPr>
        <w:ind w:left="2880" w:hanging="360"/>
      </w:pPr>
      <w:rPr>
        <w:rFonts w:ascii="Symbol" w:hAnsi="Symbol" w:hint="default"/>
      </w:rPr>
    </w:lvl>
    <w:lvl w:ilvl="4" w:tplc="1554882A">
      <w:start w:val="1"/>
      <w:numFmt w:val="bullet"/>
      <w:lvlText w:val="o"/>
      <w:lvlJc w:val="left"/>
      <w:pPr>
        <w:ind w:left="3600" w:hanging="360"/>
      </w:pPr>
      <w:rPr>
        <w:rFonts w:ascii="Courier New" w:hAnsi="Courier New" w:hint="default"/>
      </w:rPr>
    </w:lvl>
    <w:lvl w:ilvl="5" w:tplc="2DAEFA0E">
      <w:start w:val="1"/>
      <w:numFmt w:val="bullet"/>
      <w:lvlText w:val=""/>
      <w:lvlJc w:val="left"/>
      <w:pPr>
        <w:ind w:left="4320" w:hanging="360"/>
      </w:pPr>
      <w:rPr>
        <w:rFonts w:ascii="Wingdings" w:hAnsi="Wingdings" w:hint="default"/>
      </w:rPr>
    </w:lvl>
    <w:lvl w:ilvl="6" w:tplc="8F44B866">
      <w:start w:val="1"/>
      <w:numFmt w:val="bullet"/>
      <w:lvlText w:val=""/>
      <w:lvlJc w:val="left"/>
      <w:pPr>
        <w:ind w:left="5040" w:hanging="360"/>
      </w:pPr>
      <w:rPr>
        <w:rFonts w:ascii="Symbol" w:hAnsi="Symbol" w:hint="default"/>
      </w:rPr>
    </w:lvl>
    <w:lvl w:ilvl="7" w:tplc="D0D04048">
      <w:start w:val="1"/>
      <w:numFmt w:val="bullet"/>
      <w:lvlText w:val="o"/>
      <w:lvlJc w:val="left"/>
      <w:pPr>
        <w:ind w:left="5760" w:hanging="360"/>
      </w:pPr>
      <w:rPr>
        <w:rFonts w:ascii="Courier New" w:hAnsi="Courier New" w:hint="default"/>
      </w:rPr>
    </w:lvl>
    <w:lvl w:ilvl="8" w:tplc="7B5855B8">
      <w:start w:val="1"/>
      <w:numFmt w:val="bullet"/>
      <w:lvlText w:val=""/>
      <w:lvlJc w:val="left"/>
      <w:pPr>
        <w:ind w:left="6480" w:hanging="360"/>
      </w:pPr>
      <w:rPr>
        <w:rFonts w:ascii="Wingdings" w:hAnsi="Wingdings" w:hint="default"/>
      </w:rPr>
    </w:lvl>
  </w:abstractNum>
  <w:abstractNum w:abstractNumId="14" w15:restartNumberingAfterBreak="0">
    <w:nsid w:val="4A5C01B9"/>
    <w:multiLevelType w:val="multilevel"/>
    <w:tmpl w:val="9D72B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937271"/>
    <w:multiLevelType w:val="multilevel"/>
    <w:tmpl w:val="70805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18704C"/>
    <w:multiLevelType w:val="multilevel"/>
    <w:tmpl w:val="B1CC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EB2302"/>
    <w:multiLevelType w:val="multilevel"/>
    <w:tmpl w:val="677A5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6C7499"/>
    <w:multiLevelType w:val="multilevel"/>
    <w:tmpl w:val="C9463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52451D"/>
    <w:multiLevelType w:val="multilevel"/>
    <w:tmpl w:val="628C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8D3DB1"/>
    <w:multiLevelType w:val="multilevel"/>
    <w:tmpl w:val="ECE80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2364499">
    <w:abstractNumId w:val="13"/>
  </w:num>
  <w:num w:numId="2" w16cid:durableId="1943025133">
    <w:abstractNumId w:val="8"/>
  </w:num>
  <w:num w:numId="3" w16cid:durableId="176039514">
    <w:abstractNumId w:val="5"/>
  </w:num>
  <w:num w:numId="4" w16cid:durableId="190342940">
    <w:abstractNumId w:val="14"/>
  </w:num>
  <w:num w:numId="5" w16cid:durableId="1148012071">
    <w:abstractNumId w:val="17"/>
  </w:num>
  <w:num w:numId="6" w16cid:durableId="813572413">
    <w:abstractNumId w:val="20"/>
  </w:num>
  <w:num w:numId="7" w16cid:durableId="1790274718">
    <w:abstractNumId w:val="11"/>
  </w:num>
  <w:num w:numId="8" w16cid:durableId="252786824">
    <w:abstractNumId w:val="7"/>
  </w:num>
  <w:num w:numId="9" w16cid:durableId="2047828448">
    <w:abstractNumId w:val="0"/>
  </w:num>
  <w:num w:numId="10" w16cid:durableId="1448349762">
    <w:abstractNumId w:val="3"/>
  </w:num>
  <w:num w:numId="11" w16cid:durableId="1154877569">
    <w:abstractNumId w:val="16"/>
  </w:num>
  <w:num w:numId="12" w16cid:durableId="359014525">
    <w:abstractNumId w:val="15"/>
  </w:num>
  <w:num w:numId="13" w16cid:durableId="299651144">
    <w:abstractNumId w:val="18"/>
  </w:num>
  <w:num w:numId="14" w16cid:durableId="1709721415">
    <w:abstractNumId w:val="2"/>
  </w:num>
  <w:num w:numId="15" w16cid:durableId="954212235">
    <w:abstractNumId w:val="6"/>
  </w:num>
  <w:num w:numId="16" w16cid:durableId="15665136">
    <w:abstractNumId w:val="12"/>
  </w:num>
  <w:num w:numId="17" w16cid:durableId="938637436">
    <w:abstractNumId w:val="10"/>
  </w:num>
  <w:num w:numId="18" w16cid:durableId="1333794081">
    <w:abstractNumId w:val="4"/>
  </w:num>
  <w:num w:numId="19" w16cid:durableId="1502164211">
    <w:abstractNumId w:val="9"/>
  </w:num>
  <w:num w:numId="20" w16cid:durableId="1365713078">
    <w:abstractNumId w:val="19"/>
  </w:num>
  <w:num w:numId="21" w16cid:durableId="778649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B3CCAD"/>
    <w:rsid w:val="00000A0F"/>
    <w:rsid w:val="00023B5F"/>
    <w:rsid w:val="000309A8"/>
    <w:rsid w:val="000607A2"/>
    <w:rsid w:val="00082792"/>
    <w:rsid w:val="00095392"/>
    <w:rsid w:val="00096A85"/>
    <w:rsid w:val="000B7D2E"/>
    <w:rsid w:val="00100F19"/>
    <w:rsid w:val="00111ADD"/>
    <w:rsid w:val="00126988"/>
    <w:rsid w:val="0018174E"/>
    <w:rsid w:val="001D3395"/>
    <w:rsid w:val="001F1CD8"/>
    <w:rsid w:val="002006F4"/>
    <w:rsid w:val="00253C5F"/>
    <w:rsid w:val="00273BA3"/>
    <w:rsid w:val="002A505F"/>
    <w:rsid w:val="002B2652"/>
    <w:rsid w:val="002C0842"/>
    <w:rsid w:val="0031107E"/>
    <w:rsid w:val="00321C54"/>
    <w:rsid w:val="0035314C"/>
    <w:rsid w:val="00363852"/>
    <w:rsid w:val="00371141"/>
    <w:rsid w:val="00401E76"/>
    <w:rsid w:val="00494F28"/>
    <w:rsid w:val="00500A21"/>
    <w:rsid w:val="0051423B"/>
    <w:rsid w:val="0053704A"/>
    <w:rsid w:val="005806DF"/>
    <w:rsid w:val="005B2FEA"/>
    <w:rsid w:val="005D7BF6"/>
    <w:rsid w:val="006064DE"/>
    <w:rsid w:val="006358D8"/>
    <w:rsid w:val="00675D72"/>
    <w:rsid w:val="006F1C5D"/>
    <w:rsid w:val="006F7EE7"/>
    <w:rsid w:val="00716740"/>
    <w:rsid w:val="007549FD"/>
    <w:rsid w:val="00790859"/>
    <w:rsid w:val="007921C1"/>
    <w:rsid w:val="007C5AD3"/>
    <w:rsid w:val="007F036C"/>
    <w:rsid w:val="00810843"/>
    <w:rsid w:val="00812675"/>
    <w:rsid w:val="00816959"/>
    <w:rsid w:val="0084656B"/>
    <w:rsid w:val="00882D0E"/>
    <w:rsid w:val="00887544"/>
    <w:rsid w:val="008A0926"/>
    <w:rsid w:val="008A0991"/>
    <w:rsid w:val="008D36A8"/>
    <w:rsid w:val="008F0971"/>
    <w:rsid w:val="009809E0"/>
    <w:rsid w:val="009D20A5"/>
    <w:rsid w:val="009E069C"/>
    <w:rsid w:val="009E7F65"/>
    <w:rsid w:val="00A347AE"/>
    <w:rsid w:val="00A36810"/>
    <w:rsid w:val="00A6395C"/>
    <w:rsid w:val="00A86B33"/>
    <w:rsid w:val="00A8784E"/>
    <w:rsid w:val="00A92AFE"/>
    <w:rsid w:val="00AA12F1"/>
    <w:rsid w:val="00AA1888"/>
    <w:rsid w:val="00B13F9E"/>
    <w:rsid w:val="00B16674"/>
    <w:rsid w:val="00B178FD"/>
    <w:rsid w:val="00B270DD"/>
    <w:rsid w:val="00B27DFD"/>
    <w:rsid w:val="00B7432C"/>
    <w:rsid w:val="00C02F17"/>
    <w:rsid w:val="00C65874"/>
    <w:rsid w:val="00C846CA"/>
    <w:rsid w:val="00CA1E9C"/>
    <w:rsid w:val="00CC40CC"/>
    <w:rsid w:val="00D87857"/>
    <w:rsid w:val="00DE298E"/>
    <w:rsid w:val="00E02E12"/>
    <w:rsid w:val="00E106AA"/>
    <w:rsid w:val="00E6764F"/>
    <w:rsid w:val="00EB3E35"/>
    <w:rsid w:val="00EE51B0"/>
    <w:rsid w:val="00F26D44"/>
    <w:rsid w:val="00FA7B59"/>
    <w:rsid w:val="00FB32DC"/>
    <w:rsid w:val="021D2362"/>
    <w:rsid w:val="0C1E8527"/>
    <w:rsid w:val="123A510E"/>
    <w:rsid w:val="15905128"/>
    <w:rsid w:val="1660A038"/>
    <w:rsid w:val="21681B1D"/>
    <w:rsid w:val="244F9850"/>
    <w:rsid w:val="29B3CCAD"/>
    <w:rsid w:val="35243E79"/>
    <w:rsid w:val="361388D2"/>
    <w:rsid w:val="36C2A92E"/>
    <w:rsid w:val="3BEAEB66"/>
    <w:rsid w:val="41104AAA"/>
    <w:rsid w:val="4277BE5E"/>
    <w:rsid w:val="498824C8"/>
    <w:rsid w:val="578F6B5D"/>
    <w:rsid w:val="5D412F85"/>
    <w:rsid w:val="5F53CE11"/>
    <w:rsid w:val="61C591CF"/>
    <w:rsid w:val="6AD14AD0"/>
    <w:rsid w:val="6FA0A147"/>
    <w:rsid w:val="743C5E13"/>
    <w:rsid w:val="7575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CE239"/>
  <w15:chartTrackingRefBased/>
  <w15:docId w15:val="{3B24A5A3-C188-49D7-A1A7-1DA7BDE7B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rsid w:val="0C1E85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0C1E85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uiPriority w:val="9"/>
    <w:unhideWhenUsed/>
    <w:qFormat/>
    <w:rsid w:val="0C1E8527"/>
    <w:pPr>
      <w:keepNext/>
      <w:keepLines/>
      <w:spacing w:before="160" w:after="80"/>
      <w:outlineLvl w:val="2"/>
    </w:pPr>
    <w:rPr>
      <w:rFonts w:eastAsiaTheme="majorEastAsia" w:cstheme="majorBidi"/>
      <w:color w:val="0F4761" w:themeColor="accent1" w:themeShade="BF"/>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10">
    <w:name w:val="toc 1"/>
    <w:basedOn w:val="a"/>
    <w:next w:val="a"/>
    <w:uiPriority w:val="39"/>
    <w:unhideWhenUsed/>
    <w:rsid w:val="0C1E8527"/>
    <w:pPr>
      <w:spacing w:after="100"/>
    </w:pPr>
  </w:style>
  <w:style w:type="paragraph" w:styleId="a3">
    <w:name w:val="List Paragraph"/>
    <w:basedOn w:val="a"/>
    <w:uiPriority w:val="34"/>
    <w:qFormat/>
    <w:rsid w:val="0C1E8527"/>
    <w:pPr>
      <w:ind w:left="720"/>
      <w:contextualSpacing/>
    </w:pPr>
  </w:style>
  <w:style w:type="character" w:styleId="a4">
    <w:name w:val="Hyperlink"/>
    <w:basedOn w:val="a0"/>
    <w:uiPriority w:val="99"/>
    <w:unhideWhenUsed/>
    <w:rsid w:val="0C1E8527"/>
    <w:rPr>
      <w:color w:val="467886"/>
      <w:u w:val="single"/>
    </w:rPr>
  </w:style>
  <w:style w:type="paragraph" w:styleId="20">
    <w:name w:val="toc 2"/>
    <w:basedOn w:val="a"/>
    <w:next w:val="a"/>
    <w:uiPriority w:val="39"/>
    <w:unhideWhenUsed/>
    <w:rsid w:val="0C1E8527"/>
    <w:pPr>
      <w:spacing w:after="100"/>
      <w:ind w:left="220"/>
    </w:pPr>
  </w:style>
  <w:style w:type="table" w:styleId="a5">
    <w:name w:val="Table Grid"/>
    <w:basedOn w:val="a1"/>
    <w:uiPriority w:val="39"/>
    <w:rsid w:val="008169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Unresolved Mention"/>
    <w:basedOn w:val="a0"/>
    <w:uiPriority w:val="99"/>
    <w:semiHidden/>
    <w:unhideWhenUsed/>
    <w:rsid w:val="00C02F17"/>
    <w:rPr>
      <w:color w:val="605E5C"/>
      <w:shd w:val="clear" w:color="auto" w:fill="E1DFDD"/>
    </w:rPr>
  </w:style>
  <w:style w:type="character" w:styleId="a7">
    <w:name w:val="FollowedHyperlink"/>
    <w:basedOn w:val="a0"/>
    <w:uiPriority w:val="99"/>
    <w:semiHidden/>
    <w:unhideWhenUsed/>
    <w:rsid w:val="00095392"/>
    <w:rPr>
      <w:color w:val="954F72"/>
      <w:u w:val="single"/>
    </w:rPr>
  </w:style>
  <w:style w:type="paragraph" w:customStyle="1" w:styleId="msonormal0">
    <w:name w:val="msonormal"/>
    <w:basedOn w:val="a"/>
    <w:rsid w:val="00095392"/>
    <w:pPr>
      <w:spacing w:before="100" w:beforeAutospacing="1" w:after="100" w:afterAutospacing="1" w:line="240" w:lineRule="auto"/>
    </w:pPr>
    <w:rPr>
      <w:rFonts w:ascii="Times New Roman" w:eastAsia="Times New Roman" w:hAnsi="Times New Roman" w:cs="Times New Roman"/>
      <w:lang w:val="en-US" w:eastAsia="en-US"/>
    </w:rPr>
  </w:style>
  <w:style w:type="paragraph" w:customStyle="1" w:styleId="font0">
    <w:name w:val="font0"/>
    <w:basedOn w:val="a"/>
    <w:rsid w:val="00095392"/>
    <w:pPr>
      <w:spacing w:before="100" w:beforeAutospacing="1" w:after="100" w:afterAutospacing="1" w:line="240" w:lineRule="auto"/>
    </w:pPr>
    <w:rPr>
      <w:rFonts w:ascii="Calibri" w:eastAsia="Times New Roman" w:hAnsi="Calibri" w:cs="Calibri"/>
      <w:color w:val="000000"/>
      <w:sz w:val="22"/>
      <w:szCs w:val="22"/>
      <w:lang w:val="en-US" w:eastAsia="en-US"/>
    </w:rPr>
  </w:style>
  <w:style w:type="paragraph" w:customStyle="1" w:styleId="font5">
    <w:name w:val="font5"/>
    <w:basedOn w:val="a"/>
    <w:rsid w:val="00095392"/>
    <w:pPr>
      <w:spacing w:before="100" w:beforeAutospacing="1" w:after="100" w:afterAutospacing="1" w:line="240" w:lineRule="auto"/>
    </w:pPr>
    <w:rPr>
      <w:rFonts w:ascii="Calibri" w:eastAsia="Times New Roman" w:hAnsi="Calibri" w:cs="Calibri"/>
      <w:b/>
      <w:bCs/>
      <w:color w:val="000000"/>
      <w:sz w:val="22"/>
      <w:szCs w:val="22"/>
      <w:lang w:val="en-US" w:eastAsia="en-US"/>
    </w:rPr>
  </w:style>
  <w:style w:type="paragraph" w:customStyle="1" w:styleId="xl64">
    <w:name w:val="xl64"/>
    <w:basedOn w:val="a"/>
    <w:rsid w:val="00095392"/>
    <w:pPr>
      <w:spacing w:before="100" w:beforeAutospacing="1" w:after="100" w:afterAutospacing="1" w:line="240" w:lineRule="auto"/>
      <w:textAlignment w:val="center"/>
    </w:pPr>
    <w:rPr>
      <w:rFonts w:ascii="Times New Roman" w:eastAsia="Times New Roman" w:hAnsi="Times New Roman" w:cs="Times New Roman"/>
      <w:b/>
      <w:bCs/>
      <w:sz w:val="48"/>
      <w:szCs w:val="48"/>
      <w:lang w:val="en-US" w:eastAsia="en-US"/>
    </w:rPr>
  </w:style>
  <w:style w:type="paragraph" w:customStyle="1" w:styleId="xl65">
    <w:name w:val="xl65"/>
    <w:basedOn w:val="a"/>
    <w:rsid w:val="00095392"/>
    <w:pPr>
      <w:spacing w:before="100" w:beforeAutospacing="1" w:after="100" w:afterAutospacing="1" w:line="240" w:lineRule="auto"/>
      <w:textAlignment w:val="center"/>
    </w:pPr>
    <w:rPr>
      <w:rFonts w:ascii="Times New Roman" w:eastAsia="Times New Roman" w:hAnsi="Times New Roman" w:cs="Times New Roman"/>
      <w:b/>
      <w:bCs/>
      <w:sz w:val="27"/>
      <w:szCs w:val="27"/>
      <w:lang w:val="en-US" w:eastAsia="en-US"/>
    </w:rPr>
  </w:style>
  <w:style w:type="paragraph" w:customStyle="1" w:styleId="xl66">
    <w:name w:val="xl66"/>
    <w:basedOn w:val="a"/>
    <w:rsid w:val="00095392"/>
    <w:pPr>
      <w:spacing w:before="100" w:beforeAutospacing="1" w:after="100" w:afterAutospacing="1" w:line="240" w:lineRule="auto"/>
      <w:jc w:val="center"/>
      <w:textAlignment w:val="center"/>
    </w:pPr>
    <w:rPr>
      <w:rFonts w:ascii="Times New Roman" w:eastAsia="Times New Roman" w:hAnsi="Times New Roman" w:cs="Times New Roman"/>
      <w:b/>
      <w:bCs/>
      <w:lang w:val="en-US" w:eastAsia="en-US"/>
    </w:rPr>
  </w:style>
  <w:style w:type="paragraph" w:customStyle="1" w:styleId="xl67">
    <w:name w:val="xl67"/>
    <w:basedOn w:val="a"/>
    <w:rsid w:val="00095392"/>
    <w:pPr>
      <w:spacing w:before="100" w:beforeAutospacing="1" w:after="100" w:afterAutospacing="1" w:line="240" w:lineRule="auto"/>
      <w:textAlignment w:val="center"/>
    </w:pPr>
    <w:rPr>
      <w:rFonts w:ascii="Times New Roman" w:eastAsia="Times New Roman" w:hAnsi="Times New Roman" w:cs="Times New Roman"/>
      <w:lang w:val="en-US" w:eastAsia="en-US"/>
    </w:rPr>
  </w:style>
  <w:style w:type="paragraph" w:customStyle="1" w:styleId="xl68">
    <w:name w:val="xl68"/>
    <w:basedOn w:val="a"/>
    <w:rsid w:val="00095392"/>
    <w:pPr>
      <w:spacing w:before="100" w:beforeAutospacing="1" w:after="100" w:afterAutospacing="1" w:line="240" w:lineRule="auto"/>
      <w:ind w:firstLineChars="100" w:firstLine="100"/>
      <w:textAlignment w:val="center"/>
    </w:pPr>
    <w:rPr>
      <w:rFonts w:ascii="Times New Roman" w:eastAsia="Times New Roman" w:hAnsi="Times New Roman" w:cs="Times New Roman"/>
      <w:lang w:val="en-US" w:eastAsia="en-US"/>
    </w:rPr>
  </w:style>
  <w:style w:type="paragraph" w:customStyle="1" w:styleId="xl69">
    <w:name w:val="xl69"/>
    <w:basedOn w:val="a"/>
    <w:rsid w:val="00095392"/>
    <w:pPr>
      <w:spacing w:before="100" w:beforeAutospacing="1" w:after="100" w:afterAutospacing="1" w:line="240" w:lineRule="auto"/>
      <w:ind w:firstLineChars="100" w:firstLine="100"/>
      <w:textAlignment w:val="center"/>
    </w:pPr>
    <w:rPr>
      <w:rFonts w:ascii="Times New Roman" w:eastAsia="Times New Roman" w:hAnsi="Times New Roman" w:cs="Times New Roman"/>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F33D2-E17A-4E33-81F2-39D622D27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12</Pages>
  <Words>2316</Words>
  <Characters>13206</Characters>
  <Application>Microsoft Office Word</Application>
  <DocSecurity>0</DocSecurity>
  <Lines>110</Lines>
  <Paragraphs>30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15492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Armands Putersevics (2242532)</dc:creator>
  <cp:keywords/>
  <dc:description/>
  <cp:lastModifiedBy>elena kokorieva</cp:lastModifiedBy>
  <cp:revision>6</cp:revision>
  <dcterms:created xsi:type="dcterms:W3CDTF">2026-07-23T20:24:00Z</dcterms:created>
  <dcterms:modified xsi:type="dcterms:W3CDTF">2026-07-24T14:35:00Z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c6c3f75b-7496-4b8c-9287-52b18d5bcb92</vt:lpwstr>
  </property>
</Properties>
</file>