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7381C" w14:textId="1454E626" w:rsidR="00DB64B7" w:rsidRDefault="00DB64B7">
      <w:r>
        <w:tab/>
      </w:r>
      <w:r>
        <w:tab/>
      </w:r>
      <w:r>
        <w:tab/>
      </w:r>
      <w:r>
        <w:tab/>
      </w:r>
      <w:r w:rsidR="00692F60">
        <w:t xml:space="preserve">Business Management </w:t>
      </w:r>
    </w:p>
    <w:p w14:paraId="6E34750B" w14:textId="38678F5A" w:rsidR="00692F60" w:rsidRDefault="00692F60">
      <w:r>
        <w:tab/>
      </w:r>
      <w:r>
        <w:tab/>
      </w:r>
      <w:r>
        <w:tab/>
      </w:r>
      <w:r w:rsidR="00BC0B06">
        <w:t xml:space="preserve">             </w:t>
      </w:r>
      <w:r w:rsidR="009A00E4">
        <w:t xml:space="preserve">Introduction to Business </w:t>
      </w:r>
    </w:p>
    <w:p w14:paraId="408C2227" w14:textId="34D3142C" w:rsidR="006F48CB" w:rsidRDefault="006F48CB">
      <w:r>
        <w:tab/>
      </w:r>
      <w:r>
        <w:tab/>
      </w:r>
      <w:r>
        <w:tab/>
      </w:r>
      <w:r>
        <w:tab/>
        <w:t xml:space="preserve">  Sameena Hassan </w:t>
      </w:r>
    </w:p>
    <w:p w14:paraId="48620095" w14:textId="19FB2A54" w:rsidR="00BC0B06" w:rsidRDefault="00BC0B06">
      <w:r>
        <w:tab/>
      </w:r>
      <w:r>
        <w:tab/>
      </w:r>
      <w:r>
        <w:tab/>
      </w:r>
      <w:r>
        <w:tab/>
        <w:t xml:space="preserve">            LCBB4007 </w:t>
      </w:r>
    </w:p>
    <w:p w14:paraId="4800F3EE" w14:textId="1D6D63D1" w:rsidR="00B87F11" w:rsidRDefault="00B87F11">
      <w:r>
        <w:t xml:space="preserve">                                                                    Component </w:t>
      </w:r>
      <w:r w:rsidR="006F48CB">
        <w:t>1</w:t>
      </w:r>
    </w:p>
    <w:p w14:paraId="14D31296" w14:textId="77777777" w:rsidR="00E61B0D" w:rsidRDefault="00E61B0D"/>
    <w:p w14:paraId="4D766213" w14:textId="77777777" w:rsidR="00E61B0D" w:rsidRDefault="00E61B0D"/>
    <w:p w14:paraId="1970BF5A" w14:textId="77777777" w:rsidR="00E61B0D" w:rsidRDefault="00E61B0D"/>
    <w:p w14:paraId="127B7FE7" w14:textId="77777777" w:rsidR="00E61B0D" w:rsidRDefault="00E61B0D"/>
    <w:p w14:paraId="74DD97E6" w14:textId="77777777" w:rsidR="00E61B0D" w:rsidRDefault="00E61B0D"/>
    <w:p w14:paraId="0AAE0C79" w14:textId="77777777" w:rsidR="00E61B0D" w:rsidRDefault="00E61B0D"/>
    <w:p w14:paraId="5C1C5BE5" w14:textId="77777777" w:rsidR="00E61B0D" w:rsidRDefault="00E61B0D"/>
    <w:p w14:paraId="23EDC098" w14:textId="77777777" w:rsidR="00E61B0D" w:rsidRDefault="00E61B0D"/>
    <w:p w14:paraId="3BBFE03A" w14:textId="77777777" w:rsidR="00E61B0D" w:rsidRDefault="00E61B0D"/>
    <w:p w14:paraId="56ADFC81" w14:textId="77777777" w:rsidR="00E61B0D" w:rsidRDefault="00E61B0D"/>
    <w:p w14:paraId="451C3CFD" w14:textId="77777777" w:rsidR="00E61B0D" w:rsidRPr="00564B83" w:rsidRDefault="00E61B0D">
      <w:pPr>
        <w:rPr>
          <w:rFonts w:ascii="Arial" w:hAnsi="Arial" w:cs="Arial"/>
          <w:sz w:val="22"/>
          <w:szCs w:val="22"/>
        </w:rPr>
      </w:pPr>
    </w:p>
    <w:p w14:paraId="67033366" w14:textId="77777777" w:rsidR="00E61B0D" w:rsidRPr="00564B83" w:rsidRDefault="00E61B0D">
      <w:pPr>
        <w:rPr>
          <w:rFonts w:ascii="Arial" w:hAnsi="Arial" w:cs="Arial"/>
          <w:sz w:val="22"/>
          <w:szCs w:val="22"/>
        </w:rPr>
      </w:pPr>
    </w:p>
    <w:p w14:paraId="7199CE71" w14:textId="77777777" w:rsidR="00E61B0D" w:rsidRPr="00564B83" w:rsidRDefault="00E61B0D">
      <w:pPr>
        <w:rPr>
          <w:rFonts w:ascii="Arial" w:hAnsi="Arial" w:cs="Arial"/>
          <w:sz w:val="22"/>
          <w:szCs w:val="22"/>
        </w:rPr>
      </w:pPr>
    </w:p>
    <w:p w14:paraId="53389A90" w14:textId="77777777" w:rsidR="00E61B0D" w:rsidRPr="00564B83" w:rsidRDefault="00E61B0D">
      <w:pPr>
        <w:rPr>
          <w:rFonts w:ascii="Arial" w:hAnsi="Arial" w:cs="Arial"/>
          <w:sz w:val="22"/>
          <w:szCs w:val="22"/>
        </w:rPr>
      </w:pPr>
    </w:p>
    <w:p w14:paraId="1DDFBDBE" w14:textId="77777777" w:rsidR="00E61B0D" w:rsidRPr="00564B83" w:rsidRDefault="00E61B0D">
      <w:pPr>
        <w:rPr>
          <w:rFonts w:ascii="Arial" w:hAnsi="Arial" w:cs="Arial"/>
          <w:sz w:val="22"/>
          <w:szCs w:val="22"/>
        </w:rPr>
      </w:pPr>
    </w:p>
    <w:p w14:paraId="3DDF6981" w14:textId="77777777" w:rsidR="00E61B0D" w:rsidRPr="00564B83" w:rsidRDefault="00E61B0D">
      <w:pPr>
        <w:rPr>
          <w:rFonts w:ascii="Arial" w:hAnsi="Arial" w:cs="Arial"/>
          <w:sz w:val="22"/>
          <w:szCs w:val="22"/>
        </w:rPr>
      </w:pPr>
    </w:p>
    <w:p w14:paraId="1A80BC36" w14:textId="77777777" w:rsidR="00E61B0D" w:rsidRPr="00564B83" w:rsidRDefault="00E61B0D">
      <w:pPr>
        <w:rPr>
          <w:rFonts w:ascii="Arial" w:hAnsi="Arial" w:cs="Arial"/>
          <w:sz w:val="22"/>
          <w:szCs w:val="22"/>
        </w:rPr>
      </w:pPr>
    </w:p>
    <w:p w14:paraId="24AB7063" w14:textId="77777777" w:rsidR="00E61B0D" w:rsidRPr="00564B83" w:rsidRDefault="00E61B0D">
      <w:pPr>
        <w:rPr>
          <w:rFonts w:ascii="Arial" w:hAnsi="Arial" w:cs="Arial"/>
          <w:sz w:val="22"/>
          <w:szCs w:val="22"/>
        </w:rPr>
      </w:pPr>
    </w:p>
    <w:p w14:paraId="776ECDD5" w14:textId="77777777" w:rsidR="00E61B0D" w:rsidRPr="00564B83" w:rsidRDefault="00E61B0D">
      <w:pPr>
        <w:rPr>
          <w:rFonts w:ascii="Arial" w:hAnsi="Arial" w:cs="Arial"/>
          <w:sz w:val="22"/>
          <w:szCs w:val="22"/>
        </w:rPr>
      </w:pPr>
    </w:p>
    <w:p w14:paraId="286FBF2D" w14:textId="77777777" w:rsidR="00E61B0D" w:rsidRPr="00564B83" w:rsidRDefault="00E61B0D">
      <w:pPr>
        <w:rPr>
          <w:rFonts w:ascii="Arial" w:hAnsi="Arial" w:cs="Arial"/>
          <w:sz w:val="22"/>
          <w:szCs w:val="22"/>
        </w:rPr>
      </w:pPr>
    </w:p>
    <w:p w14:paraId="1AB5EFC9" w14:textId="77777777" w:rsidR="00E61B0D" w:rsidRPr="00564B83" w:rsidRDefault="00E61B0D">
      <w:pPr>
        <w:rPr>
          <w:rFonts w:ascii="Arial" w:hAnsi="Arial" w:cs="Arial"/>
          <w:sz w:val="22"/>
          <w:szCs w:val="22"/>
        </w:rPr>
      </w:pPr>
    </w:p>
    <w:p w14:paraId="7076472F" w14:textId="77777777" w:rsidR="00E61B0D" w:rsidRPr="00564B83" w:rsidRDefault="00E61B0D">
      <w:pPr>
        <w:rPr>
          <w:rFonts w:ascii="Arial" w:hAnsi="Arial" w:cs="Arial"/>
          <w:sz w:val="22"/>
          <w:szCs w:val="22"/>
        </w:rPr>
      </w:pPr>
    </w:p>
    <w:p w14:paraId="032D74D6" w14:textId="77777777" w:rsidR="00E61B0D" w:rsidRPr="00564B83" w:rsidRDefault="00E61B0D">
      <w:pPr>
        <w:rPr>
          <w:rFonts w:ascii="Arial" w:hAnsi="Arial" w:cs="Arial"/>
          <w:sz w:val="22"/>
          <w:szCs w:val="22"/>
        </w:rPr>
      </w:pPr>
    </w:p>
    <w:p w14:paraId="76DD36E4" w14:textId="77777777" w:rsidR="00E61B0D" w:rsidRPr="00564B83" w:rsidRDefault="00E61B0D">
      <w:pPr>
        <w:rPr>
          <w:rFonts w:ascii="Arial" w:hAnsi="Arial" w:cs="Arial"/>
          <w:sz w:val="22"/>
          <w:szCs w:val="22"/>
        </w:rPr>
      </w:pPr>
    </w:p>
    <w:p w14:paraId="67430A8E" w14:textId="02D79F0D" w:rsidR="00E61B0D" w:rsidRPr="00F34C3D" w:rsidRDefault="00AD4BB0" w:rsidP="00F019CB">
      <w:pPr>
        <w:spacing w:line="360" w:lineRule="auto"/>
        <w:rPr>
          <w:rFonts w:ascii="Arial" w:hAnsi="Arial" w:cs="Arial"/>
          <w:b/>
          <w:bCs/>
          <w:i/>
          <w:iCs/>
          <w:sz w:val="22"/>
          <w:szCs w:val="22"/>
        </w:rPr>
      </w:pPr>
      <w:r w:rsidRPr="00F34C3D">
        <w:rPr>
          <w:rFonts w:ascii="Arial" w:hAnsi="Arial" w:cs="Arial"/>
          <w:b/>
          <w:bCs/>
          <w:i/>
          <w:iCs/>
          <w:sz w:val="22"/>
          <w:szCs w:val="22"/>
        </w:rPr>
        <w:lastRenderedPageBreak/>
        <w:t xml:space="preserve">Introduction </w:t>
      </w:r>
    </w:p>
    <w:p w14:paraId="4FDAA89C" w14:textId="19F03B87" w:rsidR="004A0619" w:rsidRPr="00564B83" w:rsidRDefault="00986F84" w:rsidP="00F019CB">
      <w:pPr>
        <w:spacing w:line="360" w:lineRule="auto"/>
        <w:rPr>
          <w:rFonts w:ascii="Arial" w:hAnsi="Arial" w:cs="Arial"/>
          <w:sz w:val="22"/>
          <w:szCs w:val="22"/>
        </w:rPr>
      </w:pPr>
      <w:r w:rsidRPr="00564B83">
        <w:rPr>
          <w:rFonts w:ascii="Arial" w:hAnsi="Arial" w:cs="Arial"/>
          <w:sz w:val="22"/>
          <w:szCs w:val="22"/>
        </w:rPr>
        <w:t xml:space="preserve">I will be </w:t>
      </w:r>
      <w:r w:rsidR="00B805F9" w:rsidRPr="00564B83">
        <w:rPr>
          <w:rFonts w:ascii="Arial" w:hAnsi="Arial" w:cs="Arial"/>
          <w:sz w:val="22"/>
          <w:szCs w:val="22"/>
        </w:rPr>
        <w:t xml:space="preserve">providing you </w:t>
      </w:r>
      <w:r w:rsidR="009C583C" w:rsidRPr="00564B83">
        <w:rPr>
          <w:rFonts w:ascii="Arial" w:hAnsi="Arial" w:cs="Arial"/>
          <w:sz w:val="22"/>
          <w:szCs w:val="22"/>
        </w:rPr>
        <w:t xml:space="preserve">with </w:t>
      </w:r>
      <w:r w:rsidR="00B658FC" w:rsidRPr="00564B83">
        <w:rPr>
          <w:rFonts w:ascii="Arial" w:hAnsi="Arial" w:cs="Arial"/>
          <w:sz w:val="22"/>
          <w:szCs w:val="22"/>
        </w:rPr>
        <w:t xml:space="preserve">in-depth </w:t>
      </w:r>
      <w:r w:rsidR="00A135E6" w:rsidRPr="00564B83">
        <w:rPr>
          <w:rFonts w:ascii="Arial" w:hAnsi="Arial" w:cs="Arial"/>
          <w:sz w:val="22"/>
          <w:szCs w:val="22"/>
        </w:rPr>
        <w:t xml:space="preserve">report </w:t>
      </w:r>
      <w:r w:rsidR="00A11F8F" w:rsidRPr="00564B83">
        <w:rPr>
          <w:rFonts w:ascii="Arial" w:hAnsi="Arial" w:cs="Arial"/>
          <w:sz w:val="22"/>
          <w:szCs w:val="22"/>
        </w:rPr>
        <w:t xml:space="preserve">on my chosen business which is Tesco. </w:t>
      </w:r>
      <w:r w:rsidR="00950EC1" w:rsidRPr="00564B83">
        <w:rPr>
          <w:rFonts w:ascii="Arial" w:hAnsi="Arial" w:cs="Arial"/>
          <w:sz w:val="22"/>
          <w:szCs w:val="22"/>
        </w:rPr>
        <w:t xml:space="preserve">The primary goals of the chosen organisation Tesco, which are to serve its clients, the environment, and their communities, which will be covered in this report to provide you a details analysis using the SWOT and PESTEL models we have </w:t>
      </w:r>
      <w:r w:rsidR="00C5617F" w:rsidRPr="00564B83">
        <w:rPr>
          <w:rFonts w:ascii="Arial" w:hAnsi="Arial" w:cs="Arial"/>
          <w:sz w:val="22"/>
          <w:szCs w:val="22"/>
        </w:rPr>
        <w:t>incorporated through our education</w:t>
      </w:r>
      <w:r w:rsidR="00950EC1" w:rsidRPr="00564B83">
        <w:rPr>
          <w:rFonts w:ascii="Arial" w:hAnsi="Arial" w:cs="Arial"/>
          <w:sz w:val="22"/>
          <w:szCs w:val="22"/>
        </w:rPr>
        <w:t>. In addition to other goods and services, Tesco is well-known for its retailing of a variety of food items, clothing, electronics, financial, and telecom services.</w:t>
      </w:r>
      <w:r w:rsidR="009151B9" w:rsidRPr="00564B83">
        <w:rPr>
          <w:rFonts w:ascii="Arial" w:hAnsi="Arial" w:cs="Arial"/>
          <w:sz w:val="22"/>
          <w:szCs w:val="22"/>
        </w:rPr>
        <w:t xml:space="preserve"> There has been a 4.4% estimated increase in the Gross Revenue (2023) of the company income as per the latest reports from the global data (GlobalData, 2024).</w:t>
      </w:r>
    </w:p>
    <w:p w14:paraId="4164A97B" w14:textId="77777777" w:rsidR="003A6FB6" w:rsidRDefault="00F34C3D" w:rsidP="003A6FB6">
      <w:pPr>
        <w:spacing w:line="360" w:lineRule="auto"/>
        <w:rPr>
          <w:rFonts w:ascii="Arial" w:hAnsi="Arial" w:cs="Arial"/>
          <w:b/>
          <w:bCs/>
          <w:i/>
          <w:iCs/>
          <w:sz w:val="22"/>
          <w:szCs w:val="22"/>
        </w:rPr>
      </w:pPr>
      <w:r w:rsidRPr="00F34C3D">
        <w:rPr>
          <w:rFonts w:ascii="Arial" w:hAnsi="Arial" w:cs="Arial"/>
          <w:b/>
          <w:bCs/>
          <w:i/>
          <w:iCs/>
          <w:sz w:val="22"/>
          <w:szCs w:val="22"/>
        </w:rPr>
        <w:t>Discussion</w:t>
      </w:r>
    </w:p>
    <w:p w14:paraId="43EA2E82" w14:textId="3ACC0EE8" w:rsidR="00091F3F" w:rsidRPr="003A6FB6" w:rsidRDefault="006B280E" w:rsidP="003A6FB6">
      <w:pPr>
        <w:spacing w:line="360" w:lineRule="auto"/>
        <w:rPr>
          <w:rFonts w:ascii="Arial" w:hAnsi="Arial" w:cs="Arial"/>
          <w:b/>
          <w:bCs/>
          <w:i/>
          <w:iCs/>
          <w:sz w:val="22"/>
          <w:szCs w:val="22"/>
        </w:rPr>
      </w:pPr>
      <w:r w:rsidRPr="003A6FB6">
        <w:rPr>
          <w:rFonts w:ascii="Arial" w:eastAsia="Arial" w:hAnsi="Arial" w:cs="Arial"/>
          <w:kern w:val="0"/>
          <w:sz w:val="22"/>
          <w:szCs w:val="22"/>
          <w:lang w:val="en-US" w:eastAsia="en-US"/>
          <w14:ligatures w14:val="none"/>
        </w:rPr>
        <w:t>Based on the company's outline, a SWOT analysis should be conducted to identify the company's strengths, weaknesses, opportunities, and areas of strength. One of Tesco's numerous strengths is that it offers a wide range of services and goods to its audience and provides all under one roof which is easy accessible to everyone. Tesco benefits from having access to the newest technologies and systems, which also gives it an opportunity to be competitive to other organisations in the similar fiel</w:t>
      </w:r>
      <w:r w:rsidR="007350B7" w:rsidRPr="003A6FB6">
        <w:rPr>
          <w:rFonts w:ascii="Arial" w:eastAsia="Arial" w:hAnsi="Arial" w:cs="Arial"/>
          <w:kern w:val="0"/>
          <w:sz w:val="22"/>
          <w:szCs w:val="22"/>
          <w:lang w:val="en-US" w:eastAsia="en-US"/>
          <w14:ligatures w14:val="none"/>
        </w:rPr>
        <w:t>d alongside using online shopping which some other stores do not offer who may be a more of a cheaper option ho</w:t>
      </w:r>
      <w:r w:rsidR="004B5AA1" w:rsidRPr="003A6FB6">
        <w:rPr>
          <w:rFonts w:ascii="Arial" w:eastAsia="Arial" w:hAnsi="Arial" w:cs="Arial"/>
          <w:kern w:val="0"/>
          <w:sz w:val="22"/>
          <w:szCs w:val="22"/>
          <w:lang w:val="en-US" w:eastAsia="en-US"/>
          <w14:ligatures w14:val="none"/>
        </w:rPr>
        <w:t xml:space="preserve">wever due to confidence online shopping is convenient for the working class </w:t>
      </w:r>
      <w:r w:rsidR="003A6FB6" w:rsidRPr="003A6FB6">
        <w:rPr>
          <w:rFonts w:ascii="Arial" w:eastAsia="Arial" w:hAnsi="Arial" w:cs="Arial"/>
          <w:kern w:val="0"/>
          <w:sz w:val="22"/>
          <w:szCs w:val="22"/>
          <w:lang w:val="en-US" w:eastAsia="en-US"/>
          <w14:ligatures w14:val="none"/>
        </w:rPr>
        <w:t>as Tesco has seen over 60% growth in their online shopping facility.</w:t>
      </w:r>
      <w:r w:rsidRPr="003A6FB6">
        <w:rPr>
          <w:rFonts w:ascii="Arial" w:eastAsia="Arial" w:hAnsi="Arial" w:cs="Arial"/>
          <w:kern w:val="0"/>
          <w:sz w:val="22"/>
          <w:szCs w:val="22"/>
          <w:lang w:val="en-US" w:eastAsia="en-US"/>
          <w14:ligatures w14:val="none"/>
        </w:rPr>
        <w:t>. However, it seems that Tesco also has carries certain flaws, such as a dearth of drive and an optimistic attitude among staff members towards their jobs. It is also possible that less expensive alternatives may draw customers away from Tesco’s offerings of goods and services such as cheaper options of Lidl and Aldi</w:t>
      </w:r>
      <w:bookmarkStart w:id="0" w:name="_u7a7it3c70k4" w:colFirst="0" w:colLast="0"/>
      <w:bookmarkEnd w:id="0"/>
      <w:r w:rsidRPr="003A6FB6">
        <w:rPr>
          <w:rFonts w:ascii="Arial" w:eastAsia="Arial" w:hAnsi="Arial" w:cs="Arial"/>
          <w:kern w:val="0"/>
          <w:sz w:val="22"/>
          <w:szCs w:val="22"/>
          <w:lang w:val="en-US" w:eastAsia="en-US"/>
          <w14:ligatures w14:val="none"/>
        </w:rPr>
        <w:t xml:space="preserve"> (Peterdy,2024). As the population are trying to reduce the use of plastic and recycle where is possible,Tesco's use of plastic packaging may also be seen as a general detriment to the brand. A set of opportunities and threats has been formed based on the strengths and vulnerabilities that have been explored. Tesco could expand globally and improve its online offerings thanks to the range of services and goods it offers and technological advancements (Forsey, 2023). Tesco may be threatened by a number of factors, such as a general decline in productivity and fierce rivalry in the UK retail sector.</w:t>
      </w:r>
      <w:r w:rsidR="00C04CC2" w:rsidRPr="003A6FB6">
        <w:rPr>
          <w:rFonts w:ascii="Arial" w:eastAsia="Arial" w:hAnsi="Arial" w:cs="Arial"/>
          <w:kern w:val="0"/>
          <w:sz w:val="22"/>
          <w:szCs w:val="22"/>
          <w:lang w:val="en-US" w:eastAsia="en-US"/>
          <w14:ligatures w14:val="none"/>
        </w:rPr>
        <w:t xml:space="preserve"> </w:t>
      </w:r>
      <w:r w:rsidR="00091F3F" w:rsidRPr="003A6FB6">
        <w:rPr>
          <w:rFonts w:ascii="Arial" w:eastAsia="Arial" w:hAnsi="Arial" w:cs="Arial"/>
          <w:kern w:val="0"/>
          <w:sz w:val="22"/>
          <w:szCs w:val="22"/>
          <w:lang w:val="en-US" w:eastAsia="en-US"/>
          <w14:ligatures w14:val="none"/>
        </w:rPr>
        <w:t xml:space="preserve">The business operations that Tesco's management carries out to put success-oriented strategies into practice are referred to as contemporary business. The degree to which this private organisation is relevant to the current social trends in the United Kingdom will determine how successful it is (Ebert and Griffin, 2020). In order to describe the company's business functions at a more defined level and to show how they are oriented towards accomplishing the objectives, the business context of Tesco is quite clear. The organization's primary </w:t>
      </w:r>
      <w:r w:rsidR="00091F3F" w:rsidRPr="003A6FB6">
        <w:rPr>
          <w:rFonts w:ascii="Arial" w:eastAsia="Arial" w:hAnsi="Arial" w:cs="Arial"/>
          <w:kern w:val="0"/>
          <w:sz w:val="22"/>
          <w:szCs w:val="22"/>
          <w:lang w:val="en-US" w:eastAsia="en-US"/>
          <w14:ligatures w14:val="none"/>
        </w:rPr>
        <w:lastRenderedPageBreak/>
        <w:t>business functions include operations and human resource management, marketing, accounting, and finance (Tesco 2024).</w:t>
      </w:r>
    </w:p>
    <w:p w14:paraId="3B34E890" w14:textId="77777777" w:rsidR="00C04CC2" w:rsidRPr="00564B83" w:rsidRDefault="00C04CC2" w:rsidP="00091F3F">
      <w:pPr>
        <w:spacing w:after="0" w:line="360" w:lineRule="auto"/>
        <w:jc w:val="both"/>
        <w:rPr>
          <w:rFonts w:ascii="Arial" w:eastAsia="Arial" w:hAnsi="Arial" w:cs="Arial"/>
          <w:kern w:val="0"/>
          <w:sz w:val="22"/>
          <w:szCs w:val="22"/>
          <w:lang w:val="en-US" w:eastAsia="en-US"/>
          <w14:ligatures w14:val="none"/>
        </w:rPr>
      </w:pPr>
    </w:p>
    <w:p w14:paraId="6F253CB4" w14:textId="77777777" w:rsidR="006A0416" w:rsidRPr="00564B83" w:rsidRDefault="006A0416" w:rsidP="00091F3F">
      <w:pPr>
        <w:spacing w:after="0" w:line="360" w:lineRule="auto"/>
        <w:jc w:val="both"/>
        <w:rPr>
          <w:rFonts w:ascii="Arial" w:eastAsia="Arial" w:hAnsi="Arial" w:cs="Arial"/>
          <w:kern w:val="0"/>
          <w:sz w:val="22"/>
          <w:szCs w:val="22"/>
          <w:lang w:val="en-US" w:eastAsia="en-US"/>
          <w14:ligatures w14:val="none"/>
        </w:rPr>
      </w:pPr>
    </w:p>
    <w:p w14:paraId="0A070D8B" w14:textId="77777777" w:rsidR="00091F3F" w:rsidRPr="00564B83" w:rsidRDefault="00091F3F" w:rsidP="00091F3F">
      <w:pPr>
        <w:spacing w:after="0" w:line="360" w:lineRule="auto"/>
        <w:jc w:val="both"/>
        <w:rPr>
          <w:rFonts w:ascii="Arial" w:eastAsia="Arial" w:hAnsi="Arial" w:cs="Arial"/>
          <w:kern w:val="0"/>
          <w:sz w:val="22"/>
          <w:szCs w:val="22"/>
          <w:lang w:val="en-US" w:eastAsia="en-US"/>
          <w14:ligatures w14:val="none"/>
        </w:rPr>
      </w:pPr>
      <w:r w:rsidRPr="00564B83">
        <w:rPr>
          <w:rFonts w:ascii="Arial" w:eastAsia="Arial" w:hAnsi="Arial" w:cs="Arial"/>
          <w:kern w:val="0"/>
          <w:sz w:val="22"/>
          <w:szCs w:val="22"/>
          <w:lang w:val="en-US" w:eastAsia="en-US"/>
          <w14:ligatures w14:val="none"/>
        </w:rPr>
        <w:t xml:space="preserve">The PESTEL study of Tesco's business is demonstrated in the passages that will follow. This research will offer a study of the major components that affect business activities and the overall productivity of the organization's workforce. The first external factor, or "political" aspect, is made up of smaller variables like the COVID-19 epidemic and the Russia-Ukraine war following the pandemic. </w:t>
      </w:r>
      <w:sdt>
        <w:sdtPr>
          <w:rPr>
            <w:rFonts w:ascii="Arial" w:eastAsia="Arial" w:hAnsi="Arial" w:cs="Arial"/>
            <w:kern w:val="0"/>
            <w:sz w:val="22"/>
            <w:szCs w:val="22"/>
            <w:lang w:val="en-US" w:eastAsia="en-US"/>
            <w14:ligatures w14:val="none"/>
          </w:rPr>
          <w:id w:val="984053728"/>
          <w:citation/>
        </w:sdtPr>
        <w:sdtEndPr/>
        <w:sdtContent>
          <w:r w:rsidRPr="00564B83">
            <w:rPr>
              <w:rFonts w:ascii="Arial" w:eastAsia="Arial" w:hAnsi="Arial" w:cs="Arial"/>
              <w:kern w:val="0"/>
              <w:sz w:val="22"/>
              <w:szCs w:val="22"/>
              <w:lang w:val="en-US" w:eastAsia="en-US"/>
              <w14:ligatures w14:val="none"/>
            </w:rPr>
            <w:fldChar w:fldCharType="begin"/>
          </w:r>
          <w:r w:rsidRPr="00564B83">
            <w:rPr>
              <w:rFonts w:ascii="Arial" w:eastAsia="Arial" w:hAnsi="Arial" w:cs="Arial"/>
              <w:kern w:val="0"/>
              <w:sz w:val="22"/>
              <w:szCs w:val="22"/>
              <w:lang w:val="en-US" w:eastAsia="en-US"/>
              <w14:ligatures w14:val="none"/>
            </w:rPr>
            <w:instrText xml:space="preserve"> CITATION Joa21 \l 1033 </w:instrText>
          </w:r>
          <w:r w:rsidRPr="00564B83">
            <w:rPr>
              <w:rFonts w:ascii="Arial" w:eastAsia="Arial" w:hAnsi="Arial" w:cs="Arial"/>
              <w:kern w:val="0"/>
              <w:sz w:val="22"/>
              <w:szCs w:val="22"/>
              <w:lang w:val="en-US" w:eastAsia="en-US"/>
              <w14:ligatures w14:val="none"/>
            </w:rPr>
            <w:fldChar w:fldCharType="separate"/>
          </w:r>
          <w:r w:rsidRPr="00564B83">
            <w:rPr>
              <w:rFonts w:ascii="Arial" w:eastAsia="Arial" w:hAnsi="Arial" w:cs="Arial"/>
              <w:noProof/>
              <w:kern w:val="0"/>
              <w:sz w:val="22"/>
              <w:szCs w:val="22"/>
              <w:lang w:val="en-US" w:eastAsia="en-US"/>
              <w14:ligatures w14:val="none"/>
            </w:rPr>
            <w:t xml:space="preserve"> (Partridge &amp; Butler, 2021)</w:t>
          </w:r>
          <w:r w:rsidRPr="00564B83">
            <w:rPr>
              <w:rFonts w:ascii="Arial" w:eastAsia="Arial" w:hAnsi="Arial" w:cs="Arial"/>
              <w:kern w:val="0"/>
              <w:sz w:val="22"/>
              <w:szCs w:val="22"/>
              <w:lang w:val="en-US" w:eastAsia="en-US"/>
              <w14:ligatures w14:val="none"/>
            </w:rPr>
            <w:fldChar w:fldCharType="end"/>
          </w:r>
        </w:sdtContent>
      </w:sdt>
      <w:r w:rsidRPr="00564B83">
        <w:rPr>
          <w:rFonts w:ascii="Arial" w:eastAsia="Arial" w:hAnsi="Arial" w:cs="Arial"/>
          <w:kern w:val="0"/>
          <w:sz w:val="22"/>
          <w:szCs w:val="22"/>
          <w:lang w:val="en-US" w:eastAsia="en-US"/>
          <w14:ligatures w14:val="none"/>
        </w:rPr>
        <w:t>. The next is dependent on economic external factors, such the current 2% increase in taxes, interest rates, and inflation(ONS,2024). Tesco's Accounting and Finance division was confronted with severe financial problems as a result of price increases that reduced the purchasing power of the target market. Factors like the target market's shifting preferences and current trends have an impact on the Social aspect. While managing these elements and creating effective campaigns to advertise the company's goods and services, Tesco's marketing division encountered significant difficulties. Tesco's performance level is also influenced by Technological elements, such as the introduction of new technology and the creation of workshops to instruct staff members about proper working procedures. The absence of cutting-edge technology caused certain difficulties for the human resources department and slowed down overall production. The legal restrictions found in the Food Safety Act (1990), Employment Rights Act (1996), and Equality Act (2010) comprise the Legal aspects.</w:t>
      </w:r>
    </w:p>
    <w:p w14:paraId="32ABFAFA" w14:textId="77777777" w:rsidR="008B444A" w:rsidRPr="00564B83" w:rsidRDefault="008B444A">
      <w:pPr>
        <w:rPr>
          <w:rFonts w:ascii="Arial" w:hAnsi="Arial" w:cs="Arial"/>
          <w:sz w:val="22"/>
          <w:szCs w:val="22"/>
        </w:rPr>
      </w:pPr>
    </w:p>
    <w:p w14:paraId="4AABE704" w14:textId="3FCA5A52" w:rsidR="00F34C3D" w:rsidRPr="00F34C3D" w:rsidRDefault="00C5617F" w:rsidP="00221E3A">
      <w:pPr>
        <w:spacing w:line="360" w:lineRule="auto"/>
        <w:rPr>
          <w:rFonts w:ascii="Arial" w:hAnsi="Arial" w:cs="Arial"/>
          <w:b/>
          <w:bCs/>
          <w:i/>
          <w:iCs/>
          <w:sz w:val="22"/>
          <w:szCs w:val="22"/>
        </w:rPr>
      </w:pPr>
      <w:r w:rsidRPr="00F34C3D">
        <w:rPr>
          <w:rFonts w:ascii="Arial" w:hAnsi="Arial" w:cs="Arial"/>
          <w:b/>
          <w:bCs/>
          <w:i/>
          <w:iCs/>
          <w:sz w:val="22"/>
          <w:szCs w:val="22"/>
        </w:rPr>
        <w:t xml:space="preserve">Conclusion </w:t>
      </w:r>
    </w:p>
    <w:p w14:paraId="127FE38D" w14:textId="739CB1A6" w:rsidR="00C5617F" w:rsidRPr="00564B83" w:rsidRDefault="00BA0B1D" w:rsidP="00221E3A">
      <w:pPr>
        <w:spacing w:line="360" w:lineRule="auto"/>
        <w:rPr>
          <w:rFonts w:ascii="Arial" w:hAnsi="Arial" w:cs="Arial"/>
          <w:sz w:val="22"/>
          <w:szCs w:val="22"/>
        </w:rPr>
      </w:pPr>
      <w:r w:rsidRPr="00564B83">
        <w:rPr>
          <w:rFonts w:ascii="Arial" w:hAnsi="Arial" w:cs="Arial"/>
          <w:sz w:val="22"/>
          <w:szCs w:val="22"/>
        </w:rPr>
        <w:t>This essay has covered the different problems and difficulties Tesco's management encountered in light of the company's operations and commercial environment. Issues like the absence of a backup plan and an increase in the cost of Tesco's services and goods can be addressed with the aid of the PESTEL analysis. This investigation has also revealed the absence of legal compliances being implemented on the organisational premises. Tesco's SWOT analysis effectively addressed internal issues that impact overall performance and brand awareness, such as low staff motivation and environmentally unfriendly policies. These analytical techniques have given us a thorough understanding of the various internal and external elements that affected Tesco's operations</w:t>
      </w:r>
      <w:r w:rsidR="006F48CB" w:rsidRPr="00564B83">
        <w:rPr>
          <w:rFonts w:ascii="Arial" w:hAnsi="Arial" w:cs="Arial"/>
          <w:sz w:val="22"/>
          <w:szCs w:val="22"/>
        </w:rPr>
        <w:t xml:space="preserve"> and what can prevent threats in the future.</w:t>
      </w:r>
    </w:p>
    <w:p w14:paraId="36F2AC97" w14:textId="77777777" w:rsidR="008B444A" w:rsidRDefault="008B444A"/>
    <w:p w14:paraId="1692571F" w14:textId="77777777" w:rsidR="006F48CB" w:rsidRDefault="006F48CB"/>
    <w:p w14:paraId="505F10D4" w14:textId="77777777" w:rsidR="00221E3A" w:rsidRDefault="00221E3A"/>
    <w:p w14:paraId="526D4330" w14:textId="77777777" w:rsidR="00221E3A" w:rsidRDefault="00221E3A"/>
    <w:p w14:paraId="7DB449F4" w14:textId="77777777" w:rsidR="00221E3A" w:rsidRDefault="00221E3A"/>
    <w:p w14:paraId="1B5B264E" w14:textId="50F7DBC6" w:rsidR="008B444A" w:rsidRPr="00F34C3D" w:rsidRDefault="00B87F11">
      <w:pPr>
        <w:rPr>
          <w:b/>
          <w:bCs/>
          <w:i/>
          <w:iCs/>
        </w:rPr>
      </w:pPr>
      <w:r>
        <w:t xml:space="preserve"> </w:t>
      </w:r>
      <w:r w:rsidR="003073D5" w:rsidRPr="00F34C3D">
        <w:rPr>
          <w:b/>
          <w:bCs/>
          <w:i/>
          <w:iCs/>
        </w:rPr>
        <w:t xml:space="preserve">References </w:t>
      </w:r>
    </w:p>
    <w:p w14:paraId="1FA95A83" w14:textId="77777777" w:rsidR="003073D5" w:rsidRPr="003073D5" w:rsidRDefault="003073D5" w:rsidP="003073D5">
      <w:pPr>
        <w:spacing w:after="0" w:line="360" w:lineRule="auto"/>
        <w:jc w:val="both"/>
        <w:rPr>
          <w:rFonts w:ascii="Arial" w:eastAsia="Arial" w:hAnsi="Arial" w:cs="Arial"/>
          <w:kern w:val="0"/>
          <w:sz w:val="22"/>
          <w:szCs w:val="22"/>
          <w:lang w:val="en-US" w:eastAsia="en-US"/>
          <w14:ligatures w14:val="none"/>
        </w:rPr>
      </w:pPr>
      <w:r w:rsidRPr="003073D5">
        <w:rPr>
          <w:rFonts w:ascii="Arial" w:eastAsia="Arial" w:hAnsi="Arial" w:cs="Arial"/>
          <w:kern w:val="0"/>
          <w:sz w:val="22"/>
          <w:szCs w:val="22"/>
          <w:lang w:val="en-US" w:eastAsia="en-US"/>
          <w14:ligatures w14:val="none"/>
        </w:rPr>
        <w:t>Ebert, R.J. and Griffin, R.W., (2020). Business essentials. Pearson.</w:t>
      </w:r>
    </w:p>
    <w:p w14:paraId="3F02214A" w14:textId="6F555DC8" w:rsidR="003073D5" w:rsidRDefault="003073D5" w:rsidP="003073D5">
      <w:pPr>
        <w:spacing w:after="0" w:line="360" w:lineRule="auto"/>
        <w:jc w:val="both"/>
        <w:rPr>
          <w:rFonts w:ascii="Arial" w:eastAsia="Arial" w:hAnsi="Arial" w:cs="Arial"/>
          <w:noProof/>
          <w:kern w:val="0"/>
          <w:sz w:val="22"/>
          <w:szCs w:val="22"/>
          <w:lang w:val="en-US" w:eastAsia="en-US"/>
          <w14:ligatures w14:val="none"/>
        </w:rPr>
      </w:pPr>
      <w:r w:rsidRPr="003073D5">
        <w:rPr>
          <w:rFonts w:ascii="Arial" w:eastAsia="Arial" w:hAnsi="Arial" w:cs="Arial"/>
          <w:noProof/>
          <w:kern w:val="0"/>
          <w:sz w:val="22"/>
          <w:szCs w:val="22"/>
          <w:lang w:val="en-US" w:eastAsia="en-US"/>
          <w14:ligatures w14:val="none"/>
        </w:rPr>
        <w:t xml:space="preserve">Forsey, C., (2023). </w:t>
      </w:r>
      <w:r w:rsidRPr="003073D5">
        <w:rPr>
          <w:rFonts w:ascii="Arial" w:eastAsia="Arial" w:hAnsi="Arial" w:cs="Arial"/>
          <w:i/>
          <w:iCs/>
          <w:noProof/>
          <w:kern w:val="0"/>
          <w:sz w:val="22"/>
          <w:szCs w:val="22"/>
          <w:lang w:val="en-US" w:eastAsia="en-US"/>
          <w14:ligatures w14:val="none"/>
        </w:rPr>
        <w:t xml:space="preserve">SWOT Analysis: How To Do One. </w:t>
      </w:r>
      <w:r w:rsidRPr="003073D5">
        <w:rPr>
          <w:rFonts w:ascii="Arial" w:eastAsia="Arial" w:hAnsi="Arial" w:cs="Arial"/>
          <w:noProof/>
          <w:kern w:val="0"/>
          <w:sz w:val="22"/>
          <w:szCs w:val="22"/>
          <w:lang w:val="en-US" w:eastAsia="en-US"/>
          <w14:ligatures w14:val="none"/>
        </w:rPr>
        <w:t xml:space="preserve">[Online] Available at: </w:t>
      </w:r>
      <w:hyperlink r:id="rId5" w:history="1">
        <w:r w:rsidRPr="003073D5">
          <w:rPr>
            <w:rFonts w:ascii="Arial" w:eastAsia="Arial" w:hAnsi="Arial" w:cs="Arial"/>
            <w:noProof/>
            <w:color w:val="467886" w:themeColor="hyperlink"/>
            <w:kern w:val="0"/>
            <w:sz w:val="22"/>
            <w:szCs w:val="22"/>
            <w:u w:val="single"/>
            <w:lang w:val="en-US" w:eastAsia="en-US"/>
            <w14:ligatures w14:val="none"/>
          </w:rPr>
          <w:t>https://blog.hubspot.com/marketing/swot-analysis</w:t>
        </w:r>
      </w:hyperlink>
      <w:r w:rsidRPr="003073D5">
        <w:rPr>
          <w:rFonts w:ascii="Arial" w:eastAsia="Arial" w:hAnsi="Arial" w:cs="Arial"/>
          <w:noProof/>
          <w:kern w:val="0"/>
          <w:sz w:val="22"/>
          <w:szCs w:val="22"/>
          <w:lang w:val="en-US" w:eastAsia="en-US"/>
          <w14:ligatures w14:val="none"/>
        </w:rPr>
        <w:t xml:space="preserve"> [Accessed </w:t>
      </w:r>
      <w:r>
        <w:rPr>
          <w:rFonts w:ascii="Arial" w:eastAsia="Arial" w:hAnsi="Arial" w:cs="Arial"/>
          <w:noProof/>
          <w:kern w:val="0"/>
          <w:sz w:val="22"/>
          <w:szCs w:val="22"/>
          <w:lang w:val="en-US" w:eastAsia="en-US"/>
          <w14:ligatures w14:val="none"/>
        </w:rPr>
        <w:t xml:space="preserve">10th </w:t>
      </w:r>
      <w:r w:rsidRPr="003073D5">
        <w:rPr>
          <w:rFonts w:ascii="Arial" w:eastAsia="Arial" w:hAnsi="Arial" w:cs="Arial"/>
          <w:noProof/>
          <w:kern w:val="0"/>
          <w:sz w:val="22"/>
          <w:szCs w:val="22"/>
          <w:lang w:val="en-US" w:eastAsia="en-US"/>
          <w14:ligatures w14:val="none"/>
        </w:rPr>
        <w:t>June 2024].</w:t>
      </w:r>
    </w:p>
    <w:p w14:paraId="24E31499" w14:textId="77777777" w:rsidR="00B91807" w:rsidRDefault="00B91807" w:rsidP="003073D5">
      <w:pPr>
        <w:spacing w:after="0" w:line="360" w:lineRule="auto"/>
        <w:jc w:val="both"/>
        <w:rPr>
          <w:rFonts w:ascii="Arial" w:eastAsia="Arial" w:hAnsi="Arial" w:cs="Arial"/>
          <w:noProof/>
          <w:kern w:val="0"/>
          <w:sz w:val="22"/>
          <w:szCs w:val="22"/>
          <w:lang w:val="en-US" w:eastAsia="en-US"/>
          <w14:ligatures w14:val="none"/>
        </w:rPr>
      </w:pPr>
    </w:p>
    <w:p w14:paraId="620CD92D" w14:textId="757F5E70" w:rsidR="00B91807" w:rsidRDefault="00B91807" w:rsidP="00B91807">
      <w:pPr>
        <w:spacing w:after="0" w:line="360" w:lineRule="auto"/>
        <w:jc w:val="both"/>
        <w:rPr>
          <w:rFonts w:ascii="Arial" w:eastAsia="Arial" w:hAnsi="Arial" w:cs="Arial"/>
          <w:kern w:val="0"/>
          <w:sz w:val="22"/>
          <w:szCs w:val="22"/>
          <w:lang w:val="en-US" w:eastAsia="en-US"/>
          <w14:ligatures w14:val="none"/>
        </w:rPr>
      </w:pPr>
      <w:r w:rsidRPr="00B91807">
        <w:rPr>
          <w:rFonts w:ascii="Arial" w:eastAsia="Arial" w:hAnsi="Arial" w:cs="Arial"/>
          <w:kern w:val="0"/>
          <w:sz w:val="22"/>
          <w:szCs w:val="22"/>
          <w:lang w:val="en-US" w:eastAsia="en-US"/>
          <w14:ligatures w14:val="none"/>
        </w:rPr>
        <w:t>ONS, (2024). Consumer price inflation, UK: May 2024. [Online] Available at:</w:t>
      </w:r>
      <w:hyperlink r:id="rId6">
        <w:r w:rsidRPr="00B91807">
          <w:rPr>
            <w:rFonts w:ascii="Arial" w:eastAsia="Arial" w:hAnsi="Arial" w:cs="Arial"/>
            <w:kern w:val="0"/>
            <w:sz w:val="22"/>
            <w:szCs w:val="22"/>
            <w:lang w:val="en-US" w:eastAsia="en-US"/>
            <w14:ligatures w14:val="none"/>
          </w:rPr>
          <w:t xml:space="preserve"> https://www.ons.gov.uk/economy/inflationandpriceindices/bulletins/consumerpriceinflation/may2024</w:t>
        </w:r>
      </w:hyperlink>
      <w:r w:rsidRPr="00B91807">
        <w:rPr>
          <w:rFonts w:ascii="Arial" w:eastAsia="Arial" w:hAnsi="Arial" w:cs="Arial"/>
          <w:kern w:val="0"/>
          <w:sz w:val="22"/>
          <w:szCs w:val="22"/>
          <w:lang w:val="en-US" w:eastAsia="en-US"/>
          <w14:ligatures w14:val="none"/>
        </w:rPr>
        <w:t xml:space="preserve"> [Accessed </w:t>
      </w:r>
      <w:r>
        <w:rPr>
          <w:rFonts w:ascii="Arial" w:eastAsia="Arial" w:hAnsi="Arial" w:cs="Arial"/>
          <w:kern w:val="0"/>
          <w:sz w:val="22"/>
          <w:szCs w:val="22"/>
          <w:lang w:val="en-US" w:eastAsia="en-US"/>
          <w14:ligatures w14:val="none"/>
        </w:rPr>
        <w:t>10</w:t>
      </w:r>
      <w:r w:rsidRPr="00B91807">
        <w:rPr>
          <w:rFonts w:ascii="Arial" w:eastAsia="Arial" w:hAnsi="Arial" w:cs="Arial"/>
          <w:kern w:val="0"/>
          <w:sz w:val="22"/>
          <w:szCs w:val="22"/>
          <w:vertAlign w:val="superscript"/>
          <w:lang w:val="en-US" w:eastAsia="en-US"/>
          <w14:ligatures w14:val="none"/>
        </w:rPr>
        <w:t>th</w:t>
      </w:r>
      <w:r w:rsidRPr="00B91807">
        <w:rPr>
          <w:rFonts w:ascii="Arial" w:eastAsia="Arial" w:hAnsi="Arial" w:cs="Arial"/>
          <w:kern w:val="0"/>
          <w:sz w:val="22"/>
          <w:szCs w:val="22"/>
          <w:lang w:val="en-US" w:eastAsia="en-US"/>
          <w14:ligatures w14:val="none"/>
        </w:rPr>
        <w:t xml:space="preserve"> June 2024].</w:t>
      </w:r>
    </w:p>
    <w:p w14:paraId="500B43C5" w14:textId="77777777" w:rsidR="00CD0E0F" w:rsidRDefault="00CD0E0F" w:rsidP="00B91807">
      <w:pPr>
        <w:spacing w:after="0" w:line="360" w:lineRule="auto"/>
        <w:jc w:val="both"/>
        <w:rPr>
          <w:rFonts w:ascii="Arial" w:eastAsia="Arial" w:hAnsi="Arial" w:cs="Arial"/>
          <w:kern w:val="0"/>
          <w:sz w:val="22"/>
          <w:szCs w:val="22"/>
          <w:lang w:val="en-US" w:eastAsia="en-US"/>
          <w14:ligatures w14:val="none"/>
        </w:rPr>
      </w:pPr>
    </w:p>
    <w:p w14:paraId="6314BB72" w14:textId="09F87E1C" w:rsidR="00CD0E0F" w:rsidRDefault="00CD0E0F" w:rsidP="008F204E">
      <w:pPr>
        <w:pStyle w:val="Bibliography"/>
        <w:rPr>
          <w:noProof/>
        </w:rPr>
      </w:pPr>
      <w:r w:rsidRPr="00FD597A">
        <w:rPr>
          <w:noProof/>
        </w:rPr>
        <w:t xml:space="preserve">Partridge, J. &amp; Butler, S., (2021). </w:t>
      </w:r>
      <w:r w:rsidRPr="00FD597A">
        <w:rPr>
          <w:i/>
          <w:iCs/>
          <w:noProof/>
        </w:rPr>
        <w:t xml:space="preserve">Tesco profits fall as Covid costs offset sales surge. </w:t>
      </w:r>
      <w:r w:rsidRPr="00FD597A">
        <w:rPr>
          <w:noProof/>
        </w:rPr>
        <w:t xml:space="preserve">[Online] Available at: </w:t>
      </w:r>
      <w:hyperlink r:id="rId7" w:history="1">
        <w:r w:rsidRPr="00FD597A">
          <w:rPr>
            <w:rStyle w:val="Hyperlink"/>
            <w:noProof/>
            <w:color w:val="auto"/>
          </w:rPr>
          <w:t>https://www.theguardian.com/business/2021/apr/14/tesco-profits-fall-as-covid-costs-offset-sales-surge</w:t>
        </w:r>
      </w:hyperlink>
      <w:r w:rsidRPr="00FD597A">
        <w:rPr>
          <w:noProof/>
        </w:rPr>
        <w:t xml:space="preserve"> [Accessed </w:t>
      </w:r>
      <w:r>
        <w:rPr>
          <w:noProof/>
        </w:rPr>
        <w:t>11th</w:t>
      </w:r>
      <w:r w:rsidRPr="00FD597A">
        <w:rPr>
          <w:noProof/>
        </w:rPr>
        <w:t xml:space="preserve"> June 2024].</w:t>
      </w:r>
    </w:p>
    <w:p w14:paraId="1C983BD9" w14:textId="77777777" w:rsidR="0092379B" w:rsidRDefault="0092379B" w:rsidP="0092379B">
      <w:pPr>
        <w:rPr>
          <w:lang w:val="en-US" w:eastAsia="en-US"/>
        </w:rPr>
      </w:pPr>
    </w:p>
    <w:p w14:paraId="77361B0E" w14:textId="7F586E98" w:rsidR="0092379B" w:rsidRDefault="0092379B" w:rsidP="0092379B">
      <w:pPr>
        <w:spacing w:after="0" w:line="360" w:lineRule="auto"/>
        <w:jc w:val="both"/>
        <w:rPr>
          <w:rFonts w:ascii="Arial" w:eastAsia="Arial" w:hAnsi="Arial" w:cs="Arial"/>
          <w:kern w:val="0"/>
          <w:sz w:val="22"/>
          <w:szCs w:val="22"/>
          <w:lang w:val="en-US" w:eastAsia="en-US"/>
          <w14:ligatures w14:val="none"/>
        </w:rPr>
      </w:pPr>
      <w:r w:rsidRPr="0092379B">
        <w:rPr>
          <w:rFonts w:ascii="Arial" w:eastAsia="Arial" w:hAnsi="Arial" w:cs="Arial"/>
          <w:kern w:val="0"/>
          <w:sz w:val="22"/>
          <w:szCs w:val="22"/>
          <w:lang w:val="en-US" w:eastAsia="en-US"/>
          <w14:ligatures w14:val="none"/>
        </w:rPr>
        <w:t>Peterdy, K., (2024). SWOT Analysis. [Online] Available at:</w:t>
      </w:r>
      <w:hyperlink r:id="rId8">
        <w:r w:rsidRPr="0092379B">
          <w:rPr>
            <w:rFonts w:ascii="Arial" w:eastAsia="Arial" w:hAnsi="Arial" w:cs="Arial"/>
            <w:kern w:val="0"/>
            <w:sz w:val="22"/>
            <w:szCs w:val="22"/>
            <w:lang w:val="en-US" w:eastAsia="en-US"/>
            <w14:ligatures w14:val="none"/>
          </w:rPr>
          <w:t xml:space="preserve"> https://corporatefinanceinstitute.com/resources/management/swot-analysis/</w:t>
        </w:r>
      </w:hyperlink>
      <w:r w:rsidRPr="0092379B">
        <w:rPr>
          <w:rFonts w:ascii="Arial" w:eastAsia="Arial" w:hAnsi="Arial" w:cs="Arial"/>
          <w:kern w:val="0"/>
          <w:sz w:val="22"/>
          <w:szCs w:val="22"/>
          <w:lang w:val="en-US" w:eastAsia="en-US"/>
          <w14:ligatures w14:val="none"/>
        </w:rPr>
        <w:t xml:space="preserve"> [Accessed</w:t>
      </w:r>
      <w:r>
        <w:rPr>
          <w:rFonts w:ascii="Arial" w:eastAsia="Arial" w:hAnsi="Arial" w:cs="Arial"/>
          <w:kern w:val="0"/>
          <w:sz w:val="22"/>
          <w:szCs w:val="22"/>
          <w:lang w:val="en-US" w:eastAsia="en-US"/>
          <w14:ligatures w14:val="none"/>
        </w:rPr>
        <w:t xml:space="preserve"> 12th</w:t>
      </w:r>
      <w:r w:rsidRPr="0092379B">
        <w:rPr>
          <w:rFonts w:ascii="Arial" w:eastAsia="Arial" w:hAnsi="Arial" w:cs="Arial"/>
          <w:kern w:val="0"/>
          <w:sz w:val="22"/>
          <w:szCs w:val="22"/>
          <w:lang w:val="en-US" w:eastAsia="en-US"/>
          <w14:ligatures w14:val="none"/>
        </w:rPr>
        <w:t xml:space="preserve"> June 2024].</w:t>
      </w:r>
    </w:p>
    <w:p w14:paraId="0985037C" w14:textId="77777777" w:rsidR="00C04CC2" w:rsidRDefault="00C04CC2" w:rsidP="0092379B">
      <w:pPr>
        <w:spacing w:after="0" w:line="360" w:lineRule="auto"/>
        <w:jc w:val="both"/>
        <w:rPr>
          <w:rFonts w:ascii="Arial" w:eastAsia="Arial" w:hAnsi="Arial" w:cs="Arial"/>
          <w:kern w:val="0"/>
          <w:sz w:val="22"/>
          <w:szCs w:val="22"/>
          <w:lang w:val="en-US" w:eastAsia="en-US"/>
          <w14:ligatures w14:val="none"/>
        </w:rPr>
      </w:pPr>
    </w:p>
    <w:p w14:paraId="1E29A048" w14:textId="77777777" w:rsidR="00C04CC2" w:rsidRPr="00C04CC2" w:rsidRDefault="00C04CC2" w:rsidP="00C04CC2">
      <w:pPr>
        <w:spacing w:after="0" w:line="360" w:lineRule="auto"/>
        <w:jc w:val="both"/>
        <w:rPr>
          <w:rFonts w:ascii="Arial" w:eastAsia="Arial" w:hAnsi="Arial" w:cs="Arial"/>
          <w:kern w:val="0"/>
          <w:sz w:val="22"/>
          <w:szCs w:val="22"/>
          <w:lang w:val="en-US" w:eastAsia="en-US"/>
          <w14:ligatures w14:val="none"/>
        </w:rPr>
      </w:pPr>
      <w:r w:rsidRPr="00C04CC2">
        <w:rPr>
          <w:rFonts w:ascii="Arial" w:eastAsia="Arial" w:hAnsi="Arial" w:cs="Arial"/>
          <w:kern w:val="0"/>
          <w:sz w:val="22"/>
          <w:szCs w:val="22"/>
          <w:lang w:val="en-US" w:eastAsia="en-US"/>
          <w14:ligatures w14:val="none"/>
        </w:rPr>
        <w:t>GlobalData, (2024). Tesco Plc: Overview. [Online] Available at:</w:t>
      </w:r>
      <w:hyperlink r:id="rId9">
        <w:r w:rsidRPr="00C04CC2">
          <w:rPr>
            <w:rFonts w:ascii="Arial" w:eastAsia="Arial" w:hAnsi="Arial" w:cs="Arial"/>
            <w:kern w:val="0"/>
            <w:sz w:val="22"/>
            <w:szCs w:val="22"/>
            <w:lang w:val="en-US" w:eastAsia="en-US"/>
            <w14:ligatures w14:val="none"/>
          </w:rPr>
          <w:t xml:space="preserve"> https://www.globaldata.com/company-profile/tesco-plc/</w:t>
        </w:r>
      </w:hyperlink>
      <w:r w:rsidRPr="00C04CC2">
        <w:rPr>
          <w:rFonts w:ascii="Arial" w:eastAsia="Arial" w:hAnsi="Arial" w:cs="Arial"/>
          <w:kern w:val="0"/>
          <w:sz w:val="22"/>
          <w:szCs w:val="22"/>
          <w:lang w:val="en-US" w:eastAsia="en-US"/>
          <w14:ligatures w14:val="none"/>
        </w:rPr>
        <w:t xml:space="preserve"> [Accessed 20 June 2024].</w:t>
      </w:r>
    </w:p>
    <w:p w14:paraId="05C2D31D" w14:textId="77777777" w:rsidR="00C04CC2" w:rsidRDefault="00C04CC2" w:rsidP="0092379B">
      <w:pPr>
        <w:spacing w:after="0" w:line="360" w:lineRule="auto"/>
        <w:jc w:val="both"/>
        <w:rPr>
          <w:rFonts w:ascii="Arial" w:eastAsia="Arial" w:hAnsi="Arial" w:cs="Arial"/>
          <w:kern w:val="0"/>
          <w:sz w:val="22"/>
          <w:szCs w:val="22"/>
          <w:lang w:val="en-US" w:eastAsia="en-US"/>
          <w14:ligatures w14:val="none"/>
        </w:rPr>
      </w:pPr>
    </w:p>
    <w:p w14:paraId="5B86A987" w14:textId="5C812902" w:rsidR="008B444A" w:rsidRDefault="00012149" w:rsidP="0092379B">
      <w:pPr>
        <w:spacing w:after="0" w:line="360" w:lineRule="auto"/>
        <w:jc w:val="both"/>
        <w:rPr>
          <w:rFonts w:ascii="Arial" w:eastAsia="Arial" w:hAnsi="Arial" w:cs="Arial"/>
          <w:kern w:val="0"/>
          <w:sz w:val="22"/>
          <w:szCs w:val="22"/>
          <w:lang w:val="en-US" w:eastAsia="en-US"/>
          <w14:ligatures w14:val="none"/>
        </w:rPr>
      </w:pPr>
      <w:r w:rsidRPr="00012149">
        <w:rPr>
          <w:rFonts w:ascii="Arial" w:eastAsia="Arial" w:hAnsi="Arial" w:cs="Arial"/>
          <w:kern w:val="0"/>
          <w:sz w:val="22"/>
          <w:szCs w:val="22"/>
          <w:lang w:val="en-US" w:eastAsia="en-US"/>
          <w14:ligatures w14:val="none"/>
        </w:rPr>
        <w:t xml:space="preserve">SWOT Analysis of TESCO. Retrieved from </w:t>
      </w:r>
      <w:hyperlink r:id="rId10" w:history="1">
        <w:r w:rsidR="00845277" w:rsidRPr="00B279C8">
          <w:rPr>
            <w:rStyle w:val="Hyperlink"/>
            <w:rFonts w:ascii="Arial" w:eastAsia="Arial" w:hAnsi="Arial" w:cs="Arial"/>
            <w:kern w:val="0"/>
            <w:sz w:val="22"/>
            <w:szCs w:val="22"/>
            <w:lang w:val="en-US" w:eastAsia="en-US"/>
            <w14:ligatures w14:val="none"/>
          </w:rPr>
          <w:t>https://www.ukessays.com/guides/swot-examples/tesco-swot-2021.php?vref=1</w:t>
        </w:r>
      </w:hyperlink>
      <w:r w:rsidR="00845277">
        <w:rPr>
          <w:rFonts w:ascii="Arial" w:eastAsia="Arial" w:hAnsi="Arial" w:cs="Arial"/>
          <w:kern w:val="0"/>
          <w:sz w:val="22"/>
          <w:szCs w:val="22"/>
          <w:lang w:val="en-US" w:eastAsia="en-US"/>
          <w14:ligatures w14:val="none"/>
        </w:rPr>
        <w:t xml:space="preserve"> [ accessed 21</w:t>
      </w:r>
      <w:r w:rsidR="00845277" w:rsidRPr="00845277">
        <w:rPr>
          <w:rFonts w:ascii="Arial" w:eastAsia="Arial" w:hAnsi="Arial" w:cs="Arial"/>
          <w:kern w:val="0"/>
          <w:sz w:val="22"/>
          <w:szCs w:val="22"/>
          <w:vertAlign w:val="superscript"/>
          <w:lang w:val="en-US" w:eastAsia="en-US"/>
          <w14:ligatures w14:val="none"/>
        </w:rPr>
        <w:t>st</w:t>
      </w:r>
      <w:r w:rsidR="00845277">
        <w:rPr>
          <w:rFonts w:ascii="Arial" w:eastAsia="Arial" w:hAnsi="Arial" w:cs="Arial"/>
          <w:kern w:val="0"/>
          <w:sz w:val="22"/>
          <w:szCs w:val="22"/>
          <w:lang w:val="en-US" w:eastAsia="en-US"/>
          <w14:ligatures w14:val="none"/>
        </w:rPr>
        <w:t xml:space="preserve"> June 2024]</w:t>
      </w:r>
    </w:p>
    <w:p w14:paraId="205E71FC" w14:textId="77777777" w:rsidR="0092379B" w:rsidRPr="0092379B" w:rsidRDefault="0092379B" w:rsidP="0092379B">
      <w:pPr>
        <w:spacing w:after="0" w:line="360" w:lineRule="auto"/>
        <w:jc w:val="both"/>
        <w:rPr>
          <w:rFonts w:ascii="Arial" w:eastAsia="Arial" w:hAnsi="Arial" w:cs="Arial"/>
          <w:kern w:val="0"/>
          <w:sz w:val="22"/>
          <w:szCs w:val="22"/>
          <w:lang w:val="en-US" w:eastAsia="en-US"/>
          <w14:ligatures w14:val="none"/>
        </w:rPr>
      </w:pPr>
    </w:p>
    <w:p w14:paraId="116BFF84" w14:textId="77777777" w:rsidR="0092379B" w:rsidRPr="0092379B" w:rsidRDefault="0092379B" w:rsidP="0092379B">
      <w:pPr>
        <w:rPr>
          <w:lang w:val="en-US" w:eastAsia="en-US"/>
        </w:rPr>
      </w:pPr>
    </w:p>
    <w:p w14:paraId="6E3ED6C5" w14:textId="77777777" w:rsidR="00CD0E0F" w:rsidRDefault="00CD0E0F" w:rsidP="00CD0E0F">
      <w:pPr>
        <w:rPr>
          <w:lang w:val="en-US" w:eastAsia="en-US"/>
        </w:rPr>
      </w:pPr>
    </w:p>
    <w:p w14:paraId="663BB37C" w14:textId="77777777" w:rsidR="00CD0E0F" w:rsidRPr="00CD0E0F" w:rsidRDefault="00CD0E0F" w:rsidP="00CD0E0F">
      <w:pPr>
        <w:rPr>
          <w:lang w:val="en-US" w:eastAsia="en-US"/>
        </w:rPr>
      </w:pPr>
    </w:p>
    <w:p w14:paraId="3EF47F21" w14:textId="77777777" w:rsidR="00CD0E0F" w:rsidRDefault="00CD0E0F" w:rsidP="00CD0E0F">
      <w:pPr>
        <w:rPr>
          <w:lang w:val="en-US" w:eastAsia="en-US"/>
        </w:rPr>
      </w:pPr>
    </w:p>
    <w:p w14:paraId="467181D3" w14:textId="77777777" w:rsidR="00CD0E0F" w:rsidRPr="00CD0E0F" w:rsidRDefault="00CD0E0F" w:rsidP="00CD0E0F">
      <w:pPr>
        <w:rPr>
          <w:lang w:val="en-US" w:eastAsia="en-US"/>
        </w:rPr>
      </w:pPr>
    </w:p>
    <w:p w14:paraId="6D229756" w14:textId="77777777" w:rsidR="00CD0E0F" w:rsidRDefault="00CD0E0F" w:rsidP="00B91807">
      <w:pPr>
        <w:spacing w:after="0" w:line="360" w:lineRule="auto"/>
        <w:jc w:val="both"/>
        <w:rPr>
          <w:rFonts w:ascii="Arial" w:eastAsia="Arial" w:hAnsi="Arial" w:cs="Arial"/>
          <w:kern w:val="0"/>
          <w:sz w:val="22"/>
          <w:szCs w:val="22"/>
          <w:lang w:val="en-US" w:eastAsia="en-US"/>
          <w14:ligatures w14:val="none"/>
        </w:rPr>
      </w:pPr>
    </w:p>
    <w:p w14:paraId="4D39C570" w14:textId="77777777" w:rsidR="00B91807" w:rsidRDefault="00B91807" w:rsidP="00B91807">
      <w:pPr>
        <w:spacing w:after="0" w:line="360" w:lineRule="auto"/>
        <w:jc w:val="both"/>
        <w:rPr>
          <w:rFonts w:ascii="Arial" w:eastAsia="Arial" w:hAnsi="Arial" w:cs="Arial"/>
          <w:kern w:val="0"/>
          <w:sz w:val="22"/>
          <w:szCs w:val="22"/>
          <w:lang w:val="en-US" w:eastAsia="en-US"/>
          <w14:ligatures w14:val="none"/>
        </w:rPr>
      </w:pPr>
    </w:p>
    <w:p w14:paraId="1F89AA89" w14:textId="77777777" w:rsidR="00B91807" w:rsidRPr="00B91807" w:rsidRDefault="00B91807" w:rsidP="00B91807">
      <w:pPr>
        <w:spacing w:after="0" w:line="360" w:lineRule="auto"/>
        <w:jc w:val="both"/>
        <w:rPr>
          <w:rFonts w:ascii="Arial" w:eastAsia="Arial" w:hAnsi="Arial" w:cs="Arial"/>
          <w:kern w:val="0"/>
          <w:sz w:val="22"/>
          <w:szCs w:val="22"/>
          <w:lang w:val="en-US" w:eastAsia="en-US"/>
          <w14:ligatures w14:val="none"/>
        </w:rPr>
      </w:pPr>
    </w:p>
    <w:p w14:paraId="4B9303FD" w14:textId="77777777" w:rsidR="00B91807" w:rsidRDefault="00B91807" w:rsidP="003073D5">
      <w:pPr>
        <w:spacing w:after="0" w:line="360" w:lineRule="auto"/>
        <w:jc w:val="both"/>
        <w:rPr>
          <w:rFonts w:ascii="Arial" w:eastAsia="Arial" w:hAnsi="Arial" w:cs="Arial"/>
          <w:noProof/>
          <w:kern w:val="0"/>
          <w:sz w:val="22"/>
          <w:szCs w:val="22"/>
          <w:lang w:val="en-US" w:eastAsia="en-US"/>
          <w14:ligatures w14:val="none"/>
        </w:rPr>
      </w:pPr>
    </w:p>
    <w:p w14:paraId="2B0160D9" w14:textId="77777777" w:rsidR="003073D5" w:rsidRDefault="003073D5" w:rsidP="003073D5">
      <w:pPr>
        <w:spacing w:after="0" w:line="360" w:lineRule="auto"/>
        <w:jc w:val="both"/>
        <w:rPr>
          <w:rFonts w:ascii="Arial" w:eastAsia="Arial" w:hAnsi="Arial" w:cs="Arial"/>
          <w:noProof/>
          <w:kern w:val="0"/>
          <w:sz w:val="22"/>
          <w:szCs w:val="22"/>
          <w:lang w:val="en-US" w:eastAsia="en-US"/>
          <w14:ligatures w14:val="none"/>
        </w:rPr>
      </w:pPr>
    </w:p>
    <w:p w14:paraId="1D5C4BBD" w14:textId="77777777" w:rsidR="003073D5" w:rsidRPr="003073D5" w:rsidRDefault="003073D5" w:rsidP="003073D5">
      <w:pPr>
        <w:spacing w:after="0" w:line="360" w:lineRule="auto"/>
        <w:jc w:val="both"/>
        <w:rPr>
          <w:rFonts w:ascii="Arial" w:eastAsia="Arial" w:hAnsi="Arial" w:cs="Arial"/>
          <w:noProof/>
          <w:kern w:val="0"/>
          <w:lang w:val="en-US" w:eastAsia="en-US"/>
          <w14:ligatures w14:val="none"/>
        </w:rPr>
      </w:pPr>
    </w:p>
    <w:p w14:paraId="41795AB1" w14:textId="752ECE32" w:rsidR="003073D5" w:rsidRDefault="003073D5"/>
    <w:sectPr w:rsidR="003073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5310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3993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4B7"/>
    <w:rsid w:val="00012149"/>
    <w:rsid w:val="00091F3F"/>
    <w:rsid w:val="00137B45"/>
    <w:rsid w:val="00147011"/>
    <w:rsid w:val="00221E3A"/>
    <w:rsid w:val="003073D5"/>
    <w:rsid w:val="003A6FB6"/>
    <w:rsid w:val="004A0619"/>
    <w:rsid w:val="004B5AA1"/>
    <w:rsid w:val="00520C9D"/>
    <w:rsid w:val="00564B83"/>
    <w:rsid w:val="00692F60"/>
    <w:rsid w:val="006A0416"/>
    <w:rsid w:val="006B280E"/>
    <w:rsid w:val="006F48CB"/>
    <w:rsid w:val="007350B7"/>
    <w:rsid w:val="00845277"/>
    <w:rsid w:val="008B444A"/>
    <w:rsid w:val="009151B9"/>
    <w:rsid w:val="0092379B"/>
    <w:rsid w:val="00950EC1"/>
    <w:rsid w:val="00986F84"/>
    <w:rsid w:val="009A00E4"/>
    <w:rsid w:val="009C583C"/>
    <w:rsid w:val="00A11F8F"/>
    <w:rsid w:val="00A135E6"/>
    <w:rsid w:val="00AD4BB0"/>
    <w:rsid w:val="00B607E2"/>
    <w:rsid w:val="00B658FC"/>
    <w:rsid w:val="00B805F9"/>
    <w:rsid w:val="00B87F11"/>
    <w:rsid w:val="00B91807"/>
    <w:rsid w:val="00BA0963"/>
    <w:rsid w:val="00BA0B1D"/>
    <w:rsid w:val="00BC0B06"/>
    <w:rsid w:val="00C04CC2"/>
    <w:rsid w:val="00C5617F"/>
    <w:rsid w:val="00CC6CF2"/>
    <w:rsid w:val="00CD0E0F"/>
    <w:rsid w:val="00DB64B7"/>
    <w:rsid w:val="00E61B0D"/>
    <w:rsid w:val="00F019CB"/>
    <w:rsid w:val="00F34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B040F8"/>
  <w15:chartTrackingRefBased/>
  <w15:docId w15:val="{71A3BA08-21B4-B142-A753-C6152FDE0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4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4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4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4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4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4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4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4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4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4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4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4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4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4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4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4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4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4B7"/>
    <w:rPr>
      <w:rFonts w:eastAsiaTheme="majorEastAsia" w:cstheme="majorBidi"/>
      <w:color w:val="272727" w:themeColor="text1" w:themeTint="D8"/>
    </w:rPr>
  </w:style>
  <w:style w:type="paragraph" w:styleId="Title">
    <w:name w:val="Title"/>
    <w:basedOn w:val="Normal"/>
    <w:next w:val="Normal"/>
    <w:link w:val="TitleChar"/>
    <w:uiPriority w:val="10"/>
    <w:qFormat/>
    <w:rsid w:val="00DB64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4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4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4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4B7"/>
    <w:pPr>
      <w:spacing w:before="160"/>
      <w:jc w:val="center"/>
    </w:pPr>
    <w:rPr>
      <w:i/>
      <w:iCs/>
      <w:color w:val="404040" w:themeColor="text1" w:themeTint="BF"/>
    </w:rPr>
  </w:style>
  <w:style w:type="character" w:customStyle="1" w:styleId="QuoteChar">
    <w:name w:val="Quote Char"/>
    <w:basedOn w:val="DefaultParagraphFont"/>
    <w:link w:val="Quote"/>
    <w:uiPriority w:val="29"/>
    <w:rsid w:val="00DB64B7"/>
    <w:rPr>
      <w:i/>
      <w:iCs/>
      <w:color w:val="404040" w:themeColor="text1" w:themeTint="BF"/>
    </w:rPr>
  </w:style>
  <w:style w:type="paragraph" w:styleId="ListParagraph">
    <w:name w:val="List Paragraph"/>
    <w:basedOn w:val="Normal"/>
    <w:uiPriority w:val="34"/>
    <w:qFormat/>
    <w:rsid w:val="00DB64B7"/>
    <w:pPr>
      <w:ind w:left="720"/>
      <w:contextualSpacing/>
    </w:pPr>
  </w:style>
  <w:style w:type="character" w:styleId="IntenseEmphasis">
    <w:name w:val="Intense Emphasis"/>
    <w:basedOn w:val="DefaultParagraphFont"/>
    <w:uiPriority w:val="21"/>
    <w:qFormat/>
    <w:rsid w:val="00DB64B7"/>
    <w:rPr>
      <w:i/>
      <w:iCs/>
      <w:color w:val="0F4761" w:themeColor="accent1" w:themeShade="BF"/>
    </w:rPr>
  </w:style>
  <w:style w:type="paragraph" w:styleId="IntenseQuote">
    <w:name w:val="Intense Quote"/>
    <w:basedOn w:val="Normal"/>
    <w:next w:val="Normal"/>
    <w:link w:val="IntenseQuoteChar"/>
    <w:uiPriority w:val="30"/>
    <w:qFormat/>
    <w:rsid w:val="00DB64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4B7"/>
    <w:rPr>
      <w:i/>
      <w:iCs/>
      <w:color w:val="0F4761" w:themeColor="accent1" w:themeShade="BF"/>
    </w:rPr>
  </w:style>
  <w:style w:type="character" w:styleId="IntenseReference">
    <w:name w:val="Intense Reference"/>
    <w:basedOn w:val="DefaultParagraphFont"/>
    <w:uiPriority w:val="32"/>
    <w:qFormat/>
    <w:rsid w:val="00DB64B7"/>
    <w:rPr>
      <w:b/>
      <w:bCs/>
      <w:smallCaps/>
      <w:color w:val="0F4761" w:themeColor="accent1" w:themeShade="BF"/>
      <w:spacing w:val="5"/>
    </w:rPr>
  </w:style>
  <w:style w:type="paragraph" w:styleId="Bibliography">
    <w:name w:val="Bibliography"/>
    <w:basedOn w:val="Normal"/>
    <w:next w:val="Normal"/>
    <w:uiPriority w:val="37"/>
    <w:unhideWhenUsed/>
    <w:rsid w:val="003073D5"/>
    <w:pPr>
      <w:spacing w:after="0" w:line="360" w:lineRule="auto"/>
      <w:jc w:val="both"/>
    </w:pPr>
    <w:rPr>
      <w:rFonts w:ascii="Arial" w:eastAsia="Arial" w:hAnsi="Arial" w:cs="Arial"/>
      <w:kern w:val="0"/>
      <w:sz w:val="22"/>
      <w:szCs w:val="22"/>
      <w:lang w:val="en-US" w:eastAsia="en-US"/>
      <w14:ligatures w14:val="none"/>
    </w:rPr>
  </w:style>
  <w:style w:type="character" w:styleId="Hyperlink">
    <w:name w:val="Hyperlink"/>
    <w:basedOn w:val="DefaultParagraphFont"/>
    <w:uiPriority w:val="99"/>
    <w:unhideWhenUsed/>
    <w:rsid w:val="003073D5"/>
    <w:rPr>
      <w:color w:val="467886" w:themeColor="hyperlink"/>
      <w:u w:val="single"/>
    </w:rPr>
  </w:style>
  <w:style w:type="character" w:styleId="UnresolvedMention">
    <w:name w:val="Unresolved Mention"/>
    <w:basedOn w:val="DefaultParagraphFont"/>
    <w:uiPriority w:val="99"/>
    <w:semiHidden/>
    <w:unhideWhenUsed/>
    <w:rsid w:val="00845277"/>
    <w:rPr>
      <w:color w:val="605E5C"/>
      <w:shd w:val="clear" w:color="auto" w:fill="E1DFDD"/>
    </w:rPr>
  </w:style>
  <w:style w:type="character" w:styleId="Strong">
    <w:name w:val="Strong"/>
    <w:basedOn w:val="DefaultParagraphFont"/>
    <w:uiPriority w:val="22"/>
    <w:qFormat/>
    <w:rsid w:val="004B5AA1"/>
    <w:rPr>
      <w:b/>
      <w:bCs/>
    </w:rPr>
  </w:style>
  <w:style w:type="character" w:customStyle="1" w:styleId="apple-converted-space">
    <w:name w:val="apple-converted-space"/>
    <w:basedOn w:val="DefaultParagraphFont"/>
    <w:rsid w:val="004B5A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00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management/swot-analysis/" TargetMode="External"/><Relationship Id="rId3" Type="http://schemas.openxmlformats.org/officeDocument/2006/relationships/settings" Target="settings.xml"/><Relationship Id="rId7" Type="http://schemas.openxmlformats.org/officeDocument/2006/relationships/hyperlink" Target="https://www.theguardian.com/business/2021/apr/14/tesco-profits-fall-as-covid-costs-offset-sales-surg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s.gov.uk/economy/inflationandpriceindices/bulletins/consumerpriceinflation/may2024" TargetMode="External"/><Relationship Id="rId11" Type="http://schemas.openxmlformats.org/officeDocument/2006/relationships/fontTable" Target="fontTable.xml"/><Relationship Id="rId5" Type="http://schemas.openxmlformats.org/officeDocument/2006/relationships/hyperlink" Target="https://blog.hubspot.com/marketing/swot-analysis" TargetMode="External"/><Relationship Id="rId10" Type="http://schemas.openxmlformats.org/officeDocument/2006/relationships/hyperlink" Target="https://www.ukessays.com/guides/swot-examples/tesco-swot-2021.php?vref=1" TargetMode="External"/><Relationship Id="rId4" Type="http://schemas.openxmlformats.org/officeDocument/2006/relationships/webSettings" Target="webSettings.xml"/><Relationship Id="rId9" Type="http://schemas.openxmlformats.org/officeDocument/2006/relationships/hyperlink" Target="https://www.globaldata.com/company-profile/tesco-pl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1088</Words>
  <Characters>6206</Characters>
  <Application>Microsoft Office Word</Application>
  <DocSecurity>0</DocSecurity>
  <Lines>51</Lines>
  <Paragraphs>14</Paragraphs>
  <ScaleCrop>false</ScaleCrop>
  <Company/>
  <LinksUpToDate>false</LinksUpToDate>
  <CharactersWithSpaces>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Sameena Hassan (2023264)</dc:creator>
  <cp:keywords/>
  <dc:description/>
  <cp:lastModifiedBy>Sameena Hassan (2023264)</cp:lastModifiedBy>
  <cp:revision>2</cp:revision>
  <dcterms:created xsi:type="dcterms:W3CDTF">2024-06-30T09:42:00Z</dcterms:created>
  <dcterms:modified xsi:type="dcterms:W3CDTF">2024-06-30T09:42:00Z</dcterms:modified>
</cp:coreProperties>
</file>