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F8343" w14:textId="70730805" w:rsidR="00A52B06" w:rsidRDefault="00E96C3A" w:rsidP="00DD068B">
      <w:pPr>
        <w:pStyle w:val="Title"/>
      </w:pPr>
      <w:r>
        <w:t>Data security and compliance</w:t>
      </w:r>
    </w:p>
    <w:p w14:paraId="119BB8D7" w14:textId="39F85DE6" w:rsidR="00DD068B" w:rsidRPr="00DD068B" w:rsidRDefault="00DC2D5D" w:rsidP="00DD068B">
      <w:pPr>
        <w:pStyle w:val="IEEE-Author"/>
      </w:pPr>
      <w:r>
        <w:t>Joshua Piecko</w:t>
      </w:r>
    </w:p>
    <w:p w14:paraId="37F671CC" w14:textId="18CC0E4C" w:rsidR="00DD068B" w:rsidRPr="00DD068B" w:rsidRDefault="00DD068B" w:rsidP="00DD068B">
      <w:pPr>
        <w:pStyle w:val="IEEE-Affil"/>
      </w:pPr>
      <w:r w:rsidRPr="00DD068B">
        <w:t>Student University of Wales Trinity St David, Swansea, Wales</w:t>
      </w:r>
    </w:p>
    <w:p w14:paraId="674D2AAF" w14:textId="227FFA3F" w:rsidR="00DD068B" w:rsidRDefault="00DC2D5D" w:rsidP="00DD068B">
      <w:pPr>
        <w:jc w:val="center"/>
        <w:rPr>
          <w:rFonts w:ascii="Courier New" w:hAnsi="Courier New" w:cs="Courier New"/>
          <w:sz w:val="18"/>
          <w:szCs w:val="18"/>
        </w:rPr>
      </w:pPr>
      <w:r>
        <w:rPr>
          <w:rFonts w:ascii="Courier New" w:hAnsi="Courier New" w:cs="Courier New"/>
          <w:sz w:val="18"/>
          <w:szCs w:val="18"/>
        </w:rPr>
        <w:t>2112389</w:t>
      </w:r>
      <w:r w:rsidR="00DD068B" w:rsidRPr="001C4AFE">
        <w:rPr>
          <w:rFonts w:ascii="Courier New" w:hAnsi="Courier New" w:cs="Courier New"/>
          <w:sz w:val="18"/>
          <w:szCs w:val="18"/>
        </w:rPr>
        <w:t>@student.uwtsd.ac.uk</w:t>
      </w:r>
    </w:p>
    <w:p w14:paraId="0C8563C1" w14:textId="77777777" w:rsidR="00DD068B" w:rsidRDefault="00DD068B" w:rsidP="00DD068B">
      <w:pPr>
        <w:jc w:val="center"/>
        <w:rPr>
          <w:rFonts w:ascii="Courier New" w:hAnsi="Courier New" w:cs="Courier New"/>
          <w:sz w:val="18"/>
          <w:szCs w:val="18"/>
        </w:rPr>
        <w:sectPr w:rsidR="00DD068B">
          <w:pgSz w:w="11906" w:h="16838"/>
          <w:pgMar w:top="1440" w:right="1440" w:bottom="1440" w:left="1440" w:header="708" w:footer="708" w:gutter="0"/>
          <w:cols w:space="708"/>
          <w:docGrid w:linePitch="360"/>
        </w:sectPr>
      </w:pPr>
    </w:p>
    <w:p w14:paraId="1DE3D251" w14:textId="033E99A2" w:rsidR="00DD068B" w:rsidRDefault="00DD068B" w:rsidP="00D10697">
      <w:pPr>
        <w:pStyle w:val="AbstractH"/>
        <w:spacing w:line="240" w:lineRule="auto"/>
      </w:pPr>
      <w:r w:rsidRPr="00FD7F5B">
        <w:rPr>
          <w:highlight w:val="red"/>
          <w:u w:val="single"/>
        </w:rPr>
        <w:t>Abstrac</w:t>
      </w:r>
      <w:r w:rsidR="00FD7F5B" w:rsidRPr="00FD7F5B">
        <w:rPr>
          <w:highlight w:val="red"/>
          <w:u w:val="single"/>
        </w:rPr>
        <w:t>t</w:t>
      </w:r>
      <w:r w:rsidR="00FD7F5B" w:rsidRPr="00FD7F5B">
        <w:rPr>
          <w:highlight w:val="red"/>
        </w:rPr>
        <w:t xml:space="preserve"> -</w:t>
      </w:r>
      <w:r w:rsidR="00FD7F5B">
        <w:t xml:space="preserve"> </w:t>
      </w:r>
      <w:r w:rsidR="00E96C3A" w:rsidRPr="00BB3219">
        <w:rPr>
          <w:highlight w:val="yellow"/>
        </w:rPr>
        <w:t>JOSHUA THIS IS WHERE YOU WILL WRITE YOUR ABSTRACT, THE ABSTRACT IS ESSENTIALLY A SUMMARY OF THE REPORT</w:t>
      </w:r>
      <w:r w:rsidR="00BB3219" w:rsidRPr="00BB3219">
        <w:rPr>
          <w:highlight w:val="yellow"/>
        </w:rPr>
        <w:t xml:space="preserve"> WITHOUT HAVING TO USE ANY FORM OF INTERNAL AND/OR EXTERNAL REFERENCING TO OTHER MATERIALS. THE SENTENCES SHOULD BE CONCISE AND PRECISE ENSURING A CLEAN AND SIMPLE UNDERSTANDING OF THE REPORTS TEXT.</w:t>
      </w:r>
    </w:p>
    <w:p w14:paraId="1AB0F2C2" w14:textId="796D8F8A" w:rsidR="00F42B75" w:rsidRPr="00F42B75" w:rsidRDefault="00FD7F5B" w:rsidP="00D10697">
      <w:pPr>
        <w:pStyle w:val="AbstractH"/>
        <w:spacing w:line="240" w:lineRule="auto"/>
        <w:rPr>
          <w:b/>
          <w:bCs/>
          <w:iCs/>
        </w:rPr>
      </w:pPr>
      <w:r w:rsidRPr="00FD7F5B">
        <w:rPr>
          <w:rStyle w:val="AbstrractBChar"/>
          <w:highlight w:val="green"/>
        </w:rPr>
        <w:t>LEAVE THESE 2 WHOLE LINES BLANK AFTER THE ABSTRACT TO CONFORM TO IEEE GUIDE.</w:t>
      </w:r>
    </w:p>
    <w:p w14:paraId="10CA6BE7" w14:textId="3D52EF13" w:rsidR="00F42B75" w:rsidRDefault="00F42B75" w:rsidP="00D10697">
      <w:pPr>
        <w:pStyle w:val="SectionH"/>
        <w:spacing w:after="0" w:line="240" w:lineRule="auto"/>
        <w:jc w:val="center"/>
      </w:pPr>
      <w:r>
        <w:t>INTRODUCTION</w:t>
      </w:r>
    </w:p>
    <w:p w14:paraId="31AA7ED9" w14:textId="77777777" w:rsidR="00891232" w:rsidRDefault="00891232" w:rsidP="00891232">
      <w:pPr>
        <w:pStyle w:val="SectionH"/>
        <w:numPr>
          <w:ilvl w:val="0"/>
          <w:numId w:val="0"/>
        </w:numPr>
        <w:spacing w:after="0" w:line="240" w:lineRule="auto"/>
        <w:ind w:left="720" w:hanging="360"/>
      </w:pPr>
    </w:p>
    <w:p w14:paraId="0D804D01" w14:textId="732C1686" w:rsidR="005C760E" w:rsidRPr="00370DD2" w:rsidRDefault="00F42B75" w:rsidP="00D10697">
      <w:pPr>
        <w:pStyle w:val="IEEE-SubSect"/>
        <w:spacing w:after="0" w:line="240" w:lineRule="auto"/>
        <w:jc w:val="both"/>
        <w:rPr>
          <w:i/>
          <w:iCs/>
        </w:rPr>
      </w:pPr>
      <w:r w:rsidRPr="00370DD2">
        <w:rPr>
          <w:i/>
          <w:iCs/>
        </w:rPr>
        <w:t xml:space="preserve">What is </w:t>
      </w:r>
      <w:r w:rsidR="00D10697" w:rsidRPr="00370DD2">
        <w:rPr>
          <w:i/>
          <w:iCs/>
        </w:rPr>
        <w:t>I</w:t>
      </w:r>
      <w:r w:rsidRPr="00370DD2">
        <w:rPr>
          <w:i/>
          <w:iCs/>
        </w:rPr>
        <w:t xml:space="preserve">nformation </w:t>
      </w:r>
      <w:r w:rsidR="00D10697" w:rsidRPr="00370DD2">
        <w:rPr>
          <w:i/>
          <w:iCs/>
        </w:rPr>
        <w:t>S</w:t>
      </w:r>
      <w:r w:rsidRPr="00370DD2">
        <w:rPr>
          <w:i/>
          <w:iCs/>
        </w:rPr>
        <w:t>ecurity?</w:t>
      </w:r>
    </w:p>
    <w:p w14:paraId="40EC1E4B" w14:textId="77777777" w:rsidR="00891232" w:rsidRDefault="00891232" w:rsidP="00A70E3F">
      <w:pPr>
        <w:pStyle w:val="IEEE-SubSect"/>
        <w:numPr>
          <w:ilvl w:val="0"/>
          <w:numId w:val="0"/>
        </w:numPr>
        <w:ind w:left="360" w:firstLine="360"/>
        <w:rPr>
          <w:rStyle w:val="AbstrractBChar"/>
        </w:rPr>
      </w:pPr>
    </w:p>
    <w:p w14:paraId="6E6CE62E" w14:textId="2C925AEA" w:rsidR="00F310F4" w:rsidRDefault="008E1A03" w:rsidP="001F2B23">
      <w:pPr>
        <w:ind w:left="238"/>
        <w:rPr>
          <w:sz w:val="20"/>
          <w:szCs w:val="20"/>
        </w:rPr>
      </w:pPr>
      <w:r>
        <w:rPr>
          <w:sz w:val="20"/>
          <w:szCs w:val="20"/>
        </w:rPr>
        <w:t xml:space="preserve">    </w:t>
      </w:r>
      <w:r w:rsidR="009E7897" w:rsidRPr="00D54BF0">
        <w:rPr>
          <w:sz w:val="20"/>
          <w:szCs w:val="20"/>
        </w:rPr>
        <w:t>Information security has been defined as “The protection of information and information systems from unauthorized access, use, disclosure, disruption, modification, or destruction in order to provide; Integrity, Confidentiality, Availability</w:t>
      </w:r>
      <w:r w:rsidR="006015AA" w:rsidRPr="00D54BF0">
        <w:rPr>
          <w:sz w:val="20"/>
          <w:szCs w:val="20"/>
        </w:rPr>
        <w:t xml:space="preserve"> and Authentication</w:t>
      </w:r>
      <w:r w:rsidR="009E7897" w:rsidRPr="00D54BF0">
        <w:rPr>
          <w:sz w:val="20"/>
          <w:szCs w:val="20"/>
        </w:rPr>
        <w:t xml:space="preserve">” [1]. </w:t>
      </w:r>
      <w:r w:rsidR="00866C0B" w:rsidRPr="00D54BF0">
        <w:rPr>
          <w:sz w:val="20"/>
          <w:szCs w:val="20"/>
        </w:rPr>
        <w:t>When designing security policies and frameworks, the AIC triad model (Availability, Integrity, and Confidentiality)</w:t>
      </w:r>
      <w:r w:rsidR="006015AA" w:rsidRPr="00D54BF0">
        <w:rPr>
          <w:sz w:val="20"/>
          <w:szCs w:val="20"/>
        </w:rPr>
        <w:t xml:space="preserve"> [2] </w:t>
      </w:r>
      <w:r w:rsidR="00866C0B" w:rsidRPr="00D54BF0">
        <w:rPr>
          <w:sz w:val="20"/>
          <w:szCs w:val="20"/>
        </w:rPr>
        <w:t xml:space="preserve">can be adopted. </w:t>
      </w:r>
      <w:r w:rsidR="006015AA" w:rsidRPr="00D54BF0">
        <w:rPr>
          <w:sz w:val="20"/>
          <w:szCs w:val="20"/>
        </w:rPr>
        <w:t>Availability in this context means that the</w:t>
      </w:r>
      <w:r w:rsidR="0031065D" w:rsidRPr="00D54BF0">
        <w:rPr>
          <w:sz w:val="20"/>
          <w:szCs w:val="20"/>
        </w:rPr>
        <w:t xml:space="preserve"> data</w:t>
      </w:r>
      <w:r w:rsidR="006015AA" w:rsidRPr="00D54BF0">
        <w:rPr>
          <w:sz w:val="20"/>
          <w:szCs w:val="20"/>
        </w:rPr>
        <w:t xml:space="preserve"> is</w:t>
      </w:r>
      <w:r w:rsidR="0031065D" w:rsidRPr="00D54BF0">
        <w:rPr>
          <w:sz w:val="20"/>
          <w:szCs w:val="20"/>
        </w:rPr>
        <w:t xml:space="preserve"> </w:t>
      </w:r>
      <w:r w:rsidR="007B62FA" w:rsidRPr="00D54BF0">
        <w:rPr>
          <w:sz w:val="20"/>
          <w:szCs w:val="20"/>
        </w:rPr>
        <w:t xml:space="preserve">readily </w:t>
      </w:r>
      <w:r w:rsidR="0031065D" w:rsidRPr="00D54BF0">
        <w:rPr>
          <w:sz w:val="20"/>
          <w:szCs w:val="20"/>
        </w:rPr>
        <w:t>available to those</w:t>
      </w:r>
      <w:r w:rsidR="007B62FA" w:rsidRPr="00D54BF0">
        <w:rPr>
          <w:sz w:val="20"/>
          <w:szCs w:val="20"/>
        </w:rPr>
        <w:t xml:space="preserve"> that</w:t>
      </w:r>
      <w:r w:rsidR="0031065D" w:rsidRPr="00D54BF0">
        <w:rPr>
          <w:sz w:val="20"/>
          <w:szCs w:val="20"/>
        </w:rPr>
        <w:t xml:space="preserve"> are authorized</w:t>
      </w:r>
      <w:r w:rsidR="007B62FA" w:rsidRPr="00D54BF0">
        <w:rPr>
          <w:sz w:val="20"/>
          <w:szCs w:val="20"/>
        </w:rPr>
        <w:t xml:space="preserve"> when it is needed in a timely and reliable manner </w:t>
      </w:r>
      <w:r w:rsidR="006015AA" w:rsidRPr="00D54BF0">
        <w:rPr>
          <w:sz w:val="20"/>
          <w:szCs w:val="20"/>
        </w:rPr>
        <w:t>[</w:t>
      </w:r>
      <w:r w:rsidR="007B62FA" w:rsidRPr="00D54BF0">
        <w:rPr>
          <w:sz w:val="20"/>
          <w:szCs w:val="20"/>
        </w:rPr>
        <w:t>3</w:t>
      </w:r>
      <w:r w:rsidR="006015AA" w:rsidRPr="00D54BF0">
        <w:rPr>
          <w:sz w:val="20"/>
          <w:szCs w:val="20"/>
        </w:rPr>
        <w:t>]. Data Integrity</w:t>
      </w:r>
      <w:r w:rsidR="007B62FA" w:rsidRPr="00D54BF0">
        <w:rPr>
          <w:sz w:val="20"/>
          <w:szCs w:val="20"/>
        </w:rPr>
        <w:t xml:space="preserve"> ensures the client with the</w:t>
      </w:r>
      <w:r w:rsidR="006015AA" w:rsidRPr="00D54BF0">
        <w:rPr>
          <w:sz w:val="20"/>
          <w:szCs w:val="20"/>
        </w:rPr>
        <w:t xml:space="preserve"> certainty that the data</w:t>
      </w:r>
      <w:r w:rsidR="0031065D" w:rsidRPr="00D54BF0">
        <w:rPr>
          <w:sz w:val="20"/>
          <w:szCs w:val="20"/>
        </w:rPr>
        <w:t xml:space="preserve"> hasn’t</w:t>
      </w:r>
      <w:r w:rsidR="006015AA" w:rsidRPr="00D54BF0">
        <w:rPr>
          <w:sz w:val="20"/>
          <w:szCs w:val="20"/>
        </w:rPr>
        <w:t xml:space="preserve"> be tampered with or degraded during or</w:t>
      </w:r>
      <w:r w:rsidR="00A70E3F" w:rsidRPr="00D54BF0">
        <w:rPr>
          <w:sz w:val="20"/>
          <w:szCs w:val="20"/>
        </w:rPr>
        <w:t xml:space="preserve"> following</w:t>
      </w:r>
      <w:r w:rsidR="006015AA" w:rsidRPr="00D54BF0">
        <w:rPr>
          <w:sz w:val="20"/>
          <w:szCs w:val="20"/>
        </w:rPr>
        <w:t xml:space="preserve"> submission, it is </w:t>
      </w:r>
      <w:r w:rsidR="007B62FA" w:rsidRPr="00D54BF0">
        <w:rPr>
          <w:sz w:val="20"/>
          <w:szCs w:val="20"/>
        </w:rPr>
        <w:t xml:space="preserve">a </w:t>
      </w:r>
      <w:r w:rsidR="006015AA" w:rsidRPr="00D54BF0">
        <w:rPr>
          <w:sz w:val="20"/>
          <w:szCs w:val="20"/>
        </w:rPr>
        <w:t xml:space="preserve">certainty that the data has not been </w:t>
      </w:r>
      <w:r w:rsidR="0031065D" w:rsidRPr="00D54BF0">
        <w:rPr>
          <w:sz w:val="20"/>
          <w:szCs w:val="20"/>
        </w:rPr>
        <w:t>subject to any unauthorized modification, whether it be accidental or with malice, therefore, it can be trusted [3]. Finally, Confidentiality can be described as</w:t>
      </w:r>
      <w:r w:rsidR="007B62FA" w:rsidRPr="00D54BF0">
        <w:rPr>
          <w:sz w:val="20"/>
          <w:szCs w:val="20"/>
        </w:rPr>
        <w:t xml:space="preserve"> an </w:t>
      </w:r>
      <w:r w:rsidR="00970FF8" w:rsidRPr="00D54BF0">
        <w:rPr>
          <w:sz w:val="20"/>
          <w:szCs w:val="20"/>
        </w:rPr>
        <w:t xml:space="preserve">organizations effort to ensure their data is kept private or “secret” and only shared on a need-to-know basis. This means that only those who are authorized have access to specific assets and those who are unauthorized are actively being prevented from obtaining access to said assets [3]. </w:t>
      </w:r>
    </w:p>
    <w:p w14:paraId="659AB7D2" w14:textId="7B8AD85D" w:rsidR="001F2B23" w:rsidRDefault="001F2B23" w:rsidP="001F2B23">
      <w:pPr>
        <w:ind w:left="238"/>
        <w:rPr>
          <w:sz w:val="20"/>
          <w:szCs w:val="20"/>
        </w:rPr>
      </w:pPr>
    </w:p>
    <w:p w14:paraId="189B6944" w14:textId="1D220463" w:rsidR="001F2B23" w:rsidRDefault="001F2B23" w:rsidP="001F2B23">
      <w:pPr>
        <w:ind w:left="238"/>
        <w:rPr>
          <w:sz w:val="20"/>
          <w:szCs w:val="20"/>
        </w:rPr>
      </w:pPr>
    </w:p>
    <w:p w14:paraId="3D0F03A9" w14:textId="040C3EFE" w:rsidR="001F2B23" w:rsidRDefault="001F2B23" w:rsidP="001F2B23">
      <w:pPr>
        <w:ind w:left="238"/>
        <w:rPr>
          <w:sz w:val="20"/>
          <w:szCs w:val="20"/>
        </w:rPr>
      </w:pPr>
    </w:p>
    <w:p w14:paraId="64D94C85" w14:textId="77777777" w:rsidR="001F2B23" w:rsidRPr="001F2B23" w:rsidRDefault="001F2B23" w:rsidP="001F2B23">
      <w:pPr>
        <w:ind w:left="238"/>
        <w:rPr>
          <w:sz w:val="20"/>
          <w:szCs w:val="20"/>
        </w:rPr>
      </w:pPr>
    </w:p>
    <w:p w14:paraId="79DEFC25" w14:textId="480CA391" w:rsidR="008E1A03" w:rsidRDefault="0062242B" w:rsidP="008E1A03">
      <w:pPr>
        <w:pStyle w:val="SectionH"/>
        <w:spacing w:after="240" w:line="240" w:lineRule="auto"/>
        <w:jc w:val="center"/>
      </w:pPr>
      <w:r>
        <w:t>DETERMINING WHAT CONSTITUES AS AN ETHICAL, LEGAL OR PROFESSIONAL ISSUE IN INFORMATION SECURITY.</w:t>
      </w:r>
    </w:p>
    <w:p w14:paraId="79F8ED18" w14:textId="74D12797" w:rsidR="00DC2D5D" w:rsidRPr="00370DD2" w:rsidRDefault="0062242B" w:rsidP="006D31C2">
      <w:pPr>
        <w:pStyle w:val="SubSubH"/>
        <w:spacing w:line="240" w:lineRule="auto"/>
        <w:jc w:val="left"/>
        <w:rPr>
          <w:i/>
          <w:iCs/>
        </w:rPr>
      </w:pPr>
      <w:r w:rsidRPr="00370DD2">
        <w:rPr>
          <w:i/>
          <w:iCs/>
        </w:rPr>
        <w:t>Differences between the terms</w:t>
      </w:r>
    </w:p>
    <w:p w14:paraId="16E8C71E" w14:textId="77777777" w:rsidR="00891232" w:rsidRDefault="00891232" w:rsidP="00891232">
      <w:pPr>
        <w:pStyle w:val="SubSubH"/>
        <w:numPr>
          <w:ilvl w:val="0"/>
          <w:numId w:val="0"/>
        </w:numPr>
        <w:spacing w:line="240" w:lineRule="auto"/>
        <w:ind w:left="360"/>
        <w:jc w:val="left"/>
      </w:pPr>
    </w:p>
    <w:p w14:paraId="3CE97429" w14:textId="7B2B75BA" w:rsidR="0062242B" w:rsidRPr="00D54BF0" w:rsidRDefault="0062242B" w:rsidP="00D54BF0">
      <w:pPr>
        <w:ind w:left="238"/>
        <w:rPr>
          <w:sz w:val="20"/>
          <w:szCs w:val="20"/>
        </w:rPr>
      </w:pPr>
      <w:r>
        <w:t xml:space="preserve">    </w:t>
      </w:r>
      <w:r w:rsidRPr="00D54BF0">
        <w:rPr>
          <w:sz w:val="20"/>
          <w:szCs w:val="20"/>
        </w:rPr>
        <w:t xml:space="preserve">The level to which a security specialist must adhere and perform to in respect to legal conduct, ethical conduct and professional conduct are three separate issues that must be considered and dealt with accordingly. </w:t>
      </w:r>
      <w:r w:rsidR="00B308E6" w:rsidRPr="00D54BF0">
        <w:rPr>
          <w:sz w:val="20"/>
          <w:szCs w:val="20"/>
        </w:rPr>
        <w:t xml:space="preserve">As explained by Workman, laws are a series of rules that are enforceable to protect the best interest of both the company and the user, whereas ethics are described as what the company or end user may deem to be considered socially acceptable behaviour and cannot be enforced by government agencies [4]. However, </w:t>
      </w:r>
      <w:r w:rsidR="00AF6563" w:rsidRPr="00D54BF0">
        <w:rPr>
          <w:sz w:val="20"/>
          <w:szCs w:val="20"/>
        </w:rPr>
        <w:t>Workman suggests that Ethical conduct and what society considered to be socially acceptable play a role in the design of legislation [4]. Professional issues are described by Lawrence as a series of regulatory practices that should be practiced whilst working for a company, this again can’t be enforced by the law, however, if you fail to comply accordingly could lead to sanctions and civil law proceedings [5]. Assuming Swan</w:t>
      </w:r>
      <w:r w:rsidR="006D31C2" w:rsidRPr="00D54BF0">
        <w:rPr>
          <w:sz w:val="20"/>
          <w:szCs w:val="20"/>
        </w:rPr>
        <w:t>T</w:t>
      </w:r>
      <w:r w:rsidR="00AF6563" w:rsidRPr="00D54BF0">
        <w:rPr>
          <w:sz w:val="20"/>
          <w:szCs w:val="20"/>
        </w:rPr>
        <w:t>ech intends to operate the business on an international level they must consider that the law</w:t>
      </w:r>
      <w:r w:rsidR="006D31C2" w:rsidRPr="00D54BF0">
        <w:rPr>
          <w:sz w:val="20"/>
          <w:szCs w:val="20"/>
        </w:rPr>
        <w:t>s and regulatory practices required to be followed</w:t>
      </w:r>
      <w:r w:rsidR="00AF6563" w:rsidRPr="00D54BF0">
        <w:rPr>
          <w:sz w:val="20"/>
          <w:szCs w:val="20"/>
        </w:rPr>
        <w:t xml:space="preserve"> </w:t>
      </w:r>
      <w:r w:rsidR="006D31C2" w:rsidRPr="00D54BF0">
        <w:rPr>
          <w:sz w:val="20"/>
          <w:szCs w:val="20"/>
        </w:rPr>
        <w:t>may change within the jurisdiction of each area they intend to operate in. Another consideration to be accounted for would be that ethical matters may also vary and alter based on a few factors. Failure to comply to the standards outlined could lead to irreparable damage to the company reputation.</w:t>
      </w:r>
    </w:p>
    <w:p w14:paraId="3DB1B9CB" w14:textId="77777777" w:rsidR="00891232" w:rsidRDefault="00891232" w:rsidP="00891232">
      <w:pPr>
        <w:pStyle w:val="SubSubH"/>
        <w:numPr>
          <w:ilvl w:val="0"/>
          <w:numId w:val="0"/>
        </w:numPr>
        <w:spacing w:line="240" w:lineRule="auto"/>
        <w:ind w:left="255"/>
      </w:pPr>
    </w:p>
    <w:p w14:paraId="300023E5" w14:textId="51FC8768" w:rsidR="00D54BF0" w:rsidRDefault="006D31C2" w:rsidP="00D54BF0">
      <w:pPr>
        <w:pStyle w:val="SubSubH"/>
        <w:jc w:val="left"/>
        <w:rPr>
          <w:i/>
          <w:iCs/>
        </w:rPr>
      </w:pPr>
      <w:r w:rsidRPr="00370DD2">
        <w:rPr>
          <w:i/>
          <w:iCs/>
        </w:rPr>
        <w:t>Descriptor of Governance</w:t>
      </w:r>
    </w:p>
    <w:p w14:paraId="5FE379A5" w14:textId="77777777" w:rsidR="00D54BF0" w:rsidRPr="00D54BF0" w:rsidRDefault="00D54BF0" w:rsidP="00D54BF0">
      <w:pPr>
        <w:pStyle w:val="SubSubH"/>
        <w:numPr>
          <w:ilvl w:val="0"/>
          <w:numId w:val="0"/>
        </w:numPr>
        <w:jc w:val="left"/>
        <w:rPr>
          <w:i/>
          <w:iCs/>
        </w:rPr>
      </w:pPr>
    </w:p>
    <w:p w14:paraId="50512066" w14:textId="3D19156B" w:rsidR="00BB3339" w:rsidRPr="00D54BF0" w:rsidRDefault="00891232" w:rsidP="00D54BF0">
      <w:pPr>
        <w:ind w:left="238"/>
        <w:rPr>
          <w:sz w:val="20"/>
          <w:szCs w:val="20"/>
        </w:rPr>
      </w:pPr>
      <w:r w:rsidRPr="00DF5C90">
        <w:rPr>
          <w:sz w:val="20"/>
          <w:szCs w:val="20"/>
        </w:rPr>
        <w:t xml:space="preserve">    Mark Bevir loosely describes governance as a term used to describe the control of a process used by a group or an organization to accomplish tasks, representing a strategic means of control used by a group or organizations senior management</w:t>
      </w:r>
      <w:r w:rsidR="00F310F4" w:rsidRPr="00DF5C90">
        <w:rPr>
          <w:sz w:val="20"/>
          <w:szCs w:val="20"/>
        </w:rPr>
        <w:t xml:space="preserve"> [6]</w:t>
      </w:r>
      <w:r w:rsidRPr="00DF5C90">
        <w:rPr>
          <w:sz w:val="20"/>
          <w:szCs w:val="20"/>
        </w:rPr>
        <w:t>.</w:t>
      </w:r>
      <w:r w:rsidR="00F310F4" w:rsidRPr="00DF5C90">
        <w:rPr>
          <w:sz w:val="20"/>
          <w:szCs w:val="20"/>
        </w:rPr>
        <w:t xml:space="preserve"> It is critical that senior </w:t>
      </w:r>
      <w:r w:rsidR="00F310F4" w:rsidRPr="00DF5C90">
        <w:rPr>
          <w:sz w:val="20"/>
          <w:szCs w:val="20"/>
        </w:rPr>
        <w:lastRenderedPageBreak/>
        <w:t xml:space="preserve">management implement plans and policies in place that will allow them to strategize to operate within the confines of the AIC triad. </w:t>
      </w:r>
      <w:r w:rsidR="00462FDB" w:rsidRPr="00DF5C90">
        <w:rPr>
          <w:sz w:val="20"/>
          <w:szCs w:val="20"/>
        </w:rPr>
        <w:t>This can include the development and implementation of policies, procedures, and standards to support governance, including the use of appropriate technologies and tools.</w:t>
      </w:r>
      <w:r w:rsidR="00D54BF0">
        <w:rPr>
          <w:sz w:val="20"/>
          <w:szCs w:val="20"/>
        </w:rPr>
        <w:t xml:space="preserve"> As an example, an organization or company may use governance to develop and implement policies and standards that apply to data classification, access control, and incident response. This governance can be further utilized to a level where it is also used to select technologies and tools such as firewalls, intrusion detection systems, and encryption to support the previously mentioned policies and standards. By giving credibility and authenticity to these policies, procedures and standards, senior management can help to maintain its information security posture. Conclusively, an effective governance can ensure organizations protect their information assets, maintain their information security posture, and comply with relevant laws, regulations, and standards</w:t>
      </w:r>
      <w:r w:rsidR="008E1A03">
        <w:rPr>
          <w:sz w:val="20"/>
          <w:szCs w:val="20"/>
        </w:rPr>
        <w:t xml:space="preserve"> [</w:t>
      </w:r>
      <w:r w:rsidR="0035558C">
        <w:rPr>
          <w:sz w:val="20"/>
          <w:szCs w:val="20"/>
        </w:rPr>
        <w:t>7]</w:t>
      </w:r>
      <w:r w:rsidR="00D54BF0">
        <w:rPr>
          <w:sz w:val="20"/>
          <w:szCs w:val="20"/>
        </w:rPr>
        <w:t>.</w:t>
      </w:r>
    </w:p>
    <w:p w14:paraId="75D6DC16" w14:textId="77777777" w:rsidR="00BB3339" w:rsidRDefault="00BB3339" w:rsidP="00891232">
      <w:pPr>
        <w:pStyle w:val="SubSubH"/>
        <w:numPr>
          <w:ilvl w:val="0"/>
          <w:numId w:val="0"/>
        </w:numPr>
        <w:ind w:left="255"/>
      </w:pPr>
    </w:p>
    <w:p w14:paraId="1641D9D2" w14:textId="6C1AA530" w:rsidR="00F310F4" w:rsidRDefault="00F310F4" w:rsidP="00370DD2">
      <w:pPr>
        <w:pStyle w:val="SubSubH"/>
        <w:spacing w:after="360"/>
        <w:rPr>
          <w:i/>
          <w:iCs/>
        </w:rPr>
      </w:pPr>
      <w:r w:rsidRPr="00370DD2">
        <w:rPr>
          <w:i/>
          <w:iCs/>
        </w:rPr>
        <w:t>Descriptor of Policies</w:t>
      </w:r>
    </w:p>
    <w:p w14:paraId="554000C5" w14:textId="77777777" w:rsidR="00370DD2" w:rsidRPr="00370DD2" w:rsidRDefault="00370DD2" w:rsidP="00370DD2">
      <w:pPr>
        <w:pStyle w:val="SubSubH"/>
        <w:numPr>
          <w:ilvl w:val="0"/>
          <w:numId w:val="0"/>
        </w:numPr>
        <w:ind w:left="720" w:hanging="360"/>
        <w:rPr>
          <w:i/>
          <w:iCs/>
        </w:rPr>
      </w:pPr>
    </w:p>
    <w:p w14:paraId="3AB1DB04" w14:textId="194067AE" w:rsidR="00F310F4" w:rsidRPr="00D54BF0" w:rsidRDefault="004C0B33" w:rsidP="00D54BF0">
      <w:pPr>
        <w:ind w:left="238"/>
        <w:rPr>
          <w:sz w:val="20"/>
          <w:szCs w:val="20"/>
        </w:rPr>
      </w:pPr>
      <w:r w:rsidRPr="004C0B33">
        <w:rPr>
          <w:noProof/>
        </w:rPr>
        <w:drawing>
          <wp:anchor distT="0" distB="0" distL="114300" distR="114300" simplePos="0" relativeHeight="251657216" behindDoc="0" locked="0" layoutInCell="1" allowOverlap="1" wp14:anchorId="23F9D0DD" wp14:editId="3CCDDF62">
            <wp:simplePos x="0" y="0"/>
            <wp:positionH relativeFrom="column">
              <wp:posOffset>3084195</wp:posOffset>
            </wp:positionH>
            <wp:positionV relativeFrom="paragraph">
              <wp:posOffset>1890498</wp:posOffset>
            </wp:positionV>
            <wp:extent cx="2867025" cy="2272030"/>
            <wp:effectExtent l="0" t="0" r="0"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867025" cy="2272030"/>
                    </a:xfrm>
                    <a:prstGeom prst="rect">
                      <a:avLst/>
                    </a:prstGeom>
                  </pic:spPr>
                </pic:pic>
              </a:graphicData>
            </a:graphic>
            <wp14:sizeRelH relativeFrom="margin">
              <wp14:pctWidth>0</wp14:pctWidth>
            </wp14:sizeRelH>
            <wp14:sizeRelV relativeFrom="margin">
              <wp14:pctHeight>0</wp14:pctHeight>
            </wp14:sizeRelV>
          </wp:anchor>
        </w:drawing>
      </w:r>
      <w:r w:rsidR="00F310F4">
        <w:t xml:space="preserve">    </w:t>
      </w:r>
      <w:r w:rsidR="00C24E14" w:rsidRPr="00D54BF0">
        <w:rPr>
          <w:sz w:val="20"/>
          <w:szCs w:val="20"/>
        </w:rPr>
        <w:t xml:space="preserve">Policies are a series of rules that are outlined by senior management </w:t>
      </w:r>
      <w:r w:rsidR="009112AC" w:rsidRPr="00D54BF0">
        <w:rPr>
          <w:sz w:val="20"/>
          <w:szCs w:val="20"/>
        </w:rPr>
        <w:t>on the conduct employees in an organization must follow, they should be and are one of the most essential elements of information security [</w:t>
      </w:r>
      <w:r w:rsidR="0035558C">
        <w:rPr>
          <w:sz w:val="20"/>
          <w:szCs w:val="20"/>
        </w:rPr>
        <w:t>8</w:t>
      </w:r>
      <w:r w:rsidR="009112AC" w:rsidRPr="00D54BF0">
        <w:rPr>
          <w:sz w:val="20"/>
          <w:szCs w:val="20"/>
        </w:rPr>
        <w:t>]. When correctly implemented, policies are the ground basis for all planning, designing and deployment in information security [</w:t>
      </w:r>
      <w:r w:rsidR="0035558C">
        <w:rPr>
          <w:sz w:val="20"/>
          <w:szCs w:val="20"/>
        </w:rPr>
        <w:t>8</w:t>
      </w:r>
      <w:r w:rsidR="009112AC" w:rsidRPr="00D54BF0">
        <w:rPr>
          <w:sz w:val="20"/>
          <w:szCs w:val="20"/>
        </w:rPr>
        <w:t>].</w:t>
      </w:r>
      <w:r w:rsidR="001610E6" w:rsidRPr="00D54BF0">
        <w:rPr>
          <w:sz w:val="20"/>
          <w:szCs w:val="20"/>
        </w:rPr>
        <w:t xml:space="preserve"> The policies that a company or organization implements act as form of legislative conduct that can be outlined to determine what is ruled as acceptable and unacceptable behaviours, providing a sense of stability and control. If an employee fails to comply to the policies outlined by a company or organization this may likely not result in any form of criminal prosecution, however, assuming they have broken one or several policies outlined they may be subjected to penalties</w:t>
      </w:r>
      <w:r w:rsidR="00804F62" w:rsidRPr="00D54BF0">
        <w:rPr>
          <w:sz w:val="20"/>
          <w:szCs w:val="20"/>
        </w:rPr>
        <w:t xml:space="preserve"> which can be later appealed</w:t>
      </w:r>
      <w:r w:rsidR="001610E6" w:rsidRPr="00D54BF0">
        <w:rPr>
          <w:sz w:val="20"/>
          <w:szCs w:val="20"/>
        </w:rPr>
        <w:t xml:space="preserve">. When documenting policies consideration must be given to the way that they are formalized in such a way that may be held up within a court of law, doing otherwise can be considered a dangerous act as employees are </w:t>
      </w:r>
      <w:r w:rsidR="00EC64A1" w:rsidRPr="00D54BF0">
        <w:rPr>
          <w:sz w:val="20"/>
          <w:szCs w:val="20"/>
        </w:rPr>
        <w:t>less likely to uphold a standard that can’t be enforced, therefore offering little deterrent, if any at all [</w:t>
      </w:r>
      <w:r w:rsidR="0035558C">
        <w:rPr>
          <w:sz w:val="20"/>
          <w:szCs w:val="20"/>
        </w:rPr>
        <w:t>9</w:t>
      </w:r>
      <w:r w:rsidR="00EC64A1" w:rsidRPr="00D54BF0">
        <w:rPr>
          <w:sz w:val="20"/>
          <w:szCs w:val="20"/>
        </w:rPr>
        <w:t>]. Policies should never contradict the law [</w:t>
      </w:r>
      <w:r w:rsidR="0035558C">
        <w:rPr>
          <w:sz w:val="20"/>
          <w:szCs w:val="20"/>
        </w:rPr>
        <w:t>9</w:t>
      </w:r>
      <w:r w:rsidR="00EC64A1" w:rsidRPr="00D54BF0">
        <w:rPr>
          <w:sz w:val="20"/>
          <w:szCs w:val="20"/>
        </w:rPr>
        <w:t xml:space="preserve">], if a policy is considered unlawful it is likely to be considered </w:t>
      </w:r>
      <w:r w:rsidR="00EC64A1" w:rsidRPr="00D54BF0">
        <w:rPr>
          <w:sz w:val="20"/>
          <w:szCs w:val="20"/>
        </w:rPr>
        <w:t xml:space="preserve">as unethical and enforcing such </w:t>
      </w:r>
      <w:r w:rsidR="00FD5B7B" w:rsidRPr="00D54BF0">
        <w:rPr>
          <w:sz w:val="20"/>
          <w:szCs w:val="20"/>
        </w:rPr>
        <w:t>policies would be a criminal offense with substantial consequences.</w:t>
      </w:r>
      <w:r w:rsidR="00804F62" w:rsidRPr="00D54BF0">
        <w:rPr>
          <w:sz w:val="20"/>
          <w:szCs w:val="20"/>
        </w:rPr>
        <w:t xml:space="preserve"> Finally, policies</w:t>
      </w:r>
      <w:r w:rsidR="00FD5B7B" w:rsidRPr="00D54BF0">
        <w:rPr>
          <w:sz w:val="20"/>
          <w:szCs w:val="20"/>
        </w:rPr>
        <w:t xml:space="preserve"> must be correctly administered through documentation </w:t>
      </w:r>
      <w:r w:rsidR="00532789" w:rsidRPr="00D54BF0">
        <w:rPr>
          <w:sz w:val="20"/>
          <w:szCs w:val="20"/>
        </w:rPr>
        <w:t xml:space="preserve">to mitigate </w:t>
      </w:r>
      <w:r w:rsidR="00FD5B7B" w:rsidRPr="00D54BF0">
        <w:rPr>
          <w:sz w:val="20"/>
          <w:szCs w:val="20"/>
        </w:rPr>
        <w:t xml:space="preserve">risk </w:t>
      </w:r>
      <w:r w:rsidR="00532789" w:rsidRPr="00D54BF0">
        <w:rPr>
          <w:sz w:val="20"/>
          <w:szCs w:val="20"/>
        </w:rPr>
        <w:t xml:space="preserve">of </w:t>
      </w:r>
      <w:r w:rsidR="00FD5B7B" w:rsidRPr="00D54BF0">
        <w:rPr>
          <w:sz w:val="20"/>
          <w:szCs w:val="20"/>
        </w:rPr>
        <w:t>liability charge exposure</w:t>
      </w:r>
      <w:r w:rsidR="00532789" w:rsidRPr="00D54BF0">
        <w:rPr>
          <w:sz w:val="20"/>
          <w:szCs w:val="20"/>
        </w:rPr>
        <w:t xml:space="preserve"> [</w:t>
      </w:r>
      <w:r w:rsidR="0035558C">
        <w:rPr>
          <w:sz w:val="20"/>
          <w:szCs w:val="20"/>
        </w:rPr>
        <w:t>10</w:t>
      </w:r>
      <w:r w:rsidR="00532789" w:rsidRPr="00D54BF0">
        <w:rPr>
          <w:sz w:val="20"/>
          <w:szCs w:val="20"/>
        </w:rPr>
        <w:t>]</w:t>
      </w:r>
      <w:r w:rsidR="00FD5B7B" w:rsidRPr="00D54BF0">
        <w:rPr>
          <w:sz w:val="20"/>
          <w:szCs w:val="20"/>
        </w:rPr>
        <w:t>.</w:t>
      </w:r>
    </w:p>
    <w:p w14:paraId="32769771" w14:textId="77777777" w:rsidR="00804F62" w:rsidRDefault="00804F62" w:rsidP="00804F62">
      <w:pPr>
        <w:pStyle w:val="SubSubH"/>
        <w:numPr>
          <w:ilvl w:val="0"/>
          <w:numId w:val="0"/>
        </w:numPr>
        <w:ind w:left="720"/>
      </w:pPr>
    </w:p>
    <w:p w14:paraId="5501EE1C" w14:textId="684A9A4A" w:rsidR="00F310F4" w:rsidRPr="00370DD2" w:rsidRDefault="0049558C" w:rsidP="0035558C">
      <w:pPr>
        <w:pStyle w:val="SubSubH"/>
        <w:spacing w:after="120"/>
        <w:jc w:val="left"/>
        <w:rPr>
          <w:i/>
          <w:iCs/>
        </w:rPr>
      </w:pPr>
      <w:r w:rsidRPr="00370DD2">
        <w:rPr>
          <w:i/>
          <w:iCs/>
        </w:rPr>
        <w:t>Regulatory Compliance Management</w:t>
      </w:r>
    </w:p>
    <w:p w14:paraId="110E03D8" w14:textId="11FC5508" w:rsidR="0049558C" w:rsidRDefault="0049558C" w:rsidP="0035558C">
      <w:pPr>
        <w:pStyle w:val="SubSubH"/>
        <w:numPr>
          <w:ilvl w:val="0"/>
          <w:numId w:val="0"/>
        </w:numPr>
        <w:ind w:left="720" w:hanging="360"/>
        <w:jc w:val="left"/>
      </w:pPr>
    </w:p>
    <w:p w14:paraId="5178FBA2" w14:textId="436ED72C" w:rsidR="004C0B33" w:rsidRPr="00D54BF0" w:rsidRDefault="00485E89" w:rsidP="00D54BF0">
      <w:pPr>
        <w:ind w:left="238"/>
        <w:rPr>
          <w:sz w:val="20"/>
          <w:szCs w:val="20"/>
        </w:rPr>
      </w:pPr>
      <w:r>
        <w:t xml:space="preserve">    </w:t>
      </w:r>
      <w:r w:rsidR="007E6B70" w:rsidRPr="00D54BF0">
        <w:rPr>
          <w:sz w:val="20"/>
          <w:szCs w:val="20"/>
        </w:rPr>
        <w:t>Compliance refers to an organization or</w:t>
      </w:r>
      <w:r w:rsidRPr="00D54BF0">
        <w:rPr>
          <w:sz w:val="20"/>
          <w:szCs w:val="20"/>
        </w:rPr>
        <w:t xml:space="preserve"> </w:t>
      </w:r>
      <w:r w:rsidR="007E6B70" w:rsidRPr="00D54BF0">
        <w:rPr>
          <w:sz w:val="20"/>
          <w:szCs w:val="20"/>
        </w:rPr>
        <w:t>company’s duty to assent to specific regulations, set rules and policies that they may be subjected to by law. The relevant legislation can be enforced by an established regulator to ensure a business is following the codes, standards and guidelines that are required of them. Internally, this process may refer to the practices an organization or company puts in place to ensure they are complying with the law [1</w:t>
      </w:r>
      <w:r w:rsidR="0035558C">
        <w:rPr>
          <w:sz w:val="20"/>
          <w:szCs w:val="20"/>
        </w:rPr>
        <w:t>1</w:t>
      </w:r>
      <w:r w:rsidR="007E6B70" w:rsidRPr="00D54BF0">
        <w:rPr>
          <w:sz w:val="20"/>
          <w:szCs w:val="20"/>
        </w:rPr>
        <w:t xml:space="preserve">].  </w:t>
      </w:r>
      <w:r w:rsidRPr="00D54BF0">
        <w:rPr>
          <w:sz w:val="20"/>
          <w:szCs w:val="20"/>
        </w:rPr>
        <w:t>Many of the requirements that must be affecting the behaviour of both the individuals and organization, or company are decided by people rather than other organizations or company’s [1</w:t>
      </w:r>
      <w:r w:rsidR="0035558C">
        <w:rPr>
          <w:sz w:val="20"/>
          <w:szCs w:val="20"/>
        </w:rPr>
        <w:t>2</w:t>
      </w:r>
      <w:r w:rsidRPr="00D54BF0">
        <w:rPr>
          <w:sz w:val="20"/>
          <w:szCs w:val="20"/>
        </w:rPr>
        <w:t>]. Although, there are cultural elements, incentives, objectives, systems, and structures that can directly affect the decisions made by the people who work in them [1</w:t>
      </w:r>
      <w:r w:rsidR="0035558C">
        <w:rPr>
          <w:sz w:val="20"/>
          <w:szCs w:val="20"/>
        </w:rPr>
        <w:t>2</w:t>
      </w:r>
      <w:r w:rsidRPr="00D54BF0">
        <w:rPr>
          <w:sz w:val="20"/>
          <w:szCs w:val="20"/>
        </w:rPr>
        <w:t xml:space="preserve">]. </w:t>
      </w:r>
      <w:r w:rsidR="00852FA2" w:rsidRPr="00D54BF0">
        <w:rPr>
          <w:sz w:val="20"/>
          <w:szCs w:val="20"/>
        </w:rPr>
        <w:t xml:space="preserve">Failure to comply to regulations outlined by an organization in the location(s) that SwanTech decides to operate may lead to financial penalties, irreparable damage to the company reputation or revenue, </w:t>
      </w:r>
      <w:r w:rsidR="001F2B23" w:rsidRPr="00D54BF0">
        <w:rPr>
          <w:sz w:val="20"/>
          <w:szCs w:val="20"/>
        </w:rPr>
        <w:t>and potential</w:t>
      </w:r>
      <w:r w:rsidR="00852FA2" w:rsidRPr="00D54BF0">
        <w:rPr>
          <w:sz w:val="20"/>
          <w:szCs w:val="20"/>
        </w:rPr>
        <w:t xml:space="preserve"> civil or criminal lawsuits that could end with imprisonment causing further damage to the reputation [1</w:t>
      </w:r>
      <w:r w:rsidR="0035558C">
        <w:rPr>
          <w:sz w:val="20"/>
          <w:szCs w:val="20"/>
        </w:rPr>
        <w:t>3</w:t>
      </w:r>
      <w:r w:rsidR="00852FA2" w:rsidRPr="00D54BF0">
        <w:rPr>
          <w:sz w:val="20"/>
          <w:szCs w:val="20"/>
        </w:rPr>
        <w:t>]. The success of RCM can be attributed to the three lines of defence in the organization or company, the three lines of defence can be seen briefly</w:t>
      </w:r>
      <w:r w:rsidR="00370DD2" w:rsidRPr="00D54BF0">
        <w:rPr>
          <w:sz w:val="20"/>
          <w:szCs w:val="20"/>
        </w:rPr>
        <w:t xml:space="preserve"> illustrated</w:t>
      </w:r>
      <w:r w:rsidR="00852FA2" w:rsidRPr="00D54BF0">
        <w:rPr>
          <w:sz w:val="20"/>
          <w:szCs w:val="20"/>
        </w:rPr>
        <w:t xml:space="preserve"> in </w:t>
      </w:r>
      <w:r w:rsidR="00370DD2" w:rsidRPr="00D54BF0">
        <w:rPr>
          <w:sz w:val="20"/>
          <w:szCs w:val="20"/>
        </w:rPr>
        <w:t>[1</w:t>
      </w:r>
      <w:r w:rsidR="0035558C">
        <w:rPr>
          <w:sz w:val="20"/>
          <w:szCs w:val="20"/>
        </w:rPr>
        <w:t>4</w:t>
      </w:r>
      <w:r w:rsidR="00370DD2" w:rsidRPr="00D54BF0">
        <w:rPr>
          <w:sz w:val="20"/>
          <w:szCs w:val="20"/>
        </w:rPr>
        <w:t xml:space="preserve">, </w:t>
      </w:r>
      <w:r w:rsidR="00852FA2" w:rsidRPr="00D54BF0">
        <w:rPr>
          <w:sz w:val="20"/>
          <w:szCs w:val="20"/>
        </w:rPr>
        <w:t xml:space="preserve">Fig </w:t>
      </w:r>
      <w:r w:rsidR="004C0B33" w:rsidRPr="00D54BF0">
        <w:rPr>
          <w:sz w:val="20"/>
          <w:szCs w:val="20"/>
        </w:rPr>
        <w:t>1</w:t>
      </w:r>
      <w:r w:rsidR="00852FA2" w:rsidRPr="00D54BF0">
        <w:rPr>
          <w:sz w:val="20"/>
          <w:szCs w:val="20"/>
        </w:rPr>
        <w:t>.</w:t>
      </w:r>
      <w:r w:rsidR="00370DD2" w:rsidRPr="00D54BF0">
        <w:rPr>
          <w:sz w:val="20"/>
          <w:szCs w:val="20"/>
        </w:rPr>
        <w:t>]</w:t>
      </w:r>
    </w:p>
    <w:p w14:paraId="3D15EB56" w14:textId="77777777" w:rsidR="004C0B33" w:rsidRDefault="004C0B33" w:rsidP="004C0B33">
      <w:pPr>
        <w:pStyle w:val="IEEE-Caption"/>
        <w:spacing w:after="0" w:line="240" w:lineRule="auto"/>
        <w:rPr>
          <w:rFonts w:ascii="Helvetica" w:hAnsi="Helvetica"/>
          <w:sz w:val="16"/>
          <w:szCs w:val="16"/>
        </w:rPr>
      </w:pPr>
    </w:p>
    <w:p w14:paraId="5DACB36B" w14:textId="540ACAE1" w:rsidR="00DC2D5D" w:rsidRDefault="004C0B33" w:rsidP="004C0B33">
      <w:pPr>
        <w:pStyle w:val="IEEE-Caption"/>
        <w:spacing w:line="240" w:lineRule="auto"/>
        <w:rPr>
          <w:rFonts w:ascii="Helvetica" w:hAnsi="Helvetica"/>
          <w:sz w:val="16"/>
          <w:szCs w:val="16"/>
        </w:rPr>
      </w:pPr>
      <w:r w:rsidRPr="004C0B33">
        <w:rPr>
          <w:rFonts w:ascii="Helvetica" w:hAnsi="Helvetica"/>
          <w:sz w:val="16"/>
          <w:szCs w:val="16"/>
        </w:rPr>
        <w:t>Fig 1. Three Lines of Defence</w:t>
      </w:r>
    </w:p>
    <w:p w14:paraId="789F9D56" w14:textId="5234A0A8" w:rsidR="004C0B33" w:rsidRPr="00370DD2" w:rsidRDefault="004C0B33" w:rsidP="004C0B33">
      <w:pPr>
        <w:pStyle w:val="IEEE-Caption"/>
        <w:spacing w:line="240" w:lineRule="auto"/>
        <w:rPr>
          <w:rFonts w:ascii="Helvetica" w:hAnsi="Helvetica"/>
          <w:i/>
          <w:iCs/>
          <w:sz w:val="16"/>
          <w:szCs w:val="16"/>
        </w:rPr>
      </w:pPr>
    </w:p>
    <w:p w14:paraId="7B38FA29" w14:textId="187FF131" w:rsidR="004C0B33" w:rsidRPr="00370DD2" w:rsidRDefault="00370DD2" w:rsidP="00370DD2">
      <w:pPr>
        <w:pStyle w:val="SubSubH"/>
        <w:jc w:val="left"/>
        <w:rPr>
          <w:i/>
          <w:iCs/>
        </w:rPr>
      </w:pPr>
      <w:r w:rsidRPr="00370DD2">
        <w:rPr>
          <w:i/>
          <w:iCs/>
        </w:rPr>
        <w:t>Descriptor of Risk Management</w:t>
      </w:r>
    </w:p>
    <w:p w14:paraId="584954E9" w14:textId="77777777" w:rsidR="00370DD2" w:rsidRDefault="00370DD2" w:rsidP="00370DD2">
      <w:pPr>
        <w:pStyle w:val="SubSubH"/>
        <w:numPr>
          <w:ilvl w:val="0"/>
          <w:numId w:val="0"/>
        </w:numPr>
        <w:ind w:left="360"/>
      </w:pPr>
    </w:p>
    <w:p w14:paraId="7F549D12" w14:textId="69CB7C4F" w:rsidR="00370DD2" w:rsidRDefault="00DC3448" w:rsidP="00DC3448">
      <w:pPr>
        <w:pStyle w:val="SubSubH"/>
        <w:numPr>
          <w:ilvl w:val="0"/>
          <w:numId w:val="0"/>
        </w:numPr>
        <w:ind w:left="238"/>
        <w:jc w:val="left"/>
      </w:pPr>
      <w:r>
        <w:t xml:space="preserve">    Information security risk management has been defined by Security Scorecard as a set of policies, procedures, and technologies a company may implement in their strategy to mitigate threats from malicious actors and to minimize information vulnerabilities that would otherwise negatively impact the availability, confidentiality, and integrity of data [1</w:t>
      </w:r>
      <w:r w:rsidR="0035558C">
        <w:t>5</w:t>
      </w:r>
      <w:r>
        <w:t>]. It is suggest</w:t>
      </w:r>
      <w:r w:rsidR="00E40476">
        <w:t>ed</w:t>
      </w:r>
      <w:r w:rsidR="00F12CE7">
        <w:t xml:space="preserve"> by Ofcom’s practices and reports</w:t>
      </w:r>
      <w:r>
        <w:t xml:space="preserve"> that a company or organization </w:t>
      </w:r>
      <w:r w:rsidR="00E40476">
        <w:t xml:space="preserve">should identify, evaluate, manage, and report on risks, vulnerabilities and other security concerns that may </w:t>
      </w:r>
      <w:r w:rsidR="007F082B">
        <w:t xml:space="preserve">present themselves </w:t>
      </w:r>
      <w:r w:rsidR="00F12CE7">
        <w:t>to</w:t>
      </w:r>
      <w:r w:rsidR="007F082B">
        <w:t xml:space="preserve"> provide an opportunity to return to such documentation for the purpose of learning how to combat future breaches and mitigate the risk of repeat attacks through </w:t>
      </w:r>
      <w:r w:rsidR="00F12CE7">
        <w:t>implementation of controls [1</w:t>
      </w:r>
      <w:r w:rsidR="0035558C">
        <w:t>6</w:t>
      </w:r>
      <w:r w:rsidR="00F12CE7">
        <w:t>]. Within the</w:t>
      </w:r>
      <w:r w:rsidR="00953C4C">
        <w:t xml:space="preserve"> previously mentioned</w:t>
      </w:r>
      <w:r w:rsidR="00F12CE7">
        <w:t xml:space="preserve"> </w:t>
      </w:r>
      <w:r w:rsidR="00953C4C">
        <w:t>Ofcom reports</w:t>
      </w:r>
      <w:r w:rsidR="00F12CE7">
        <w:t xml:space="preserve"> they note that to </w:t>
      </w:r>
      <w:r w:rsidR="00953C4C">
        <w:t>effectively conduct risk management and adhere to responsibilities that may hinder objectives, there are 4 primary processes</w:t>
      </w:r>
      <w:r w:rsidR="00302A02">
        <w:t xml:space="preserve"> [1</w:t>
      </w:r>
      <w:r w:rsidR="0035558C">
        <w:t>6</w:t>
      </w:r>
      <w:r w:rsidR="00302A02">
        <w:t>]</w:t>
      </w:r>
      <w:r w:rsidR="00953C4C">
        <w:t xml:space="preserve"> that are to be followed:</w:t>
      </w:r>
    </w:p>
    <w:p w14:paraId="4EB3F073" w14:textId="681C574C" w:rsidR="00953C4C" w:rsidRDefault="00953C4C" w:rsidP="00DC3448">
      <w:pPr>
        <w:pStyle w:val="SubSubH"/>
        <w:numPr>
          <w:ilvl w:val="0"/>
          <w:numId w:val="0"/>
        </w:numPr>
        <w:ind w:left="238"/>
        <w:jc w:val="left"/>
      </w:pPr>
    </w:p>
    <w:p w14:paraId="224DF18D" w14:textId="51FE41CA" w:rsidR="00953C4C" w:rsidRDefault="00953C4C" w:rsidP="00953C4C">
      <w:pPr>
        <w:pStyle w:val="SubSubH"/>
        <w:numPr>
          <w:ilvl w:val="0"/>
          <w:numId w:val="7"/>
        </w:numPr>
        <w:jc w:val="left"/>
      </w:pPr>
      <w:r>
        <w:t>Establish the context for risk-related activities.</w:t>
      </w:r>
    </w:p>
    <w:p w14:paraId="7F9E6E0F" w14:textId="7BF144EF" w:rsidR="00953C4C" w:rsidRDefault="00953C4C" w:rsidP="00953C4C">
      <w:pPr>
        <w:pStyle w:val="SubSubH"/>
        <w:numPr>
          <w:ilvl w:val="0"/>
          <w:numId w:val="0"/>
        </w:numPr>
        <w:ind w:left="720" w:hanging="360"/>
        <w:jc w:val="left"/>
      </w:pPr>
    </w:p>
    <w:p w14:paraId="23FFF642" w14:textId="490144DE" w:rsidR="00DE70AA" w:rsidRDefault="00953C4C" w:rsidP="00302A02">
      <w:pPr>
        <w:pStyle w:val="SubSubH"/>
        <w:numPr>
          <w:ilvl w:val="0"/>
          <w:numId w:val="7"/>
        </w:numPr>
        <w:jc w:val="left"/>
      </w:pPr>
      <w:r>
        <w:t xml:space="preserve">Assessing </w:t>
      </w:r>
      <w:r w:rsidR="00DE70AA">
        <w:t>risk to information assets from threats exploiting vulnerabilities</w:t>
      </w:r>
      <w:r w:rsidR="00302A02">
        <w:t>.</w:t>
      </w:r>
    </w:p>
    <w:p w14:paraId="50BBCDC4" w14:textId="77777777" w:rsidR="00302A02" w:rsidRDefault="00302A02" w:rsidP="00302A02">
      <w:pPr>
        <w:pStyle w:val="SubSubH"/>
        <w:numPr>
          <w:ilvl w:val="0"/>
          <w:numId w:val="0"/>
        </w:numPr>
        <w:jc w:val="left"/>
      </w:pPr>
    </w:p>
    <w:p w14:paraId="38268AD9" w14:textId="5A12C015" w:rsidR="00DE70AA" w:rsidRDefault="00DE70AA" w:rsidP="00302A02">
      <w:pPr>
        <w:pStyle w:val="SubSubH"/>
        <w:numPr>
          <w:ilvl w:val="0"/>
          <w:numId w:val="7"/>
        </w:numPr>
        <w:jc w:val="left"/>
      </w:pPr>
      <w:r>
        <w:t>Deciding on risk treatment methods</w:t>
      </w:r>
      <w:r w:rsidR="00302A02">
        <w:t>.</w:t>
      </w:r>
    </w:p>
    <w:p w14:paraId="1C5FD74C" w14:textId="77777777" w:rsidR="00302A02" w:rsidRDefault="00302A02" w:rsidP="00302A02">
      <w:pPr>
        <w:pStyle w:val="SubSubH"/>
        <w:numPr>
          <w:ilvl w:val="0"/>
          <w:numId w:val="0"/>
        </w:numPr>
        <w:jc w:val="left"/>
      </w:pPr>
    </w:p>
    <w:p w14:paraId="3AA3C76E" w14:textId="2163E089" w:rsidR="00DE70AA" w:rsidRDefault="00DE70AA" w:rsidP="00953C4C">
      <w:pPr>
        <w:pStyle w:val="SubSubH"/>
        <w:numPr>
          <w:ilvl w:val="0"/>
          <w:numId w:val="7"/>
        </w:numPr>
        <w:jc w:val="left"/>
      </w:pPr>
      <w:r>
        <w:t xml:space="preserve">Identifying </w:t>
      </w:r>
      <w:r w:rsidR="00302A02">
        <w:t>and implementing mitigating controls for risks that will be treated.</w:t>
      </w:r>
    </w:p>
    <w:p w14:paraId="1CA82374" w14:textId="6F752A2D" w:rsidR="00DC3448" w:rsidRDefault="00302A02" w:rsidP="00302A02">
      <w:pPr>
        <w:pStyle w:val="SubSubH"/>
        <w:numPr>
          <w:ilvl w:val="0"/>
          <w:numId w:val="0"/>
        </w:numPr>
        <w:ind w:left="238"/>
        <w:jc w:val="right"/>
      </w:pPr>
      <w:r>
        <w:t>[1</w:t>
      </w:r>
      <w:r w:rsidR="0035558C">
        <w:t>6</w:t>
      </w:r>
      <w:r>
        <w:t>]</w:t>
      </w:r>
    </w:p>
    <w:p w14:paraId="30F6FDB2" w14:textId="28B94F4D" w:rsidR="00302A02" w:rsidRDefault="00302A02" w:rsidP="00DC3448">
      <w:pPr>
        <w:pStyle w:val="SubSubH"/>
        <w:numPr>
          <w:ilvl w:val="0"/>
          <w:numId w:val="0"/>
        </w:numPr>
      </w:pPr>
    </w:p>
    <w:p w14:paraId="6823F2EB" w14:textId="48BB6000" w:rsidR="006E238A" w:rsidRDefault="006E238A" w:rsidP="006E238A">
      <w:pPr>
        <w:pStyle w:val="SubSubH"/>
        <w:rPr>
          <w:i/>
          <w:iCs/>
        </w:rPr>
      </w:pPr>
      <w:r w:rsidRPr="006E238A">
        <w:rPr>
          <w:i/>
          <w:iCs/>
        </w:rPr>
        <w:t>Overview of Data Protection in the United Kingdom</w:t>
      </w:r>
    </w:p>
    <w:p w14:paraId="575EB2B9" w14:textId="5EA3CA6B" w:rsidR="006E238A" w:rsidRDefault="006E238A" w:rsidP="006E238A">
      <w:pPr>
        <w:pStyle w:val="SubSubH"/>
        <w:numPr>
          <w:ilvl w:val="0"/>
          <w:numId w:val="0"/>
        </w:numPr>
        <w:ind w:left="720" w:hanging="360"/>
        <w:rPr>
          <w:i/>
          <w:iCs/>
        </w:rPr>
      </w:pPr>
    </w:p>
    <w:p w14:paraId="5D9AAC70" w14:textId="4283254B" w:rsidR="00F12CE7" w:rsidRPr="008E1A03" w:rsidRDefault="002A1221" w:rsidP="008E1A03">
      <w:pPr>
        <w:ind w:left="238"/>
        <w:rPr>
          <w:sz w:val="20"/>
          <w:szCs w:val="20"/>
        </w:rPr>
      </w:pPr>
      <w:r>
        <w:rPr>
          <w:sz w:val="20"/>
          <w:szCs w:val="20"/>
        </w:rPr>
        <w:t xml:space="preserve">    The 2018 Data Protection Act is the latest legislation governing data protection in the United Kingdom</w:t>
      </w:r>
      <w:r w:rsidR="00AC019B">
        <w:rPr>
          <w:sz w:val="20"/>
          <w:szCs w:val="20"/>
        </w:rPr>
        <w:t xml:space="preserve"> [1</w:t>
      </w:r>
      <w:r w:rsidR="0035558C">
        <w:rPr>
          <w:sz w:val="20"/>
          <w:szCs w:val="20"/>
        </w:rPr>
        <w:t>7</w:t>
      </w:r>
      <w:r w:rsidR="00AC019B">
        <w:rPr>
          <w:sz w:val="20"/>
          <w:szCs w:val="20"/>
        </w:rPr>
        <w:t>]</w:t>
      </w:r>
      <w:r>
        <w:rPr>
          <w:sz w:val="20"/>
          <w:szCs w:val="20"/>
        </w:rPr>
        <w:t>. This act is the UK’s implementation of the European Union’s General Data Protection Regulation (GDPR)</w:t>
      </w:r>
      <w:r w:rsidR="00AC019B">
        <w:rPr>
          <w:sz w:val="20"/>
          <w:szCs w:val="20"/>
        </w:rPr>
        <w:t xml:space="preserve"> [1</w:t>
      </w:r>
      <w:r w:rsidR="0035558C">
        <w:rPr>
          <w:sz w:val="20"/>
          <w:szCs w:val="20"/>
        </w:rPr>
        <w:t>8</w:t>
      </w:r>
      <w:r w:rsidR="00AC019B">
        <w:rPr>
          <w:sz w:val="20"/>
          <w:szCs w:val="20"/>
        </w:rPr>
        <w:t>]</w:t>
      </w:r>
      <w:r>
        <w:rPr>
          <w:sz w:val="20"/>
          <w:szCs w:val="20"/>
        </w:rPr>
        <w:t>.</w:t>
      </w:r>
      <w:r w:rsidR="00AC019B">
        <w:rPr>
          <w:sz w:val="20"/>
          <w:szCs w:val="20"/>
        </w:rPr>
        <w:t xml:space="preserve"> The act outlines the rules and regulations that organizations and companies must follow to ensure the safety and privacy of their customers and employee’s data [1</w:t>
      </w:r>
      <w:r w:rsidR="0035558C">
        <w:rPr>
          <w:sz w:val="20"/>
          <w:szCs w:val="20"/>
        </w:rPr>
        <w:t>7</w:t>
      </w:r>
      <w:r w:rsidR="00AC019B">
        <w:rPr>
          <w:sz w:val="20"/>
          <w:szCs w:val="20"/>
        </w:rPr>
        <w:t>]. The act also grants individuals greater control over their own data, including the right to request the deletion or transfer of their data [1</w:t>
      </w:r>
      <w:r w:rsidR="0035558C">
        <w:rPr>
          <w:sz w:val="20"/>
          <w:szCs w:val="20"/>
        </w:rPr>
        <w:t>8</w:t>
      </w:r>
      <w:r w:rsidR="00AC019B">
        <w:rPr>
          <w:sz w:val="20"/>
          <w:szCs w:val="20"/>
        </w:rPr>
        <w:t xml:space="preserve">]. One of the primary goals of the act being to update and modernize </w:t>
      </w:r>
      <w:r w:rsidR="00AC019B">
        <w:rPr>
          <w:sz w:val="20"/>
          <w:szCs w:val="20"/>
        </w:rPr>
        <w:t>data protection laws in the United Kingdom, which have become increasingly necessary as the volume of data being processed across the nation continues to grow. This update is also necessary to ensure that the United Kingdoms data protection framework is comprehensive and able to keep pace with the rapidly changing digital landscape that is showing no signs of slowing down [1</w:t>
      </w:r>
      <w:r w:rsidR="0035558C">
        <w:rPr>
          <w:sz w:val="20"/>
          <w:szCs w:val="20"/>
        </w:rPr>
        <w:t>9</w:t>
      </w:r>
      <w:r w:rsidR="00AC019B">
        <w:rPr>
          <w:sz w:val="20"/>
          <w:szCs w:val="20"/>
        </w:rPr>
        <w:t>]. In additional to providing updated and comprehensive data protection laws, the act also aims to deter organizations and companies from violating these laws by imposing stronger sanctions for non-compliance</w:t>
      </w:r>
      <w:r w:rsidR="00AE3535">
        <w:rPr>
          <w:sz w:val="20"/>
          <w:szCs w:val="20"/>
        </w:rPr>
        <w:t xml:space="preserve"> [</w:t>
      </w:r>
      <w:r w:rsidR="0035558C">
        <w:rPr>
          <w:sz w:val="20"/>
          <w:szCs w:val="20"/>
        </w:rPr>
        <w:t>20</w:t>
      </w:r>
      <w:r w:rsidR="00AE3535">
        <w:rPr>
          <w:sz w:val="20"/>
          <w:szCs w:val="20"/>
        </w:rPr>
        <w:t>]</w:t>
      </w:r>
      <w:r w:rsidR="00AC019B">
        <w:rPr>
          <w:sz w:val="20"/>
          <w:szCs w:val="20"/>
        </w:rPr>
        <w:t xml:space="preserve">. </w:t>
      </w:r>
      <w:r w:rsidR="00AE3535">
        <w:rPr>
          <w:sz w:val="20"/>
          <w:szCs w:val="20"/>
        </w:rPr>
        <w:t>These sanctions can include fines and other penalties, such as revoking the right to send data to 3</w:t>
      </w:r>
      <w:r w:rsidR="00AE3535" w:rsidRPr="00AE3535">
        <w:rPr>
          <w:sz w:val="20"/>
          <w:szCs w:val="20"/>
          <w:vertAlign w:val="superscript"/>
        </w:rPr>
        <w:t>rd</w:t>
      </w:r>
      <w:r w:rsidR="00AE3535">
        <w:rPr>
          <w:sz w:val="20"/>
          <w:szCs w:val="20"/>
        </w:rPr>
        <w:t xml:space="preserve"> parties outside of the U.K. [</w:t>
      </w:r>
      <w:r w:rsidR="0035558C">
        <w:rPr>
          <w:sz w:val="20"/>
          <w:szCs w:val="20"/>
        </w:rPr>
        <w:t>20</w:t>
      </w:r>
      <w:r w:rsidR="00AE3535">
        <w:rPr>
          <w:sz w:val="20"/>
          <w:szCs w:val="20"/>
        </w:rPr>
        <w:t>]. It is important for SwanTech to be aware of the standards set by the Data Protection Act, as they will apply not only in the United Kingdom but also in every European Union member state they choose to operate within. The Information Commissioner’s Office (ICO) is responsible for enforcing the data protection laws outlined in the 2018 Data Protection Act [1</w:t>
      </w:r>
      <w:r w:rsidR="0035558C">
        <w:rPr>
          <w:sz w:val="20"/>
          <w:szCs w:val="20"/>
        </w:rPr>
        <w:t>7</w:t>
      </w:r>
      <w:r w:rsidR="00AE3535">
        <w:rPr>
          <w:sz w:val="20"/>
          <w:szCs w:val="20"/>
        </w:rPr>
        <w:t>], [1</w:t>
      </w:r>
      <w:r w:rsidR="0035558C">
        <w:rPr>
          <w:sz w:val="20"/>
          <w:szCs w:val="20"/>
        </w:rPr>
        <w:t>9</w:t>
      </w:r>
      <w:r w:rsidR="00AE3535">
        <w:rPr>
          <w:sz w:val="20"/>
          <w:szCs w:val="20"/>
        </w:rPr>
        <w:t>], [</w:t>
      </w:r>
      <w:r w:rsidR="0035558C">
        <w:rPr>
          <w:sz w:val="20"/>
          <w:szCs w:val="20"/>
        </w:rPr>
        <w:t>20</w:t>
      </w:r>
      <w:r w:rsidR="00AE3535">
        <w:rPr>
          <w:sz w:val="20"/>
          <w:szCs w:val="20"/>
        </w:rPr>
        <w:t>].</w:t>
      </w:r>
      <w:r w:rsidR="008E1A03">
        <w:rPr>
          <w:sz w:val="20"/>
          <w:szCs w:val="20"/>
        </w:rPr>
        <w:t xml:space="preserve"> The 2018 Data Protection Act does maintain certain exemptions from the 1998 Data Protection Act that the UK government believes have been successful in allowing UK organizations and businesses to thrive in fields such as financial and legal services, journalism, and research [2</w:t>
      </w:r>
      <w:r w:rsidR="0035558C">
        <w:rPr>
          <w:sz w:val="20"/>
          <w:szCs w:val="20"/>
        </w:rPr>
        <w:t>1</w:t>
      </w:r>
      <w:r w:rsidR="008E1A03">
        <w:rPr>
          <w:sz w:val="20"/>
          <w:szCs w:val="20"/>
        </w:rPr>
        <w:t>]. By keeping these exemptions, the government hopes to maintain the United Kingdoms position as a significant player in these industries in a post-Brexit world [2</w:t>
      </w:r>
      <w:r w:rsidR="0035558C">
        <w:rPr>
          <w:sz w:val="20"/>
          <w:szCs w:val="20"/>
        </w:rPr>
        <w:t>2</w:t>
      </w:r>
      <w:r w:rsidR="008E1A03">
        <w:rPr>
          <w:sz w:val="20"/>
          <w:szCs w:val="20"/>
        </w:rPr>
        <w:t>].</w:t>
      </w:r>
    </w:p>
    <w:p w14:paraId="60F8D4B6" w14:textId="45052681" w:rsidR="00F12CE7" w:rsidRDefault="00F12CE7" w:rsidP="00DC2D5D">
      <w:pPr>
        <w:pStyle w:val="IEEE-Caption"/>
      </w:pPr>
    </w:p>
    <w:p w14:paraId="71A2FB47" w14:textId="148EB986" w:rsidR="00F12CE7" w:rsidRDefault="00F12CE7" w:rsidP="00DC2D5D">
      <w:pPr>
        <w:pStyle w:val="IEEE-Caption"/>
      </w:pPr>
    </w:p>
    <w:p w14:paraId="426FFE5B" w14:textId="5D7DB722" w:rsidR="00F12CE7" w:rsidRDefault="00F12CE7" w:rsidP="00DC2D5D">
      <w:pPr>
        <w:pStyle w:val="IEEE-Caption"/>
      </w:pPr>
    </w:p>
    <w:p w14:paraId="3AE77788" w14:textId="5CE170A0" w:rsidR="00F12CE7" w:rsidRDefault="00F12CE7" w:rsidP="00DC2D5D">
      <w:pPr>
        <w:pStyle w:val="IEEE-Caption"/>
      </w:pPr>
    </w:p>
    <w:p w14:paraId="4FAA8A42" w14:textId="5C86E18A" w:rsidR="00F12CE7" w:rsidRDefault="00F12CE7" w:rsidP="00DC2D5D">
      <w:pPr>
        <w:pStyle w:val="IEEE-Caption"/>
      </w:pPr>
    </w:p>
    <w:p w14:paraId="3D8743A0" w14:textId="093A1876" w:rsidR="00F12CE7" w:rsidRDefault="00F12CE7" w:rsidP="00DC2D5D">
      <w:pPr>
        <w:pStyle w:val="IEEE-Caption"/>
      </w:pPr>
    </w:p>
    <w:p w14:paraId="14C91759" w14:textId="019178D1" w:rsidR="00F12CE7" w:rsidRDefault="00F12CE7" w:rsidP="00DC2D5D">
      <w:pPr>
        <w:pStyle w:val="IEEE-Caption"/>
      </w:pPr>
    </w:p>
    <w:p w14:paraId="44D4A857" w14:textId="2D4AF736" w:rsidR="00F12CE7" w:rsidRDefault="00F12CE7" w:rsidP="00DC2D5D">
      <w:pPr>
        <w:pStyle w:val="IEEE-Caption"/>
      </w:pPr>
    </w:p>
    <w:p w14:paraId="2FFA9D3F" w14:textId="3C6F506E" w:rsidR="00F12CE7" w:rsidRDefault="00F12CE7" w:rsidP="00DC2D5D">
      <w:pPr>
        <w:pStyle w:val="IEEE-Caption"/>
      </w:pPr>
    </w:p>
    <w:p w14:paraId="156D5DEF" w14:textId="1FB968BA" w:rsidR="00F12CE7" w:rsidRDefault="00F12CE7" w:rsidP="00DC2D5D">
      <w:pPr>
        <w:pStyle w:val="IEEE-Caption"/>
      </w:pPr>
    </w:p>
    <w:p w14:paraId="26F36550" w14:textId="62827B50" w:rsidR="00F12CE7" w:rsidRDefault="00F12CE7" w:rsidP="00DC2D5D">
      <w:pPr>
        <w:pStyle w:val="IEEE-Caption"/>
      </w:pPr>
    </w:p>
    <w:p w14:paraId="7173D71E" w14:textId="04108799" w:rsidR="00F42B75" w:rsidRDefault="00F42B75" w:rsidP="00F310F4">
      <w:pPr>
        <w:pStyle w:val="IEEE-Caption"/>
        <w:jc w:val="both"/>
      </w:pPr>
    </w:p>
    <w:p w14:paraId="5E18924B" w14:textId="77854769" w:rsidR="00F42B75" w:rsidRPr="00852FA2" w:rsidRDefault="00F42B75" w:rsidP="00F42B75">
      <w:pPr>
        <w:pStyle w:val="ListParagraph"/>
        <w:numPr>
          <w:ilvl w:val="0"/>
          <w:numId w:val="5"/>
        </w:numPr>
        <w:jc w:val="center"/>
      </w:pPr>
      <w:r w:rsidRPr="00852FA2">
        <w:lastRenderedPageBreak/>
        <w:t>REFERENCES</w:t>
      </w:r>
    </w:p>
    <w:p w14:paraId="092EA910" w14:textId="2FFC2784" w:rsidR="00F42B75" w:rsidRPr="00953C4C" w:rsidRDefault="009E7897" w:rsidP="009E7897">
      <w:pPr>
        <w:pStyle w:val="IEEE-Caption"/>
        <w:jc w:val="left"/>
        <w:rPr>
          <w:sz w:val="16"/>
          <w:szCs w:val="16"/>
        </w:rPr>
      </w:pPr>
      <w:r w:rsidRPr="00953C4C">
        <w:rPr>
          <w:sz w:val="16"/>
          <w:szCs w:val="16"/>
        </w:rPr>
        <w:t>[1]</w:t>
      </w:r>
      <w:r w:rsidR="00974D75" w:rsidRPr="00953C4C">
        <w:rPr>
          <w:sz w:val="16"/>
          <w:szCs w:val="16"/>
        </w:rPr>
        <w:t xml:space="preserve"> “TITLE 44-PUBLIC PRINTING AND DOCUMENTS § 3521.” [Online]. Available: </w:t>
      </w:r>
      <w:hyperlink r:id="rId6" w:history="1">
        <w:r w:rsidR="00974D75" w:rsidRPr="00953C4C">
          <w:rPr>
            <w:rStyle w:val="Hyperlink"/>
            <w:sz w:val="16"/>
            <w:szCs w:val="16"/>
          </w:rPr>
          <w:t>https://www.govinfo.gov/content/pkg/USCODE-2011-title44/pdf/USCODE-2011-title44-chap35-subchapII-sec3532.pdf</w:t>
        </w:r>
      </w:hyperlink>
      <w:r w:rsidR="00974D75" w:rsidRPr="00953C4C">
        <w:rPr>
          <w:sz w:val="16"/>
          <w:szCs w:val="16"/>
        </w:rPr>
        <w:t>. [Accessed: 03-Dec-2022].</w:t>
      </w:r>
    </w:p>
    <w:p w14:paraId="076A1474" w14:textId="15E3B4A5" w:rsidR="00866C0B" w:rsidRPr="00953C4C" w:rsidRDefault="00866C0B" w:rsidP="009E7897">
      <w:pPr>
        <w:pStyle w:val="IEEE-Caption"/>
        <w:jc w:val="left"/>
        <w:rPr>
          <w:sz w:val="16"/>
          <w:szCs w:val="16"/>
        </w:rPr>
      </w:pPr>
      <w:r w:rsidRPr="00953C4C">
        <w:rPr>
          <w:sz w:val="16"/>
          <w:szCs w:val="16"/>
        </w:rPr>
        <w:t>[2]</w:t>
      </w:r>
      <w:r w:rsidR="00974D75" w:rsidRPr="00953C4C">
        <w:rPr>
          <w:sz w:val="16"/>
          <w:szCs w:val="16"/>
        </w:rPr>
        <w:t xml:space="preserve"> “Election security spotlight – </w:t>
      </w:r>
      <w:proofErr w:type="spellStart"/>
      <w:r w:rsidR="00974D75" w:rsidRPr="00953C4C">
        <w:rPr>
          <w:sz w:val="16"/>
          <w:szCs w:val="16"/>
        </w:rPr>
        <w:t>cia</w:t>
      </w:r>
      <w:proofErr w:type="spellEnd"/>
      <w:r w:rsidR="00974D75" w:rsidRPr="00953C4C">
        <w:rPr>
          <w:sz w:val="16"/>
          <w:szCs w:val="16"/>
        </w:rPr>
        <w:t xml:space="preserve"> triad,” CIS, 15-Jun-2021. [Online]. Available: </w:t>
      </w:r>
      <w:hyperlink r:id="rId7" w:history="1">
        <w:r w:rsidR="00974D75" w:rsidRPr="00953C4C">
          <w:rPr>
            <w:rStyle w:val="Hyperlink"/>
            <w:sz w:val="16"/>
            <w:szCs w:val="16"/>
          </w:rPr>
          <w:t>https://www.cisecurity.org/insights/spotlight/ei-isac-cybersecurity-spotlight-cia-triad</w:t>
        </w:r>
      </w:hyperlink>
      <w:r w:rsidR="00974D75" w:rsidRPr="00953C4C">
        <w:rPr>
          <w:sz w:val="16"/>
          <w:szCs w:val="16"/>
        </w:rPr>
        <w:t>. [Accessed: 03-Dec-2022].</w:t>
      </w:r>
    </w:p>
    <w:p w14:paraId="3C3CFD3B" w14:textId="1FF12C21" w:rsidR="00866C0B" w:rsidRPr="00953C4C" w:rsidRDefault="00866C0B" w:rsidP="009E7897">
      <w:pPr>
        <w:pStyle w:val="IEEE-Caption"/>
        <w:jc w:val="left"/>
        <w:rPr>
          <w:sz w:val="16"/>
          <w:szCs w:val="16"/>
        </w:rPr>
      </w:pPr>
      <w:r w:rsidRPr="00953C4C">
        <w:rPr>
          <w:sz w:val="16"/>
          <w:szCs w:val="16"/>
        </w:rPr>
        <w:t>[3]</w:t>
      </w:r>
      <w:r w:rsidR="0031065D" w:rsidRPr="00953C4C">
        <w:rPr>
          <w:sz w:val="16"/>
          <w:szCs w:val="16"/>
        </w:rPr>
        <w:t xml:space="preserve"> </w:t>
      </w:r>
      <w:r w:rsidR="00974D75" w:rsidRPr="00953C4C">
        <w:rPr>
          <w:sz w:val="16"/>
          <w:szCs w:val="16"/>
        </w:rPr>
        <w:t xml:space="preserve">D. </w:t>
      </w:r>
      <w:proofErr w:type="spellStart"/>
      <w:r w:rsidR="00974D75" w:rsidRPr="00953C4C">
        <w:rPr>
          <w:sz w:val="16"/>
          <w:szCs w:val="16"/>
        </w:rPr>
        <w:t>Walkowski</w:t>
      </w:r>
      <w:proofErr w:type="spellEnd"/>
      <w:r w:rsidR="00974D75" w:rsidRPr="00953C4C">
        <w:rPr>
          <w:sz w:val="16"/>
          <w:szCs w:val="16"/>
        </w:rPr>
        <w:t xml:space="preserve">, “What is the CIA </w:t>
      </w:r>
      <w:proofErr w:type="gramStart"/>
      <w:r w:rsidR="00974D75" w:rsidRPr="00953C4C">
        <w:rPr>
          <w:sz w:val="16"/>
          <w:szCs w:val="16"/>
        </w:rPr>
        <w:t>triad?,</w:t>
      </w:r>
      <w:proofErr w:type="gramEnd"/>
      <w:r w:rsidR="00974D75" w:rsidRPr="00953C4C">
        <w:rPr>
          <w:sz w:val="16"/>
          <w:szCs w:val="16"/>
        </w:rPr>
        <w:t xml:space="preserve">” F5 Labs, 08-Jul-2019. [Online]. Available: </w:t>
      </w:r>
      <w:hyperlink r:id="rId8" w:history="1">
        <w:r w:rsidR="00974D75" w:rsidRPr="00953C4C">
          <w:rPr>
            <w:rStyle w:val="Hyperlink"/>
            <w:sz w:val="16"/>
            <w:szCs w:val="16"/>
          </w:rPr>
          <w:t>https://www.f5.com/labs/learning-center/what-is-the-cia-triad</w:t>
        </w:r>
      </w:hyperlink>
      <w:r w:rsidR="00974D75" w:rsidRPr="00953C4C">
        <w:rPr>
          <w:sz w:val="16"/>
          <w:szCs w:val="16"/>
        </w:rPr>
        <w:t>. [Accessed: 03-Dec-2022].</w:t>
      </w:r>
    </w:p>
    <w:p w14:paraId="6CE12A8A" w14:textId="708CA39E" w:rsidR="00866C0B" w:rsidRPr="00953C4C" w:rsidRDefault="00866C0B" w:rsidP="009E7897">
      <w:pPr>
        <w:pStyle w:val="IEEE-Caption"/>
        <w:jc w:val="left"/>
        <w:rPr>
          <w:sz w:val="16"/>
          <w:szCs w:val="16"/>
        </w:rPr>
      </w:pPr>
      <w:r w:rsidRPr="00953C4C">
        <w:rPr>
          <w:sz w:val="16"/>
          <w:szCs w:val="16"/>
        </w:rPr>
        <w:t>[4]</w:t>
      </w:r>
      <w:r w:rsidR="00B308E6" w:rsidRPr="00953C4C">
        <w:rPr>
          <w:sz w:val="16"/>
          <w:szCs w:val="16"/>
        </w:rPr>
        <w:t xml:space="preserve"> </w:t>
      </w:r>
      <w:r w:rsidR="00974D75" w:rsidRPr="00953C4C">
        <w:rPr>
          <w:sz w:val="16"/>
          <w:szCs w:val="16"/>
        </w:rPr>
        <w:t>M. Workman, Information Security Management. Burlington, MA: Jones et Bartlett Learning, 2021.</w:t>
      </w:r>
    </w:p>
    <w:p w14:paraId="33A188AC" w14:textId="3C2E2624" w:rsidR="00B308E6" w:rsidRPr="00953C4C" w:rsidRDefault="00AF6563" w:rsidP="009E7897">
      <w:pPr>
        <w:pStyle w:val="IEEE-Caption"/>
        <w:jc w:val="left"/>
        <w:rPr>
          <w:sz w:val="16"/>
          <w:szCs w:val="16"/>
        </w:rPr>
      </w:pPr>
      <w:r w:rsidRPr="00953C4C">
        <w:rPr>
          <w:sz w:val="16"/>
          <w:szCs w:val="16"/>
        </w:rPr>
        <w:t xml:space="preserve">[5] </w:t>
      </w:r>
      <w:r w:rsidR="00974D75" w:rsidRPr="00953C4C">
        <w:rPr>
          <w:sz w:val="16"/>
          <w:szCs w:val="16"/>
        </w:rPr>
        <w:t>J. Lawrence, Argument for action: Ethics and professional conduct. ROUTLEDGE, 2020.</w:t>
      </w:r>
    </w:p>
    <w:p w14:paraId="602D2D04" w14:textId="065772EE" w:rsidR="00AF6563" w:rsidRDefault="00AF6563" w:rsidP="009E7897">
      <w:pPr>
        <w:pStyle w:val="IEEE-Caption"/>
        <w:jc w:val="left"/>
        <w:rPr>
          <w:sz w:val="16"/>
          <w:szCs w:val="16"/>
        </w:rPr>
      </w:pPr>
      <w:r w:rsidRPr="00953C4C">
        <w:rPr>
          <w:sz w:val="16"/>
          <w:szCs w:val="16"/>
        </w:rPr>
        <w:t>[6]</w:t>
      </w:r>
      <w:r w:rsidR="000A77A4" w:rsidRPr="00953C4C">
        <w:rPr>
          <w:sz w:val="16"/>
          <w:szCs w:val="16"/>
        </w:rPr>
        <w:t xml:space="preserve"> </w:t>
      </w:r>
      <w:r w:rsidR="00974D75" w:rsidRPr="00953C4C">
        <w:rPr>
          <w:sz w:val="16"/>
          <w:szCs w:val="16"/>
        </w:rPr>
        <w:t xml:space="preserve">M. </w:t>
      </w:r>
      <w:proofErr w:type="spellStart"/>
      <w:r w:rsidR="00974D75" w:rsidRPr="00953C4C">
        <w:rPr>
          <w:sz w:val="16"/>
          <w:szCs w:val="16"/>
        </w:rPr>
        <w:t>Bevir</w:t>
      </w:r>
      <w:proofErr w:type="spellEnd"/>
      <w:r w:rsidR="00974D75" w:rsidRPr="00953C4C">
        <w:rPr>
          <w:sz w:val="16"/>
          <w:szCs w:val="16"/>
        </w:rPr>
        <w:t>, Governance: A very short introduction. Oxford: Oxford University Press, 2012.</w:t>
      </w:r>
    </w:p>
    <w:p w14:paraId="63E0CBC2" w14:textId="58429CE7" w:rsidR="0035558C" w:rsidRPr="00953C4C" w:rsidRDefault="0035558C" w:rsidP="009E7897">
      <w:pPr>
        <w:pStyle w:val="IEEE-Caption"/>
        <w:jc w:val="left"/>
        <w:rPr>
          <w:sz w:val="16"/>
          <w:szCs w:val="16"/>
        </w:rPr>
      </w:pPr>
      <w:r>
        <w:rPr>
          <w:sz w:val="16"/>
          <w:szCs w:val="16"/>
        </w:rPr>
        <w:t xml:space="preserve">[7] </w:t>
      </w:r>
      <w:r w:rsidRPr="0035558C">
        <w:rPr>
          <w:sz w:val="16"/>
          <w:szCs w:val="16"/>
        </w:rPr>
        <w:t xml:space="preserve">“Security,” ICO. [Online]. Available: </w:t>
      </w:r>
      <w:hyperlink r:id="rId9" w:history="1">
        <w:r w:rsidRPr="00AA30DB">
          <w:rPr>
            <w:rStyle w:val="Hyperlink"/>
            <w:sz w:val="16"/>
            <w:szCs w:val="16"/>
          </w:rPr>
          <w:t>https://ico.org.uk/for-organisations/guide-to-data-protection/guide-to-the-general-data-protection-regulation-gdpr/security/</w:t>
        </w:r>
      </w:hyperlink>
      <w:r w:rsidRPr="0035558C">
        <w:rPr>
          <w:sz w:val="16"/>
          <w:szCs w:val="16"/>
        </w:rPr>
        <w:t>.</w:t>
      </w:r>
      <w:r>
        <w:rPr>
          <w:sz w:val="16"/>
          <w:szCs w:val="16"/>
        </w:rPr>
        <w:t xml:space="preserve"> </w:t>
      </w:r>
      <w:r w:rsidRPr="0035558C">
        <w:rPr>
          <w:sz w:val="16"/>
          <w:szCs w:val="16"/>
        </w:rPr>
        <w:t>[Accessed: 11-Dec-2022].</w:t>
      </w:r>
    </w:p>
    <w:p w14:paraId="64169330" w14:textId="010E685E" w:rsidR="000A77A4" w:rsidRPr="00953C4C" w:rsidRDefault="000A77A4" w:rsidP="009E7897">
      <w:pPr>
        <w:pStyle w:val="IEEE-Caption"/>
        <w:jc w:val="left"/>
        <w:rPr>
          <w:sz w:val="16"/>
          <w:szCs w:val="16"/>
        </w:rPr>
      </w:pPr>
      <w:r w:rsidRPr="00953C4C">
        <w:rPr>
          <w:sz w:val="16"/>
          <w:szCs w:val="16"/>
        </w:rPr>
        <w:t>[</w:t>
      </w:r>
      <w:r w:rsidR="0035558C">
        <w:rPr>
          <w:sz w:val="16"/>
          <w:szCs w:val="16"/>
        </w:rPr>
        <w:t>8</w:t>
      </w:r>
      <w:r w:rsidRPr="00953C4C">
        <w:rPr>
          <w:sz w:val="16"/>
          <w:szCs w:val="16"/>
        </w:rPr>
        <w:t xml:space="preserve">] </w:t>
      </w:r>
      <w:r w:rsidR="00B67B33" w:rsidRPr="00953C4C">
        <w:rPr>
          <w:sz w:val="16"/>
          <w:szCs w:val="16"/>
        </w:rPr>
        <w:t xml:space="preserve">L. Irwin, “What is an information security </w:t>
      </w:r>
      <w:proofErr w:type="gramStart"/>
      <w:r w:rsidR="00B67B33" w:rsidRPr="00953C4C">
        <w:rPr>
          <w:sz w:val="16"/>
          <w:szCs w:val="16"/>
        </w:rPr>
        <w:t>policy?,</w:t>
      </w:r>
      <w:proofErr w:type="gramEnd"/>
      <w:r w:rsidR="00B67B33" w:rsidRPr="00953C4C">
        <w:rPr>
          <w:sz w:val="16"/>
          <w:szCs w:val="16"/>
        </w:rPr>
        <w:t xml:space="preserve">” IT Governance UK Blog, 10-Oct-2022. [Online]. Available: </w:t>
      </w:r>
      <w:hyperlink r:id="rId10" w:history="1">
        <w:r w:rsidR="00B67B33" w:rsidRPr="00953C4C">
          <w:rPr>
            <w:rStyle w:val="Hyperlink"/>
            <w:sz w:val="16"/>
            <w:szCs w:val="16"/>
          </w:rPr>
          <w:t>https://www.itgovernance.co.uk/blog/what-is-an-information-security-policy</w:t>
        </w:r>
      </w:hyperlink>
      <w:r w:rsidR="00B67B33" w:rsidRPr="00953C4C">
        <w:rPr>
          <w:sz w:val="16"/>
          <w:szCs w:val="16"/>
        </w:rPr>
        <w:t>. [Accessed: 0</w:t>
      </w:r>
      <w:r w:rsidR="00974D75" w:rsidRPr="00953C4C">
        <w:rPr>
          <w:sz w:val="16"/>
          <w:szCs w:val="16"/>
        </w:rPr>
        <w:t>5</w:t>
      </w:r>
      <w:r w:rsidR="00B67B33" w:rsidRPr="00953C4C">
        <w:rPr>
          <w:sz w:val="16"/>
          <w:szCs w:val="16"/>
        </w:rPr>
        <w:t>-Dec-2022].</w:t>
      </w:r>
    </w:p>
    <w:p w14:paraId="4F5492BC" w14:textId="7E4EA777" w:rsidR="00B67B33" w:rsidRPr="00953C4C" w:rsidRDefault="00EC64A1" w:rsidP="009E7897">
      <w:pPr>
        <w:pStyle w:val="IEEE-Caption"/>
        <w:jc w:val="left"/>
        <w:rPr>
          <w:sz w:val="16"/>
          <w:szCs w:val="16"/>
        </w:rPr>
      </w:pPr>
      <w:r w:rsidRPr="00953C4C">
        <w:rPr>
          <w:sz w:val="16"/>
          <w:szCs w:val="16"/>
        </w:rPr>
        <w:t>[</w:t>
      </w:r>
      <w:r w:rsidR="0035558C">
        <w:rPr>
          <w:sz w:val="16"/>
          <w:szCs w:val="16"/>
        </w:rPr>
        <w:t>9</w:t>
      </w:r>
      <w:r w:rsidRPr="00953C4C">
        <w:rPr>
          <w:sz w:val="16"/>
          <w:szCs w:val="16"/>
        </w:rPr>
        <w:t xml:space="preserve">] </w:t>
      </w:r>
      <w:r w:rsidR="00B67B33" w:rsidRPr="00953C4C">
        <w:rPr>
          <w:i/>
          <w:iCs/>
          <w:sz w:val="16"/>
          <w:szCs w:val="16"/>
        </w:rPr>
        <w:t xml:space="preserve">UK Gov, “The judge over your shoulder — a guide to good decision making </w:t>
      </w:r>
      <w:r w:rsidR="00B67B33" w:rsidRPr="00953C4C">
        <w:rPr>
          <w:sz w:val="16"/>
          <w:szCs w:val="16"/>
        </w:rPr>
        <w:t xml:space="preserve">- gov.uk,” 2016. [Online]. Available: </w:t>
      </w:r>
      <w:hyperlink r:id="rId11" w:history="1">
        <w:r w:rsidR="00B67B33" w:rsidRPr="00953C4C">
          <w:rPr>
            <w:rStyle w:val="Hyperlink"/>
            <w:sz w:val="16"/>
            <w:szCs w:val="16"/>
          </w:rPr>
          <w:t>https://assets.publishing.service.gov.uk/government/uploads/system/uploads/attachment_data/file/746170/JOYS-OCT-2018.pdf</w:t>
        </w:r>
      </w:hyperlink>
      <w:r w:rsidR="00B67B33" w:rsidRPr="00953C4C">
        <w:rPr>
          <w:sz w:val="16"/>
          <w:szCs w:val="16"/>
        </w:rPr>
        <w:t>. [Accessed: 0</w:t>
      </w:r>
      <w:r w:rsidR="00974D75" w:rsidRPr="00953C4C">
        <w:rPr>
          <w:sz w:val="16"/>
          <w:szCs w:val="16"/>
        </w:rPr>
        <w:t>7</w:t>
      </w:r>
      <w:r w:rsidR="00B67B33" w:rsidRPr="00953C4C">
        <w:rPr>
          <w:sz w:val="16"/>
          <w:szCs w:val="16"/>
        </w:rPr>
        <w:t>-Dec-2022].</w:t>
      </w:r>
    </w:p>
    <w:p w14:paraId="144815A6" w14:textId="62761BCA" w:rsidR="00532789" w:rsidRPr="00953C4C" w:rsidRDefault="00EC64A1" w:rsidP="009E7897">
      <w:pPr>
        <w:pStyle w:val="IEEE-Caption"/>
        <w:jc w:val="left"/>
        <w:rPr>
          <w:sz w:val="16"/>
          <w:szCs w:val="16"/>
        </w:rPr>
      </w:pPr>
      <w:r w:rsidRPr="00953C4C">
        <w:rPr>
          <w:sz w:val="16"/>
          <w:szCs w:val="16"/>
        </w:rPr>
        <w:t>[</w:t>
      </w:r>
      <w:r w:rsidR="0035558C">
        <w:rPr>
          <w:sz w:val="16"/>
          <w:szCs w:val="16"/>
        </w:rPr>
        <w:t>10</w:t>
      </w:r>
      <w:r w:rsidRPr="00953C4C">
        <w:rPr>
          <w:sz w:val="16"/>
          <w:szCs w:val="16"/>
        </w:rPr>
        <w:t xml:space="preserve">] </w:t>
      </w:r>
      <w:r w:rsidR="00B67B33" w:rsidRPr="00953C4C">
        <w:rPr>
          <w:sz w:val="16"/>
          <w:szCs w:val="16"/>
        </w:rPr>
        <w:t xml:space="preserve">Legal Desire, “How business documentation can reduce your liability risk,” Legal Desire, 06-Apr-2022. [Online]. Available: </w:t>
      </w:r>
      <w:hyperlink r:id="rId12" w:history="1">
        <w:r w:rsidR="00B67B33" w:rsidRPr="00953C4C">
          <w:rPr>
            <w:rStyle w:val="Hyperlink"/>
            <w:sz w:val="16"/>
            <w:szCs w:val="16"/>
          </w:rPr>
          <w:t>https://legaldesire.com/how-business-documentation-can-reduce-your-liability-risk/</w:t>
        </w:r>
      </w:hyperlink>
      <w:r w:rsidR="00B67B33" w:rsidRPr="00953C4C">
        <w:rPr>
          <w:sz w:val="16"/>
          <w:szCs w:val="16"/>
        </w:rPr>
        <w:t>. [Accessed: 08-Dec-2022].</w:t>
      </w:r>
    </w:p>
    <w:p w14:paraId="71A43F4E" w14:textId="08E97104" w:rsidR="00532789" w:rsidRPr="00953C4C" w:rsidRDefault="00532789" w:rsidP="009E7897">
      <w:pPr>
        <w:pStyle w:val="IEEE-Caption"/>
        <w:jc w:val="left"/>
        <w:rPr>
          <w:sz w:val="16"/>
          <w:szCs w:val="16"/>
        </w:rPr>
      </w:pPr>
      <w:r w:rsidRPr="00953C4C">
        <w:rPr>
          <w:sz w:val="16"/>
          <w:szCs w:val="16"/>
        </w:rPr>
        <w:t>[1</w:t>
      </w:r>
      <w:r w:rsidR="0035558C">
        <w:rPr>
          <w:sz w:val="16"/>
          <w:szCs w:val="16"/>
        </w:rPr>
        <w:t>1</w:t>
      </w:r>
      <w:r w:rsidRPr="00953C4C">
        <w:rPr>
          <w:sz w:val="16"/>
          <w:szCs w:val="16"/>
        </w:rPr>
        <w:t>]</w:t>
      </w:r>
      <w:r w:rsidR="00485E89" w:rsidRPr="00953C4C">
        <w:rPr>
          <w:sz w:val="16"/>
          <w:szCs w:val="16"/>
        </w:rPr>
        <w:t xml:space="preserve"> </w:t>
      </w:r>
      <w:r w:rsidR="00B67B33" w:rsidRPr="00953C4C">
        <w:rPr>
          <w:i/>
          <w:iCs/>
          <w:sz w:val="16"/>
          <w:szCs w:val="16"/>
        </w:rPr>
        <w:t xml:space="preserve">“What is regulatory </w:t>
      </w:r>
      <w:proofErr w:type="gramStart"/>
      <w:r w:rsidR="00B67B33" w:rsidRPr="00953C4C">
        <w:rPr>
          <w:i/>
          <w:iCs/>
          <w:sz w:val="16"/>
          <w:szCs w:val="16"/>
        </w:rPr>
        <w:t>compliance?,</w:t>
      </w:r>
      <w:proofErr w:type="gramEnd"/>
      <w:r w:rsidR="00B67B33" w:rsidRPr="00953C4C">
        <w:rPr>
          <w:i/>
          <w:iCs/>
          <w:sz w:val="16"/>
          <w:szCs w:val="16"/>
        </w:rPr>
        <w:t>”</w:t>
      </w:r>
      <w:r w:rsidR="00B67B33" w:rsidRPr="00953C4C">
        <w:rPr>
          <w:sz w:val="16"/>
          <w:szCs w:val="16"/>
        </w:rPr>
        <w:t xml:space="preserve"> Veriphy Compliance + AML, 2021. [Online]. Available: </w:t>
      </w:r>
      <w:hyperlink r:id="rId13" w:history="1">
        <w:r w:rsidR="00B67B33" w:rsidRPr="00953C4C">
          <w:rPr>
            <w:rStyle w:val="Hyperlink"/>
            <w:sz w:val="16"/>
            <w:szCs w:val="16"/>
          </w:rPr>
          <w:t>https://veriphy.com/what-is-regulatory-compliance/</w:t>
        </w:r>
      </w:hyperlink>
      <w:r w:rsidR="00B67B33" w:rsidRPr="00953C4C">
        <w:rPr>
          <w:sz w:val="16"/>
          <w:szCs w:val="16"/>
        </w:rPr>
        <w:t>. [Accessed: 08-Dec-2022].</w:t>
      </w:r>
    </w:p>
    <w:p w14:paraId="17D05892" w14:textId="10963F08" w:rsidR="00852FA2" w:rsidRPr="00953C4C" w:rsidRDefault="00974D75" w:rsidP="009E7897">
      <w:pPr>
        <w:pStyle w:val="IEEE-Caption"/>
        <w:jc w:val="left"/>
        <w:rPr>
          <w:sz w:val="16"/>
          <w:szCs w:val="16"/>
        </w:rPr>
      </w:pPr>
      <w:r w:rsidRPr="00953C4C">
        <w:rPr>
          <w:sz w:val="16"/>
          <w:szCs w:val="16"/>
        </w:rPr>
        <w:t>[1</w:t>
      </w:r>
      <w:r w:rsidR="0035558C">
        <w:rPr>
          <w:sz w:val="16"/>
          <w:szCs w:val="16"/>
        </w:rPr>
        <w:t>2</w:t>
      </w:r>
      <w:r w:rsidRPr="00953C4C">
        <w:rPr>
          <w:sz w:val="16"/>
          <w:szCs w:val="16"/>
        </w:rPr>
        <w:t xml:space="preserve">] </w:t>
      </w:r>
      <w:r w:rsidR="00852FA2" w:rsidRPr="00953C4C">
        <w:rPr>
          <w:sz w:val="16"/>
          <w:szCs w:val="16"/>
        </w:rPr>
        <w:t xml:space="preserve">C. Hodges, G. Russell, H. Kirkman, R. </w:t>
      </w:r>
      <w:proofErr w:type="spellStart"/>
      <w:r w:rsidR="00852FA2" w:rsidRPr="00953C4C">
        <w:rPr>
          <w:sz w:val="16"/>
          <w:szCs w:val="16"/>
        </w:rPr>
        <w:t>Steinholtz</w:t>
      </w:r>
      <w:proofErr w:type="spellEnd"/>
      <w:r w:rsidR="00852FA2" w:rsidRPr="00953C4C">
        <w:rPr>
          <w:sz w:val="16"/>
          <w:szCs w:val="16"/>
        </w:rPr>
        <w:t xml:space="preserve">, and R. Thomas, “ETHICS IN BUSINESS PRACTICE AND REGULATION,” Russell Sage Foundation, 2002. [Online]. Available: </w:t>
      </w:r>
      <w:hyperlink r:id="rId14" w:history="1">
        <w:r w:rsidR="00852FA2" w:rsidRPr="00953C4C">
          <w:rPr>
            <w:rStyle w:val="Hyperlink"/>
            <w:sz w:val="16"/>
            <w:szCs w:val="16"/>
          </w:rPr>
          <w:t>https://assets.publishing.service.gov.uk/government/uploads/system/uploads/attachment_data/file/550542/Prof_Christopher_Hodges_-_Ethics_for_regulators.pdf</w:t>
        </w:r>
      </w:hyperlink>
      <w:r w:rsidR="00852FA2" w:rsidRPr="00953C4C">
        <w:rPr>
          <w:sz w:val="16"/>
          <w:szCs w:val="16"/>
        </w:rPr>
        <w:t>. [Accessed: 09-Dec-2022].</w:t>
      </w:r>
    </w:p>
    <w:p w14:paraId="3CF65651" w14:textId="72818960" w:rsidR="00974D75" w:rsidRPr="00953C4C" w:rsidRDefault="00852FA2" w:rsidP="009E7897">
      <w:pPr>
        <w:pStyle w:val="IEEE-Caption"/>
        <w:jc w:val="left"/>
        <w:rPr>
          <w:sz w:val="16"/>
          <w:szCs w:val="16"/>
        </w:rPr>
      </w:pPr>
      <w:r w:rsidRPr="00953C4C">
        <w:rPr>
          <w:sz w:val="16"/>
          <w:szCs w:val="16"/>
        </w:rPr>
        <w:t>[1</w:t>
      </w:r>
      <w:r w:rsidR="0035558C">
        <w:rPr>
          <w:sz w:val="16"/>
          <w:szCs w:val="16"/>
        </w:rPr>
        <w:t>3</w:t>
      </w:r>
      <w:r w:rsidRPr="00953C4C">
        <w:rPr>
          <w:sz w:val="16"/>
          <w:szCs w:val="16"/>
        </w:rPr>
        <w:t xml:space="preserve">] ‌ “5 consequences of failing to comply with legislation,” Xenon Management, Training and Recruitment Ltd., 2021. [Online]. Available: </w:t>
      </w:r>
      <w:hyperlink r:id="rId15" w:history="1">
        <w:r w:rsidRPr="00953C4C">
          <w:rPr>
            <w:rStyle w:val="Hyperlink"/>
            <w:sz w:val="16"/>
            <w:szCs w:val="16"/>
          </w:rPr>
          <w:t>https://www.xenongroup.co.uk/knowledge-centre/legislation/5-consequences-of-failing-to-comply-with-legislation</w:t>
        </w:r>
      </w:hyperlink>
      <w:r w:rsidRPr="00953C4C">
        <w:rPr>
          <w:sz w:val="16"/>
          <w:szCs w:val="16"/>
        </w:rPr>
        <w:t>. [Accessed: 08-Dec-2022].</w:t>
      </w:r>
    </w:p>
    <w:p w14:paraId="38CC4772" w14:textId="4315F577" w:rsidR="00852FA2" w:rsidRPr="00953C4C" w:rsidRDefault="00852FA2" w:rsidP="009E7897">
      <w:pPr>
        <w:pStyle w:val="IEEE-Caption"/>
        <w:jc w:val="left"/>
        <w:rPr>
          <w:sz w:val="16"/>
          <w:szCs w:val="16"/>
        </w:rPr>
      </w:pPr>
      <w:r w:rsidRPr="00953C4C">
        <w:rPr>
          <w:sz w:val="16"/>
          <w:szCs w:val="16"/>
        </w:rPr>
        <w:t>[1</w:t>
      </w:r>
      <w:r w:rsidR="0035558C">
        <w:rPr>
          <w:sz w:val="16"/>
          <w:szCs w:val="16"/>
        </w:rPr>
        <w:t>4</w:t>
      </w:r>
      <w:r w:rsidRPr="00953C4C">
        <w:rPr>
          <w:sz w:val="16"/>
          <w:szCs w:val="16"/>
        </w:rPr>
        <w:t xml:space="preserve">] </w:t>
      </w:r>
      <w:r w:rsidR="00370DD2" w:rsidRPr="00953C4C">
        <w:rPr>
          <w:sz w:val="16"/>
          <w:szCs w:val="16"/>
        </w:rPr>
        <w:t xml:space="preserve">S. Bruce, “Internal Audit: Three lines of defence model explained,” icas.com, 06-Nov-2017. [Online]. Available: </w:t>
      </w:r>
      <w:hyperlink r:id="rId16" w:history="1">
        <w:r w:rsidR="00370DD2" w:rsidRPr="00953C4C">
          <w:rPr>
            <w:rStyle w:val="Hyperlink"/>
            <w:sz w:val="16"/>
            <w:szCs w:val="16"/>
          </w:rPr>
          <w:t>https://www.icas.com/professional-resources/audit-and-assurance/internal-audit/internal-audit-three-lines-of-defence-model-explained</w:t>
        </w:r>
      </w:hyperlink>
      <w:r w:rsidR="00370DD2" w:rsidRPr="00953C4C">
        <w:rPr>
          <w:sz w:val="16"/>
          <w:szCs w:val="16"/>
        </w:rPr>
        <w:t>. [Accessed: 08-Dec-2022].</w:t>
      </w:r>
    </w:p>
    <w:p w14:paraId="481B62FE" w14:textId="2F2E0125" w:rsidR="00370DD2" w:rsidRPr="00953C4C" w:rsidRDefault="00370DD2" w:rsidP="009E7897">
      <w:pPr>
        <w:pStyle w:val="IEEE-Caption"/>
        <w:jc w:val="left"/>
        <w:rPr>
          <w:sz w:val="16"/>
          <w:szCs w:val="16"/>
        </w:rPr>
      </w:pPr>
      <w:r w:rsidRPr="00953C4C">
        <w:rPr>
          <w:sz w:val="16"/>
          <w:szCs w:val="16"/>
        </w:rPr>
        <w:t>[1</w:t>
      </w:r>
      <w:r w:rsidR="0035558C">
        <w:rPr>
          <w:sz w:val="16"/>
          <w:szCs w:val="16"/>
        </w:rPr>
        <w:t>5</w:t>
      </w:r>
      <w:r w:rsidRPr="00953C4C">
        <w:rPr>
          <w:sz w:val="16"/>
          <w:szCs w:val="16"/>
        </w:rPr>
        <w:t xml:space="preserve">] </w:t>
      </w:r>
      <w:r w:rsidR="00DC3448" w:rsidRPr="00953C4C">
        <w:rPr>
          <w:sz w:val="16"/>
          <w:szCs w:val="16"/>
        </w:rPr>
        <w:t xml:space="preserve">Security Scorecard, “What is it risk management? A complete guide,” </w:t>
      </w:r>
      <w:proofErr w:type="spellStart"/>
      <w:r w:rsidR="00DC3448" w:rsidRPr="00953C4C">
        <w:rPr>
          <w:sz w:val="16"/>
          <w:szCs w:val="16"/>
        </w:rPr>
        <w:t>SecurityScorecard</w:t>
      </w:r>
      <w:proofErr w:type="spellEnd"/>
      <w:r w:rsidR="00DC3448" w:rsidRPr="00953C4C">
        <w:rPr>
          <w:sz w:val="16"/>
          <w:szCs w:val="16"/>
        </w:rPr>
        <w:t xml:space="preserve">, 19-Dec-2019. [Online]. Available: </w:t>
      </w:r>
      <w:hyperlink r:id="rId17" w:history="1">
        <w:r w:rsidR="00DC3448" w:rsidRPr="00953C4C">
          <w:rPr>
            <w:rStyle w:val="Hyperlink"/>
            <w:sz w:val="16"/>
            <w:szCs w:val="16"/>
          </w:rPr>
          <w:t>https://securityscorecard.com/blog/what-is-information-risk-management</w:t>
        </w:r>
      </w:hyperlink>
      <w:r w:rsidR="00DC3448" w:rsidRPr="00953C4C">
        <w:rPr>
          <w:sz w:val="16"/>
          <w:szCs w:val="16"/>
        </w:rPr>
        <w:t>. [Accessed: 08-Dec-2022].</w:t>
      </w:r>
    </w:p>
    <w:p w14:paraId="62BA6B87" w14:textId="6B1367AC" w:rsidR="00DC2D5D" w:rsidRPr="00953C4C" w:rsidRDefault="00DC3448" w:rsidP="00F12CE7">
      <w:pPr>
        <w:pStyle w:val="IEEE-Caption"/>
        <w:jc w:val="left"/>
        <w:rPr>
          <w:sz w:val="16"/>
          <w:szCs w:val="16"/>
        </w:rPr>
      </w:pPr>
      <w:r w:rsidRPr="00953C4C">
        <w:rPr>
          <w:sz w:val="16"/>
          <w:szCs w:val="16"/>
        </w:rPr>
        <w:t>[1</w:t>
      </w:r>
      <w:r w:rsidR="0035558C">
        <w:rPr>
          <w:sz w:val="16"/>
          <w:szCs w:val="16"/>
        </w:rPr>
        <w:t>6</w:t>
      </w:r>
      <w:r w:rsidRPr="00953C4C">
        <w:rPr>
          <w:sz w:val="16"/>
          <w:szCs w:val="16"/>
        </w:rPr>
        <w:t>]</w:t>
      </w:r>
      <w:r w:rsidR="00F12CE7" w:rsidRPr="00953C4C">
        <w:rPr>
          <w:sz w:val="16"/>
          <w:szCs w:val="16"/>
        </w:rPr>
        <w:t xml:space="preserve"> R. Morgan, </w:t>
      </w:r>
      <w:r w:rsidR="00F12CE7" w:rsidRPr="00953C4C">
        <w:rPr>
          <w:i/>
          <w:iCs/>
          <w:sz w:val="16"/>
          <w:szCs w:val="16"/>
        </w:rPr>
        <w:t xml:space="preserve">“Information security risk management V1 - </w:t>
      </w:r>
      <w:proofErr w:type="spellStart"/>
      <w:r w:rsidR="00F12CE7" w:rsidRPr="00953C4C">
        <w:rPr>
          <w:i/>
          <w:iCs/>
          <w:sz w:val="16"/>
          <w:szCs w:val="16"/>
        </w:rPr>
        <w:t>ofcom</w:t>
      </w:r>
      <w:proofErr w:type="spellEnd"/>
      <w:r w:rsidR="00F12CE7" w:rsidRPr="00953C4C">
        <w:rPr>
          <w:i/>
          <w:iCs/>
          <w:sz w:val="16"/>
          <w:szCs w:val="16"/>
        </w:rPr>
        <w:t>,”</w:t>
      </w:r>
      <w:r w:rsidR="00F12CE7" w:rsidRPr="00953C4C">
        <w:rPr>
          <w:sz w:val="16"/>
          <w:szCs w:val="16"/>
        </w:rPr>
        <w:t xml:space="preserve"> Jun-2019. [Online]. Available: </w:t>
      </w:r>
      <w:hyperlink r:id="rId18" w:history="1">
        <w:r w:rsidR="00F12CE7" w:rsidRPr="00953C4C">
          <w:rPr>
            <w:rStyle w:val="Hyperlink"/>
            <w:sz w:val="16"/>
            <w:szCs w:val="16"/>
          </w:rPr>
          <w:t>https://www.ofcom.org.uk/__data/assets/pdf_file/0031/192793/information-security-risk-management.pdf</w:t>
        </w:r>
      </w:hyperlink>
      <w:r w:rsidR="00F12CE7" w:rsidRPr="00953C4C">
        <w:rPr>
          <w:sz w:val="16"/>
          <w:szCs w:val="16"/>
        </w:rPr>
        <w:t>. [Accessed: 08-Dec-2022].</w:t>
      </w:r>
    </w:p>
    <w:p w14:paraId="18144B82" w14:textId="76D40B19" w:rsidR="002A1221" w:rsidRDefault="002A1221" w:rsidP="00F12CE7">
      <w:pPr>
        <w:pStyle w:val="IEEE-Caption"/>
        <w:jc w:val="left"/>
        <w:rPr>
          <w:sz w:val="16"/>
          <w:szCs w:val="16"/>
        </w:rPr>
      </w:pPr>
      <w:r>
        <w:rPr>
          <w:sz w:val="16"/>
          <w:szCs w:val="16"/>
        </w:rPr>
        <w:t>[1</w:t>
      </w:r>
      <w:r w:rsidR="0035558C">
        <w:rPr>
          <w:sz w:val="16"/>
          <w:szCs w:val="16"/>
        </w:rPr>
        <w:t>7</w:t>
      </w:r>
      <w:r>
        <w:rPr>
          <w:sz w:val="16"/>
          <w:szCs w:val="16"/>
        </w:rPr>
        <w:t xml:space="preserve">] </w:t>
      </w:r>
      <w:r w:rsidRPr="002A1221">
        <w:rPr>
          <w:sz w:val="16"/>
          <w:szCs w:val="16"/>
        </w:rPr>
        <w:t xml:space="preserve">Expert Participation, “Data protection act 2018,” Legislation.gov.uk. [Online]. Available: </w:t>
      </w:r>
      <w:hyperlink r:id="rId19" w:history="1">
        <w:r w:rsidRPr="00AA30DB">
          <w:rPr>
            <w:rStyle w:val="Hyperlink"/>
            <w:sz w:val="16"/>
            <w:szCs w:val="16"/>
          </w:rPr>
          <w:t>https://www.legislation.gov.uk/ukpga/2018</w:t>
        </w:r>
        <w:r w:rsidRPr="00AA30DB">
          <w:rPr>
            <w:rStyle w:val="Hyperlink"/>
            <w:sz w:val="16"/>
            <w:szCs w:val="16"/>
          </w:rPr>
          <w:t>/</w:t>
        </w:r>
        <w:r w:rsidRPr="00AA30DB">
          <w:rPr>
            <w:rStyle w:val="Hyperlink"/>
            <w:sz w:val="16"/>
            <w:szCs w:val="16"/>
          </w:rPr>
          <w:t>12/contents</w:t>
        </w:r>
      </w:hyperlink>
      <w:r w:rsidRPr="002A1221">
        <w:rPr>
          <w:sz w:val="16"/>
          <w:szCs w:val="16"/>
        </w:rPr>
        <w:t>.</w:t>
      </w:r>
      <w:r>
        <w:rPr>
          <w:sz w:val="16"/>
          <w:szCs w:val="16"/>
        </w:rPr>
        <w:t xml:space="preserve"> </w:t>
      </w:r>
      <w:r w:rsidRPr="002A1221">
        <w:rPr>
          <w:sz w:val="16"/>
          <w:szCs w:val="16"/>
        </w:rPr>
        <w:t>[Accessed: 11-Dec-2022].</w:t>
      </w:r>
    </w:p>
    <w:p w14:paraId="6F77EC19" w14:textId="77290A9C" w:rsidR="00F12CE7" w:rsidRDefault="00F12CE7" w:rsidP="00F12CE7">
      <w:pPr>
        <w:pStyle w:val="IEEE-Caption"/>
        <w:jc w:val="left"/>
        <w:rPr>
          <w:sz w:val="16"/>
          <w:szCs w:val="16"/>
        </w:rPr>
      </w:pPr>
      <w:r w:rsidRPr="00953C4C">
        <w:rPr>
          <w:sz w:val="16"/>
          <w:szCs w:val="16"/>
        </w:rPr>
        <w:t>[1</w:t>
      </w:r>
      <w:r w:rsidR="0035558C">
        <w:rPr>
          <w:sz w:val="16"/>
          <w:szCs w:val="16"/>
        </w:rPr>
        <w:t>8</w:t>
      </w:r>
      <w:r w:rsidRPr="00953C4C">
        <w:rPr>
          <w:sz w:val="16"/>
          <w:szCs w:val="16"/>
        </w:rPr>
        <w:t xml:space="preserve">] </w:t>
      </w:r>
      <w:proofErr w:type="spellStart"/>
      <w:r w:rsidR="002A1221" w:rsidRPr="002A1221">
        <w:rPr>
          <w:sz w:val="16"/>
          <w:szCs w:val="16"/>
        </w:rPr>
        <w:t>Governement</w:t>
      </w:r>
      <w:proofErr w:type="spellEnd"/>
      <w:r w:rsidR="002A1221" w:rsidRPr="002A1221">
        <w:rPr>
          <w:sz w:val="16"/>
          <w:szCs w:val="16"/>
        </w:rPr>
        <w:t xml:space="preserve"> Digital Service, “Data protection,” GOV.UK, 16-Sep-2015. [Online]. Available: </w:t>
      </w:r>
      <w:hyperlink r:id="rId20" w:history="1">
        <w:r w:rsidR="002A1221" w:rsidRPr="00AA30DB">
          <w:rPr>
            <w:rStyle w:val="Hyperlink"/>
            <w:sz w:val="16"/>
            <w:szCs w:val="16"/>
          </w:rPr>
          <w:t>https://ww</w:t>
        </w:r>
        <w:r w:rsidR="002A1221" w:rsidRPr="00AA30DB">
          <w:rPr>
            <w:rStyle w:val="Hyperlink"/>
            <w:sz w:val="16"/>
            <w:szCs w:val="16"/>
          </w:rPr>
          <w:t>w</w:t>
        </w:r>
        <w:r w:rsidR="002A1221" w:rsidRPr="00AA30DB">
          <w:rPr>
            <w:rStyle w:val="Hyperlink"/>
            <w:sz w:val="16"/>
            <w:szCs w:val="16"/>
          </w:rPr>
          <w:t>.gov.uk/data-protection</w:t>
        </w:r>
      </w:hyperlink>
      <w:r w:rsidR="002A1221" w:rsidRPr="002A1221">
        <w:rPr>
          <w:sz w:val="16"/>
          <w:szCs w:val="16"/>
        </w:rPr>
        <w:t>.</w:t>
      </w:r>
      <w:r w:rsidR="002A1221">
        <w:rPr>
          <w:sz w:val="16"/>
          <w:szCs w:val="16"/>
        </w:rPr>
        <w:t xml:space="preserve"> </w:t>
      </w:r>
      <w:r w:rsidR="002A1221" w:rsidRPr="002A1221">
        <w:rPr>
          <w:sz w:val="16"/>
          <w:szCs w:val="16"/>
        </w:rPr>
        <w:t>[Accessed: 11-Dec-2022].</w:t>
      </w:r>
    </w:p>
    <w:p w14:paraId="5E316CC6" w14:textId="2E34C93A" w:rsidR="00AC019B" w:rsidRDefault="00AC019B" w:rsidP="00F12CE7">
      <w:pPr>
        <w:pStyle w:val="IEEE-Caption"/>
        <w:jc w:val="left"/>
        <w:rPr>
          <w:sz w:val="16"/>
          <w:szCs w:val="16"/>
        </w:rPr>
      </w:pPr>
      <w:r>
        <w:rPr>
          <w:sz w:val="16"/>
          <w:szCs w:val="16"/>
        </w:rPr>
        <w:t>[1</w:t>
      </w:r>
      <w:r w:rsidR="0035558C">
        <w:rPr>
          <w:sz w:val="16"/>
          <w:szCs w:val="16"/>
        </w:rPr>
        <w:t>9</w:t>
      </w:r>
      <w:r>
        <w:rPr>
          <w:sz w:val="16"/>
          <w:szCs w:val="16"/>
        </w:rPr>
        <w:t xml:space="preserve">] </w:t>
      </w:r>
      <w:r w:rsidRPr="00AC019B">
        <w:rPr>
          <w:sz w:val="16"/>
          <w:szCs w:val="16"/>
        </w:rPr>
        <w:t xml:space="preserve">J. </w:t>
      </w:r>
      <w:proofErr w:type="spellStart"/>
      <w:r w:rsidRPr="00AC019B">
        <w:rPr>
          <w:sz w:val="16"/>
          <w:szCs w:val="16"/>
        </w:rPr>
        <w:t>Holmadahl</w:t>
      </w:r>
      <w:proofErr w:type="spellEnd"/>
      <w:r w:rsidRPr="00AC019B">
        <w:rPr>
          <w:sz w:val="16"/>
          <w:szCs w:val="16"/>
        </w:rPr>
        <w:t xml:space="preserve">, “Keeping pace with the changing regulatory landscape: UK and EU updates,” </w:t>
      </w:r>
      <w:proofErr w:type="spellStart"/>
      <w:r w:rsidRPr="00AC019B">
        <w:rPr>
          <w:sz w:val="16"/>
          <w:szCs w:val="16"/>
        </w:rPr>
        <w:t>OneTrust</w:t>
      </w:r>
      <w:proofErr w:type="spellEnd"/>
      <w:r w:rsidRPr="00AC019B">
        <w:rPr>
          <w:sz w:val="16"/>
          <w:szCs w:val="16"/>
        </w:rPr>
        <w:t xml:space="preserve">, 01-Dec-2022. [Online]. Available: </w:t>
      </w:r>
      <w:hyperlink r:id="rId21" w:history="1">
        <w:r w:rsidRPr="00AA30DB">
          <w:rPr>
            <w:rStyle w:val="Hyperlink"/>
            <w:sz w:val="16"/>
            <w:szCs w:val="16"/>
          </w:rPr>
          <w:t>https://www.onetrust.com/resources/regulatory-landscape-uk-and-eu-updates-webinar/</w:t>
        </w:r>
      </w:hyperlink>
      <w:r w:rsidRPr="00AC019B">
        <w:rPr>
          <w:sz w:val="16"/>
          <w:szCs w:val="16"/>
        </w:rPr>
        <w:t>.</w:t>
      </w:r>
      <w:r>
        <w:rPr>
          <w:sz w:val="16"/>
          <w:szCs w:val="16"/>
        </w:rPr>
        <w:t xml:space="preserve"> </w:t>
      </w:r>
      <w:r w:rsidRPr="00AC019B">
        <w:rPr>
          <w:sz w:val="16"/>
          <w:szCs w:val="16"/>
        </w:rPr>
        <w:t>[Accessed: 11-Dec-2022].</w:t>
      </w:r>
    </w:p>
    <w:p w14:paraId="36B5D9D9" w14:textId="5DF7CF05" w:rsidR="002A1221" w:rsidRDefault="00AE3535" w:rsidP="00F12CE7">
      <w:pPr>
        <w:pStyle w:val="IEEE-Caption"/>
        <w:jc w:val="left"/>
        <w:rPr>
          <w:sz w:val="16"/>
          <w:szCs w:val="16"/>
        </w:rPr>
      </w:pPr>
      <w:r>
        <w:rPr>
          <w:sz w:val="16"/>
          <w:szCs w:val="16"/>
        </w:rPr>
        <w:t>[</w:t>
      </w:r>
      <w:r w:rsidR="0035558C">
        <w:rPr>
          <w:sz w:val="16"/>
          <w:szCs w:val="16"/>
        </w:rPr>
        <w:t>20</w:t>
      </w:r>
      <w:r>
        <w:rPr>
          <w:sz w:val="16"/>
          <w:szCs w:val="16"/>
        </w:rPr>
        <w:t xml:space="preserve">] </w:t>
      </w:r>
      <w:r w:rsidRPr="00AE3535">
        <w:rPr>
          <w:sz w:val="16"/>
          <w:szCs w:val="16"/>
        </w:rPr>
        <w:t xml:space="preserve">“GDPR fines,” IT Governance. [Online]. Available: </w:t>
      </w:r>
      <w:hyperlink r:id="rId22" w:history="1">
        <w:r w:rsidRPr="00AA30DB">
          <w:rPr>
            <w:rStyle w:val="Hyperlink"/>
            <w:sz w:val="16"/>
            <w:szCs w:val="16"/>
          </w:rPr>
          <w:t>https://www.itgovernance.co.uk/dpa-and-gdpr-penalties</w:t>
        </w:r>
      </w:hyperlink>
      <w:r w:rsidRPr="00AE3535">
        <w:rPr>
          <w:sz w:val="16"/>
          <w:szCs w:val="16"/>
        </w:rPr>
        <w:t>.</w:t>
      </w:r>
      <w:r>
        <w:rPr>
          <w:sz w:val="16"/>
          <w:szCs w:val="16"/>
        </w:rPr>
        <w:t xml:space="preserve"> </w:t>
      </w:r>
      <w:r w:rsidRPr="00AE3535">
        <w:rPr>
          <w:sz w:val="16"/>
          <w:szCs w:val="16"/>
        </w:rPr>
        <w:t>[Accessed: 11-Dec-2022].</w:t>
      </w:r>
    </w:p>
    <w:p w14:paraId="41F53591" w14:textId="22EE7B26" w:rsidR="008E1A03" w:rsidRDefault="008E1A03" w:rsidP="00F12CE7">
      <w:pPr>
        <w:pStyle w:val="IEEE-Caption"/>
        <w:jc w:val="left"/>
        <w:rPr>
          <w:sz w:val="16"/>
          <w:szCs w:val="16"/>
        </w:rPr>
      </w:pPr>
      <w:r>
        <w:rPr>
          <w:sz w:val="16"/>
          <w:szCs w:val="16"/>
        </w:rPr>
        <w:t>[2</w:t>
      </w:r>
      <w:r w:rsidR="0035558C">
        <w:rPr>
          <w:sz w:val="16"/>
          <w:szCs w:val="16"/>
        </w:rPr>
        <w:t>1</w:t>
      </w:r>
      <w:r>
        <w:rPr>
          <w:sz w:val="16"/>
          <w:szCs w:val="16"/>
        </w:rPr>
        <w:t xml:space="preserve">] </w:t>
      </w:r>
      <w:r w:rsidRPr="008E1A03">
        <w:rPr>
          <w:sz w:val="16"/>
          <w:szCs w:val="16"/>
        </w:rPr>
        <w:t xml:space="preserve">ICO, “Exemptions,” ICO. [Online]. Available: </w:t>
      </w:r>
      <w:hyperlink r:id="rId23" w:history="1">
        <w:r w:rsidRPr="00AA30DB">
          <w:rPr>
            <w:rStyle w:val="Hyperlink"/>
            <w:sz w:val="16"/>
            <w:szCs w:val="16"/>
          </w:rPr>
          <w:t>https://ico.org.uk/for-organisations/guide-to-data-protection/guide-to-the-general-data-protection-regulation-gdpr/exemptions/</w:t>
        </w:r>
      </w:hyperlink>
      <w:r w:rsidRPr="008E1A03">
        <w:rPr>
          <w:sz w:val="16"/>
          <w:szCs w:val="16"/>
        </w:rPr>
        <w:t>.</w:t>
      </w:r>
      <w:r>
        <w:rPr>
          <w:sz w:val="16"/>
          <w:szCs w:val="16"/>
        </w:rPr>
        <w:t xml:space="preserve"> </w:t>
      </w:r>
      <w:r w:rsidRPr="008E1A03">
        <w:rPr>
          <w:sz w:val="16"/>
          <w:szCs w:val="16"/>
        </w:rPr>
        <w:t>[Accessed: 11-Dec-2022].</w:t>
      </w:r>
    </w:p>
    <w:p w14:paraId="2FCC2929" w14:textId="7349EC5B" w:rsidR="008E1A03" w:rsidRPr="00953C4C" w:rsidRDefault="008E1A03" w:rsidP="00F12CE7">
      <w:pPr>
        <w:pStyle w:val="IEEE-Caption"/>
        <w:jc w:val="left"/>
        <w:rPr>
          <w:sz w:val="16"/>
          <w:szCs w:val="16"/>
        </w:rPr>
      </w:pPr>
      <w:r>
        <w:rPr>
          <w:sz w:val="16"/>
          <w:szCs w:val="16"/>
        </w:rPr>
        <w:t>[2</w:t>
      </w:r>
      <w:r w:rsidR="0035558C">
        <w:rPr>
          <w:sz w:val="16"/>
          <w:szCs w:val="16"/>
        </w:rPr>
        <w:t>2</w:t>
      </w:r>
      <w:r>
        <w:rPr>
          <w:sz w:val="16"/>
          <w:szCs w:val="16"/>
        </w:rPr>
        <w:t xml:space="preserve">] </w:t>
      </w:r>
      <w:r w:rsidRPr="008E1A03">
        <w:rPr>
          <w:sz w:val="16"/>
          <w:szCs w:val="16"/>
        </w:rPr>
        <w:t xml:space="preserve">“Changes to UK Data Protection Laws: Key Headlines,” Dentons. [Online]. Available: </w:t>
      </w:r>
      <w:hyperlink r:id="rId24" w:history="1">
        <w:r w:rsidRPr="00AA30DB">
          <w:rPr>
            <w:rStyle w:val="Hyperlink"/>
            <w:sz w:val="16"/>
            <w:szCs w:val="16"/>
          </w:rPr>
          <w:t>https://www.dentons.com/en/insights/articles/2022/june/22/changes-to-uk-data-protection-laws-key-headlines</w:t>
        </w:r>
      </w:hyperlink>
      <w:r w:rsidRPr="008E1A03">
        <w:rPr>
          <w:sz w:val="16"/>
          <w:szCs w:val="16"/>
        </w:rPr>
        <w:t>.</w:t>
      </w:r>
      <w:r>
        <w:rPr>
          <w:sz w:val="16"/>
          <w:szCs w:val="16"/>
        </w:rPr>
        <w:t xml:space="preserve"> </w:t>
      </w:r>
      <w:r w:rsidRPr="008E1A03">
        <w:rPr>
          <w:sz w:val="16"/>
          <w:szCs w:val="16"/>
        </w:rPr>
        <w:t>[Accessed: 11-Dec-2022].</w:t>
      </w:r>
    </w:p>
    <w:sectPr w:rsidR="008E1A03" w:rsidRPr="00953C4C" w:rsidSect="00DD068B">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579E2"/>
    <w:multiLevelType w:val="hybridMultilevel"/>
    <w:tmpl w:val="BF721E68"/>
    <w:lvl w:ilvl="0" w:tplc="6BAAE42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100186"/>
    <w:multiLevelType w:val="hybridMultilevel"/>
    <w:tmpl w:val="1C9CEAFA"/>
    <w:lvl w:ilvl="0" w:tplc="0809000F">
      <w:start w:val="1"/>
      <w:numFmt w:val="decimal"/>
      <w:lvlText w:val="%1."/>
      <w:lvlJc w:val="left"/>
      <w:pPr>
        <w:ind w:left="958" w:hanging="360"/>
      </w:pPr>
    </w:lvl>
    <w:lvl w:ilvl="1" w:tplc="08090019" w:tentative="1">
      <w:start w:val="1"/>
      <w:numFmt w:val="lowerLetter"/>
      <w:lvlText w:val="%2."/>
      <w:lvlJc w:val="left"/>
      <w:pPr>
        <w:ind w:left="1678" w:hanging="360"/>
      </w:pPr>
    </w:lvl>
    <w:lvl w:ilvl="2" w:tplc="0809001B" w:tentative="1">
      <w:start w:val="1"/>
      <w:numFmt w:val="lowerRoman"/>
      <w:lvlText w:val="%3."/>
      <w:lvlJc w:val="right"/>
      <w:pPr>
        <w:ind w:left="2398" w:hanging="180"/>
      </w:pPr>
    </w:lvl>
    <w:lvl w:ilvl="3" w:tplc="0809000F" w:tentative="1">
      <w:start w:val="1"/>
      <w:numFmt w:val="decimal"/>
      <w:lvlText w:val="%4."/>
      <w:lvlJc w:val="left"/>
      <w:pPr>
        <w:ind w:left="3118" w:hanging="360"/>
      </w:pPr>
    </w:lvl>
    <w:lvl w:ilvl="4" w:tplc="08090019" w:tentative="1">
      <w:start w:val="1"/>
      <w:numFmt w:val="lowerLetter"/>
      <w:lvlText w:val="%5."/>
      <w:lvlJc w:val="left"/>
      <w:pPr>
        <w:ind w:left="3838" w:hanging="360"/>
      </w:pPr>
    </w:lvl>
    <w:lvl w:ilvl="5" w:tplc="0809001B" w:tentative="1">
      <w:start w:val="1"/>
      <w:numFmt w:val="lowerRoman"/>
      <w:lvlText w:val="%6."/>
      <w:lvlJc w:val="right"/>
      <w:pPr>
        <w:ind w:left="4558" w:hanging="180"/>
      </w:pPr>
    </w:lvl>
    <w:lvl w:ilvl="6" w:tplc="0809000F" w:tentative="1">
      <w:start w:val="1"/>
      <w:numFmt w:val="decimal"/>
      <w:lvlText w:val="%7."/>
      <w:lvlJc w:val="left"/>
      <w:pPr>
        <w:ind w:left="5278" w:hanging="360"/>
      </w:pPr>
    </w:lvl>
    <w:lvl w:ilvl="7" w:tplc="08090019" w:tentative="1">
      <w:start w:val="1"/>
      <w:numFmt w:val="lowerLetter"/>
      <w:lvlText w:val="%8."/>
      <w:lvlJc w:val="left"/>
      <w:pPr>
        <w:ind w:left="5998" w:hanging="360"/>
      </w:pPr>
    </w:lvl>
    <w:lvl w:ilvl="8" w:tplc="0809001B" w:tentative="1">
      <w:start w:val="1"/>
      <w:numFmt w:val="lowerRoman"/>
      <w:lvlText w:val="%9."/>
      <w:lvlJc w:val="right"/>
      <w:pPr>
        <w:ind w:left="6718" w:hanging="180"/>
      </w:pPr>
    </w:lvl>
  </w:abstractNum>
  <w:abstractNum w:abstractNumId="2"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0A76973"/>
    <w:multiLevelType w:val="hybridMultilevel"/>
    <w:tmpl w:val="7F148AEA"/>
    <w:lvl w:ilvl="0" w:tplc="08090015">
      <w:start w:val="1"/>
      <w:numFmt w:val="upperLetter"/>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2B3405"/>
    <w:multiLevelType w:val="hybridMultilevel"/>
    <w:tmpl w:val="BF721E68"/>
    <w:lvl w:ilvl="0" w:tplc="FFFFFFFF">
      <w:start w:val="1"/>
      <w:numFmt w:val="upperRoman"/>
      <w:lvlText w:val="%1."/>
      <w:lvlJc w:val="left"/>
      <w:pPr>
        <w:ind w:left="1080" w:hanging="72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1C32907"/>
    <w:multiLevelType w:val="hybridMultilevel"/>
    <w:tmpl w:val="15BAFD8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9335515">
    <w:abstractNumId w:val="2"/>
  </w:num>
  <w:num w:numId="2" w16cid:durableId="777679426">
    <w:abstractNumId w:val="3"/>
  </w:num>
  <w:num w:numId="3" w16cid:durableId="724067594">
    <w:abstractNumId w:val="4"/>
  </w:num>
  <w:num w:numId="4" w16cid:durableId="16464083">
    <w:abstractNumId w:val="0"/>
  </w:num>
  <w:num w:numId="5" w16cid:durableId="1556039203">
    <w:abstractNumId w:val="5"/>
  </w:num>
  <w:num w:numId="6" w16cid:durableId="1345092329">
    <w:abstractNumId w:val="6"/>
  </w:num>
  <w:num w:numId="7" w16cid:durableId="6537999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D068B"/>
    <w:rsid w:val="00011928"/>
    <w:rsid w:val="00043885"/>
    <w:rsid w:val="00091347"/>
    <w:rsid w:val="000A77A4"/>
    <w:rsid w:val="001610E6"/>
    <w:rsid w:val="001C4AFE"/>
    <w:rsid w:val="001F2B23"/>
    <w:rsid w:val="002A1221"/>
    <w:rsid w:val="00302A02"/>
    <w:rsid w:val="0031065D"/>
    <w:rsid w:val="0035558C"/>
    <w:rsid w:val="00370DD2"/>
    <w:rsid w:val="00462FDB"/>
    <w:rsid w:val="00485E89"/>
    <w:rsid w:val="0049558C"/>
    <w:rsid w:val="004C0B33"/>
    <w:rsid w:val="004C2D86"/>
    <w:rsid w:val="005111D8"/>
    <w:rsid w:val="00532789"/>
    <w:rsid w:val="00574A9B"/>
    <w:rsid w:val="005C760E"/>
    <w:rsid w:val="006015AA"/>
    <w:rsid w:val="0062242B"/>
    <w:rsid w:val="006A24E4"/>
    <w:rsid w:val="006D31C2"/>
    <w:rsid w:val="006E2248"/>
    <w:rsid w:val="006E238A"/>
    <w:rsid w:val="0079014D"/>
    <w:rsid w:val="007B62FA"/>
    <w:rsid w:val="007E6B70"/>
    <w:rsid w:val="007F082B"/>
    <w:rsid w:val="00804F62"/>
    <w:rsid w:val="00815539"/>
    <w:rsid w:val="008211C7"/>
    <w:rsid w:val="00852FA2"/>
    <w:rsid w:val="00866C0B"/>
    <w:rsid w:val="00891232"/>
    <w:rsid w:val="008E1A03"/>
    <w:rsid w:val="0090213C"/>
    <w:rsid w:val="009112AC"/>
    <w:rsid w:val="00953C4C"/>
    <w:rsid w:val="00970FF8"/>
    <w:rsid w:val="00974D75"/>
    <w:rsid w:val="00996F40"/>
    <w:rsid w:val="009E7897"/>
    <w:rsid w:val="00A52B06"/>
    <w:rsid w:val="00A70E3F"/>
    <w:rsid w:val="00AC019B"/>
    <w:rsid w:val="00AE3535"/>
    <w:rsid w:val="00AF6563"/>
    <w:rsid w:val="00B308E6"/>
    <w:rsid w:val="00B67B33"/>
    <w:rsid w:val="00BB3219"/>
    <w:rsid w:val="00BB3339"/>
    <w:rsid w:val="00C24E14"/>
    <w:rsid w:val="00D10697"/>
    <w:rsid w:val="00D54BF0"/>
    <w:rsid w:val="00D86293"/>
    <w:rsid w:val="00DC2D5D"/>
    <w:rsid w:val="00DC3448"/>
    <w:rsid w:val="00DD068B"/>
    <w:rsid w:val="00DE70AA"/>
    <w:rsid w:val="00DF5C90"/>
    <w:rsid w:val="00E40476"/>
    <w:rsid w:val="00E96C3A"/>
    <w:rsid w:val="00EC64A1"/>
    <w:rsid w:val="00F12CE7"/>
    <w:rsid w:val="00F310F4"/>
    <w:rsid w:val="00F42B75"/>
    <w:rsid w:val="00FD5B7B"/>
    <w:rsid w:val="00FD7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docId w15:val="{79D02B69-2C3D-4745-A0B5-91C2B4646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styleId="NormalWeb">
    <w:name w:val="Normal (Web)"/>
    <w:basedOn w:val="Normal"/>
    <w:uiPriority w:val="99"/>
    <w:semiHidden/>
    <w:unhideWhenUsed/>
    <w:rsid w:val="007E6B70"/>
    <w:pPr>
      <w:spacing w:before="100" w:beforeAutospacing="1" w:after="100" w:afterAutospacing="1" w:line="240" w:lineRule="auto"/>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B67B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4572">
      <w:bodyDiv w:val="1"/>
      <w:marLeft w:val="0"/>
      <w:marRight w:val="0"/>
      <w:marTop w:val="0"/>
      <w:marBottom w:val="0"/>
      <w:divBdr>
        <w:top w:val="none" w:sz="0" w:space="0" w:color="auto"/>
        <w:left w:val="none" w:sz="0" w:space="0" w:color="auto"/>
        <w:bottom w:val="none" w:sz="0" w:space="0" w:color="auto"/>
        <w:right w:val="none" w:sz="0" w:space="0" w:color="auto"/>
      </w:divBdr>
    </w:div>
    <w:div w:id="394552253">
      <w:bodyDiv w:val="1"/>
      <w:marLeft w:val="0"/>
      <w:marRight w:val="0"/>
      <w:marTop w:val="0"/>
      <w:marBottom w:val="0"/>
      <w:divBdr>
        <w:top w:val="none" w:sz="0" w:space="0" w:color="auto"/>
        <w:left w:val="none" w:sz="0" w:space="0" w:color="auto"/>
        <w:bottom w:val="none" w:sz="0" w:space="0" w:color="auto"/>
        <w:right w:val="none" w:sz="0" w:space="0" w:color="auto"/>
      </w:divBdr>
    </w:div>
    <w:div w:id="593897627">
      <w:bodyDiv w:val="1"/>
      <w:marLeft w:val="0"/>
      <w:marRight w:val="0"/>
      <w:marTop w:val="0"/>
      <w:marBottom w:val="0"/>
      <w:divBdr>
        <w:top w:val="none" w:sz="0" w:space="0" w:color="auto"/>
        <w:left w:val="none" w:sz="0" w:space="0" w:color="auto"/>
        <w:bottom w:val="none" w:sz="0" w:space="0" w:color="auto"/>
        <w:right w:val="none" w:sz="0" w:space="0" w:color="auto"/>
      </w:divBdr>
    </w:div>
    <w:div w:id="794757738">
      <w:bodyDiv w:val="1"/>
      <w:marLeft w:val="0"/>
      <w:marRight w:val="0"/>
      <w:marTop w:val="0"/>
      <w:marBottom w:val="0"/>
      <w:divBdr>
        <w:top w:val="none" w:sz="0" w:space="0" w:color="auto"/>
        <w:left w:val="none" w:sz="0" w:space="0" w:color="auto"/>
        <w:bottom w:val="none" w:sz="0" w:space="0" w:color="auto"/>
        <w:right w:val="none" w:sz="0" w:space="0" w:color="auto"/>
      </w:divBdr>
    </w:div>
    <w:div w:id="861089337">
      <w:bodyDiv w:val="1"/>
      <w:marLeft w:val="0"/>
      <w:marRight w:val="0"/>
      <w:marTop w:val="0"/>
      <w:marBottom w:val="0"/>
      <w:divBdr>
        <w:top w:val="none" w:sz="0" w:space="0" w:color="auto"/>
        <w:left w:val="none" w:sz="0" w:space="0" w:color="auto"/>
        <w:bottom w:val="none" w:sz="0" w:space="0" w:color="auto"/>
        <w:right w:val="none" w:sz="0" w:space="0" w:color="auto"/>
      </w:divBdr>
    </w:div>
    <w:div w:id="984704745">
      <w:bodyDiv w:val="1"/>
      <w:marLeft w:val="0"/>
      <w:marRight w:val="0"/>
      <w:marTop w:val="0"/>
      <w:marBottom w:val="0"/>
      <w:divBdr>
        <w:top w:val="none" w:sz="0" w:space="0" w:color="auto"/>
        <w:left w:val="none" w:sz="0" w:space="0" w:color="auto"/>
        <w:bottom w:val="none" w:sz="0" w:space="0" w:color="auto"/>
        <w:right w:val="none" w:sz="0" w:space="0" w:color="auto"/>
      </w:divBdr>
    </w:div>
    <w:div w:id="1565065914">
      <w:bodyDiv w:val="1"/>
      <w:marLeft w:val="0"/>
      <w:marRight w:val="0"/>
      <w:marTop w:val="0"/>
      <w:marBottom w:val="0"/>
      <w:divBdr>
        <w:top w:val="none" w:sz="0" w:space="0" w:color="auto"/>
        <w:left w:val="none" w:sz="0" w:space="0" w:color="auto"/>
        <w:bottom w:val="none" w:sz="0" w:space="0" w:color="auto"/>
        <w:right w:val="none" w:sz="0" w:space="0" w:color="auto"/>
      </w:divBdr>
    </w:div>
    <w:div w:id="1630624576">
      <w:bodyDiv w:val="1"/>
      <w:marLeft w:val="0"/>
      <w:marRight w:val="0"/>
      <w:marTop w:val="0"/>
      <w:marBottom w:val="0"/>
      <w:divBdr>
        <w:top w:val="none" w:sz="0" w:space="0" w:color="auto"/>
        <w:left w:val="none" w:sz="0" w:space="0" w:color="auto"/>
        <w:bottom w:val="none" w:sz="0" w:space="0" w:color="auto"/>
        <w:right w:val="none" w:sz="0" w:space="0" w:color="auto"/>
      </w:divBdr>
    </w:div>
    <w:div w:id="17343051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f5.com/labs/learning-center/what-is-the-cia-triad" TargetMode="External"/><Relationship Id="rId13" Type="http://schemas.openxmlformats.org/officeDocument/2006/relationships/hyperlink" Target="https://veriphy.com/what-is-regulatory-compliance/" TargetMode="External"/><Relationship Id="rId18" Type="http://schemas.openxmlformats.org/officeDocument/2006/relationships/hyperlink" Target="https://www.ofcom.org.uk/__data/assets/pdf_file/0031/192793/information-security-risk-management.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onetrust.com/resources/regulatory-landscape-uk-and-eu-updates-webinar/" TargetMode="External"/><Relationship Id="rId7" Type="http://schemas.openxmlformats.org/officeDocument/2006/relationships/hyperlink" Target="https://www.cisecurity.org/insights/spotlight/ei-isac-cybersecurity-spotlight-cia-triad" TargetMode="External"/><Relationship Id="rId12" Type="http://schemas.openxmlformats.org/officeDocument/2006/relationships/hyperlink" Target="https://legaldesire.com/how-business-documentation-can-reduce-your-liability-risk/" TargetMode="External"/><Relationship Id="rId17" Type="http://schemas.openxmlformats.org/officeDocument/2006/relationships/hyperlink" Target="https://securityscorecard.com/blog/what-is-information-risk-managemen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cas.com/professional-resources/audit-and-assurance/internal-audit/internal-audit-three-lines-of-defence-model-explained" TargetMode="External"/><Relationship Id="rId20" Type="http://schemas.openxmlformats.org/officeDocument/2006/relationships/hyperlink" Target="https://www.gov.uk/data-protection" TargetMode="External"/><Relationship Id="rId1" Type="http://schemas.openxmlformats.org/officeDocument/2006/relationships/numbering" Target="numbering.xml"/><Relationship Id="rId6" Type="http://schemas.openxmlformats.org/officeDocument/2006/relationships/hyperlink" Target="https://www.govinfo.gov/content/pkg/USCODE-2011-title44/pdf/USCODE-2011-title44-chap35-subchapII-sec3532.pdf" TargetMode="External"/><Relationship Id="rId11" Type="http://schemas.openxmlformats.org/officeDocument/2006/relationships/hyperlink" Target="https://assets.publishing.service.gov.uk/government/uploads/system/uploads/attachment_data/file/746170/JOYS-OCT-2018.pdf" TargetMode="External"/><Relationship Id="rId24" Type="http://schemas.openxmlformats.org/officeDocument/2006/relationships/hyperlink" Target="https://www.dentons.com/en/insights/articles/2022/june/22/changes-to-uk-data-protection-laws-key-headlines" TargetMode="External"/><Relationship Id="rId5" Type="http://schemas.openxmlformats.org/officeDocument/2006/relationships/image" Target="media/image1.png"/><Relationship Id="rId15" Type="http://schemas.openxmlformats.org/officeDocument/2006/relationships/hyperlink" Target="https://www.xenongroup.co.uk/knowledge-centre/legislation/5-consequences-of-failing-to-comply-with-legislation" TargetMode="External"/><Relationship Id="rId23" Type="http://schemas.openxmlformats.org/officeDocument/2006/relationships/hyperlink" Target="https://ico.org.uk/for-organisations/guide-to-data-protection/guide-to-the-general-data-protection-regulation-gdpr/exemptions/" TargetMode="External"/><Relationship Id="rId10" Type="http://schemas.openxmlformats.org/officeDocument/2006/relationships/hyperlink" Target="https://www.itgovernance.co.uk/blog/what-is-an-information-security-policy" TargetMode="External"/><Relationship Id="rId19" Type="http://schemas.openxmlformats.org/officeDocument/2006/relationships/hyperlink" Target="https://www.legislation.gov.uk/ukpga/2018/12/contents" TargetMode="External"/><Relationship Id="rId4" Type="http://schemas.openxmlformats.org/officeDocument/2006/relationships/webSettings" Target="webSettings.xml"/><Relationship Id="rId9" Type="http://schemas.openxmlformats.org/officeDocument/2006/relationships/hyperlink" Target="https://ico.org.uk/for-organisations/guide-to-data-protection/guide-to-the-general-data-protection-regulation-gdpr/security/" TargetMode="External"/><Relationship Id="rId14" Type="http://schemas.openxmlformats.org/officeDocument/2006/relationships/hyperlink" Target="https://assets.publishing.service.gov.uk/government/uploads/system/uploads/attachment_data/file/550542/Prof_Christopher_Hodges_-_Ethics_for_regulators.pdf" TargetMode="External"/><Relationship Id="rId22" Type="http://schemas.openxmlformats.org/officeDocument/2006/relationships/hyperlink" Target="https://www.itgovernance.co.uk/dpa-and-gdpr-penal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2440</TotalTime>
  <Pages>4</Pages>
  <Words>2620</Words>
  <Characters>14940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Verified 🎅</cp:lastModifiedBy>
  <cp:revision>13</cp:revision>
  <dcterms:created xsi:type="dcterms:W3CDTF">2022-11-23T21:59:00Z</dcterms:created>
  <dcterms:modified xsi:type="dcterms:W3CDTF">2022-12-11T18:38:00Z</dcterms:modified>
</cp:coreProperties>
</file>