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FA78F" w14:textId="5BF2163E" w:rsidR="008D2F52" w:rsidRDefault="00100500" w:rsidP="00100500">
      <w:pPr>
        <w:spacing w:line="360" w:lineRule="auto"/>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UNIVERSITY OF WALES</w:t>
      </w:r>
    </w:p>
    <w:p w14:paraId="2A56B889" w14:textId="714C2462" w:rsidR="00100500" w:rsidRPr="00395E6C" w:rsidRDefault="00100500" w:rsidP="00100500">
      <w:pPr>
        <w:spacing w:line="360" w:lineRule="auto"/>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TRINITY SAINT DAVID</w:t>
      </w:r>
    </w:p>
    <w:p w14:paraId="53ADB470" w14:textId="77777777" w:rsidR="008D2F52" w:rsidRPr="00395E6C" w:rsidRDefault="008D2F52" w:rsidP="008D2F52">
      <w:pPr>
        <w:spacing w:line="360" w:lineRule="auto"/>
        <w:jc w:val="center"/>
        <w:rPr>
          <w:rFonts w:ascii="Times New Roman" w:eastAsia="Times New Roman" w:hAnsi="Times New Roman" w:cs="Times New Roman"/>
          <w:b/>
          <w:sz w:val="32"/>
          <w:szCs w:val="32"/>
          <w:highlight w:val="white"/>
        </w:rPr>
      </w:pPr>
    </w:p>
    <w:p w14:paraId="17CCDF81" w14:textId="77777777" w:rsidR="008D2F52" w:rsidRPr="00395E6C" w:rsidRDefault="008D2F52" w:rsidP="008D2F52">
      <w:pPr>
        <w:spacing w:line="360" w:lineRule="auto"/>
        <w:jc w:val="center"/>
        <w:rPr>
          <w:rFonts w:ascii="Times New Roman" w:eastAsia="Times New Roman" w:hAnsi="Times New Roman" w:cs="Times New Roman"/>
          <w:b/>
          <w:sz w:val="32"/>
          <w:szCs w:val="32"/>
          <w:highlight w:val="white"/>
        </w:rPr>
      </w:pPr>
    </w:p>
    <w:p w14:paraId="08343CBD" w14:textId="77777777" w:rsidR="008D2F52" w:rsidRPr="00395E6C" w:rsidRDefault="008D2F52" w:rsidP="008D2F52">
      <w:pPr>
        <w:spacing w:line="360" w:lineRule="auto"/>
        <w:jc w:val="center"/>
        <w:rPr>
          <w:rFonts w:ascii="Times New Roman" w:eastAsia="Times New Roman" w:hAnsi="Times New Roman" w:cs="Times New Roman"/>
          <w:b/>
          <w:sz w:val="32"/>
          <w:szCs w:val="32"/>
          <w:highlight w:val="white"/>
        </w:rPr>
      </w:pPr>
    </w:p>
    <w:p w14:paraId="111CB7F8" w14:textId="77777777" w:rsidR="00100500" w:rsidRDefault="008D2F52" w:rsidP="00100500">
      <w:pPr>
        <w:spacing w:line="360" w:lineRule="auto"/>
        <w:jc w:val="center"/>
        <w:rPr>
          <w:rFonts w:ascii="Times New Roman" w:eastAsia="Times New Roman" w:hAnsi="Times New Roman" w:cs="Times New Roman"/>
          <w:b/>
          <w:sz w:val="32"/>
          <w:szCs w:val="32"/>
        </w:rPr>
      </w:pPr>
      <w:r w:rsidRPr="00395E6C">
        <w:rPr>
          <w:rFonts w:ascii="Times New Roman" w:eastAsia="Times New Roman" w:hAnsi="Times New Roman" w:cs="Times New Roman"/>
          <w:b/>
          <w:sz w:val="32"/>
          <w:szCs w:val="32"/>
          <w:highlight w:val="white"/>
        </w:rPr>
        <w:t xml:space="preserve">INTERNATIONAL </w:t>
      </w:r>
      <w:bookmarkStart w:id="0" w:name="_GoBack"/>
      <w:bookmarkEnd w:id="0"/>
      <w:r w:rsidRPr="00395E6C">
        <w:rPr>
          <w:rFonts w:ascii="Times New Roman" w:eastAsia="Times New Roman" w:hAnsi="Times New Roman" w:cs="Times New Roman"/>
          <w:b/>
          <w:sz w:val="32"/>
          <w:szCs w:val="32"/>
          <w:highlight w:val="white"/>
        </w:rPr>
        <w:t>FINANCIAL MANAGEMENT (ASSESSMENT 1)</w:t>
      </w:r>
    </w:p>
    <w:p w14:paraId="0F38E4C4" w14:textId="77777777" w:rsidR="00100500" w:rsidRDefault="00100500" w:rsidP="00100500">
      <w:pPr>
        <w:spacing w:line="360" w:lineRule="auto"/>
        <w:jc w:val="center"/>
        <w:rPr>
          <w:rFonts w:ascii="Times New Roman" w:eastAsia="Times New Roman" w:hAnsi="Times New Roman" w:cs="Times New Roman"/>
          <w:b/>
          <w:sz w:val="32"/>
          <w:szCs w:val="32"/>
        </w:rPr>
      </w:pPr>
    </w:p>
    <w:p w14:paraId="10500EDF" w14:textId="77777777" w:rsidR="00100500" w:rsidRDefault="00100500" w:rsidP="00100500">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LCBB6002</w:t>
      </w:r>
    </w:p>
    <w:p w14:paraId="367AF2F2" w14:textId="77777777" w:rsidR="00100500" w:rsidRDefault="00100500" w:rsidP="00100500">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Catalina Alexandra </w:t>
      </w:r>
      <w:proofErr w:type="spellStart"/>
      <w:r>
        <w:rPr>
          <w:rFonts w:ascii="Times New Roman" w:eastAsia="Times New Roman" w:hAnsi="Times New Roman" w:cs="Times New Roman"/>
          <w:b/>
          <w:sz w:val="32"/>
          <w:szCs w:val="32"/>
        </w:rPr>
        <w:t>Cobzaru</w:t>
      </w:r>
      <w:proofErr w:type="spellEnd"/>
    </w:p>
    <w:p w14:paraId="5E9E3300" w14:textId="77777777" w:rsidR="00100500" w:rsidRDefault="00100500" w:rsidP="00100500">
      <w:pPr>
        <w:spacing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w:t>
      </w:r>
      <w:proofErr w:type="gramStart"/>
      <w:r>
        <w:rPr>
          <w:rFonts w:ascii="Times New Roman" w:eastAsia="Times New Roman" w:hAnsi="Times New Roman" w:cs="Times New Roman"/>
          <w:b/>
          <w:sz w:val="32"/>
          <w:szCs w:val="32"/>
        </w:rPr>
        <w:t>:1913403</w:t>
      </w:r>
      <w:proofErr w:type="gramEnd"/>
    </w:p>
    <w:p w14:paraId="00000001" w14:textId="7E07EBC9" w:rsidR="00D823D2" w:rsidRPr="00395E6C" w:rsidRDefault="00100500" w:rsidP="00100500">
      <w:pPr>
        <w:spacing w:line="24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rPr>
        <w:t xml:space="preserve">Lecturer: </w:t>
      </w:r>
      <w:proofErr w:type="spellStart"/>
      <w:r w:rsidRPr="00100500">
        <w:rPr>
          <w:rFonts w:ascii="Times New Roman" w:eastAsia="Times New Roman" w:hAnsi="Times New Roman" w:cs="Times New Roman"/>
          <w:b/>
          <w:sz w:val="32"/>
          <w:szCs w:val="32"/>
        </w:rPr>
        <w:t>Dr.</w:t>
      </w:r>
      <w:proofErr w:type="spellEnd"/>
      <w:r w:rsidRPr="00100500">
        <w:rPr>
          <w:rFonts w:ascii="Times New Roman" w:eastAsia="Times New Roman" w:hAnsi="Times New Roman" w:cs="Times New Roman"/>
          <w:b/>
          <w:sz w:val="32"/>
          <w:szCs w:val="32"/>
        </w:rPr>
        <w:t xml:space="preserve"> </w:t>
      </w:r>
      <w:proofErr w:type="spellStart"/>
      <w:r w:rsidRPr="00100500">
        <w:rPr>
          <w:rFonts w:ascii="Times New Roman" w:eastAsia="Times New Roman" w:hAnsi="Times New Roman" w:cs="Times New Roman"/>
          <w:b/>
          <w:sz w:val="32"/>
          <w:szCs w:val="32"/>
        </w:rPr>
        <w:t>Taye</w:t>
      </w:r>
      <w:proofErr w:type="spellEnd"/>
      <w:r w:rsidRPr="00100500">
        <w:rPr>
          <w:rFonts w:ascii="Times New Roman" w:eastAsia="Times New Roman" w:hAnsi="Times New Roman" w:cs="Times New Roman"/>
          <w:b/>
          <w:sz w:val="32"/>
          <w:szCs w:val="32"/>
        </w:rPr>
        <w:t xml:space="preserve"> Timothy </w:t>
      </w:r>
      <w:proofErr w:type="spellStart"/>
      <w:r w:rsidRPr="00100500">
        <w:rPr>
          <w:rFonts w:ascii="Times New Roman" w:eastAsia="Times New Roman" w:hAnsi="Times New Roman" w:cs="Times New Roman"/>
          <w:b/>
          <w:sz w:val="32"/>
          <w:szCs w:val="32"/>
        </w:rPr>
        <w:t>Osadiya</w:t>
      </w:r>
      <w:proofErr w:type="spellEnd"/>
      <w:r w:rsidRPr="00100500">
        <w:rPr>
          <w:rFonts w:ascii="Times New Roman" w:eastAsia="Times New Roman" w:hAnsi="Times New Roman" w:cs="Times New Roman"/>
          <w:b/>
          <w:sz w:val="32"/>
          <w:szCs w:val="32"/>
        </w:rPr>
        <w:t xml:space="preserve"> </w:t>
      </w:r>
      <w:r w:rsidR="002D6DE7" w:rsidRPr="00395E6C">
        <w:br w:type="page"/>
      </w:r>
    </w:p>
    <w:sdt>
      <w:sdtPr>
        <w:rPr>
          <w:rFonts w:ascii="Times New Roman" w:eastAsia="Arial" w:hAnsi="Times New Roman" w:cs="Times New Roman"/>
          <w:color w:val="auto"/>
          <w:sz w:val="24"/>
          <w:szCs w:val="24"/>
          <w:lang w:val="en-GB" w:eastAsia="en-IN"/>
        </w:rPr>
        <w:id w:val="-310487719"/>
        <w:docPartObj>
          <w:docPartGallery w:val="Table of Contents"/>
          <w:docPartUnique/>
        </w:docPartObj>
      </w:sdtPr>
      <w:sdtEndPr>
        <w:rPr>
          <w:b/>
          <w:bCs/>
          <w:noProof/>
        </w:rPr>
      </w:sdtEndPr>
      <w:sdtContent>
        <w:p w14:paraId="2EBF6C2F" w14:textId="71319D59" w:rsidR="008D2F52" w:rsidRPr="00395E6C" w:rsidRDefault="008D2F52" w:rsidP="008D2F52">
          <w:pPr>
            <w:pStyle w:val="TOCHeading"/>
            <w:spacing w:line="360" w:lineRule="auto"/>
            <w:jc w:val="center"/>
            <w:rPr>
              <w:rFonts w:ascii="Times New Roman" w:hAnsi="Times New Roman" w:cs="Times New Roman"/>
              <w:b/>
              <w:bCs/>
              <w:color w:val="auto"/>
              <w:sz w:val="28"/>
              <w:szCs w:val="28"/>
            </w:rPr>
          </w:pPr>
          <w:r w:rsidRPr="00395E6C">
            <w:rPr>
              <w:rFonts w:ascii="Times New Roman" w:hAnsi="Times New Roman" w:cs="Times New Roman"/>
              <w:b/>
              <w:bCs/>
              <w:color w:val="auto"/>
              <w:sz w:val="28"/>
              <w:szCs w:val="28"/>
            </w:rPr>
            <w:t>Table of Contents</w:t>
          </w:r>
        </w:p>
        <w:p w14:paraId="29FBC0A1" w14:textId="3E87C4E7" w:rsidR="008D2F52" w:rsidRPr="00395E6C" w:rsidRDefault="008D2F52" w:rsidP="008D2F52">
          <w:pPr>
            <w:pStyle w:val="TOC1"/>
            <w:tabs>
              <w:tab w:val="right" w:leader="dot" w:pos="9350"/>
            </w:tabs>
            <w:spacing w:line="360" w:lineRule="auto"/>
            <w:jc w:val="both"/>
            <w:rPr>
              <w:rFonts w:ascii="Times New Roman" w:hAnsi="Times New Roman" w:cs="Times New Roman"/>
              <w:noProof/>
              <w:sz w:val="24"/>
              <w:szCs w:val="24"/>
            </w:rPr>
          </w:pPr>
          <w:r w:rsidRPr="00395E6C">
            <w:rPr>
              <w:rFonts w:ascii="Times New Roman" w:hAnsi="Times New Roman" w:cs="Times New Roman"/>
              <w:sz w:val="24"/>
              <w:szCs w:val="24"/>
            </w:rPr>
            <w:fldChar w:fldCharType="begin"/>
          </w:r>
          <w:r w:rsidRPr="00395E6C">
            <w:rPr>
              <w:rFonts w:ascii="Times New Roman" w:hAnsi="Times New Roman" w:cs="Times New Roman"/>
              <w:sz w:val="24"/>
              <w:szCs w:val="24"/>
            </w:rPr>
            <w:instrText xml:space="preserve"> TOC \o "1-3" \h \z \u </w:instrText>
          </w:r>
          <w:r w:rsidRPr="00395E6C">
            <w:rPr>
              <w:rFonts w:ascii="Times New Roman" w:hAnsi="Times New Roman" w:cs="Times New Roman"/>
              <w:sz w:val="24"/>
              <w:szCs w:val="24"/>
            </w:rPr>
            <w:fldChar w:fldCharType="separate"/>
          </w:r>
          <w:hyperlink w:anchor="_Toc101282819" w:history="1">
            <w:r w:rsidRPr="00395E6C">
              <w:rPr>
                <w:rStyle w:val="Hyperlink"/>
                <w:rFonts w:ascii="Times New Roman" w:hAnsi="Times New Roman" w:cs="Times New Roman"/>
                <w:noProof/>
                <w:color w:val="auto"/>
                <w:sz w:val="24"/>
                <w:szCs w:val="24"/>
                <w:highlight w:val="white"/>
              </w:rPr>
              <w:t>Introduction</w:t>
            </w:r>
            <w:r w:rsidRPr="00395E6C">
              <w:rPr>
                <w:rFonts w:ascii="Times New Roman" w:hAnsi="Times New Roman" w:cs="Times New Roman"/>
                <w:noProof/>
                <w:webHidden/>
                <w:sz w:val="24"/>
                <w:szCs w:val="24"/>
              </w:rPr>
              <w:tab/>
            </w:r>
            <w:r w:rsidRPr="00395E6C">
              <w:rPr>
                <w:rFonts w:ascii="Times New Roman" w:hAnsi="Times New Roman" w:cs="Times New Roman"/>
                <w:noProof/>
                <w:webHidden/>
                <w:sz w:val="24"/>
                <w:szCs w:val="24"/>
              </w:rPr>
              <w:fldChar w:fldCharType="begin"/>
            </w:r>
            <w:r w:rsidRPr="00395E6C">
              <w:rPr>
                <w:rFonts w:ascii="Times New Roman" w:hAnsi="Times New Roman" w:cs="Times New Roman"/>
                <w:noProof/>
                <w:webHidden/>
                <w:sz w:val="24"/>
                <w:szCs w:val="24"/>
              </w:rPr>
              <w:instrText xml:space="preserve"> PAGEREF _Toc101282819 \h </w:instrText>
            </w:r>
            <w:r w:rsidRPr="00395E6C">
              <w:rPr>
                <w:rFonts w:ascii="Times New Roman" w:hAnsi="Times New Roman" w:cs="Times New Roman"/>
                <w:noProof/>
                <w:webHidden/>
                <w:sz w:val="24"/>
                <w:szCs w:val="24"/>
              </w:rPr>
            </w:r>
            <w:r w:rsidRPr="00395E6C">
              <w:rPr>
                <w:rFonts w:ascii="Times New Roman" w:hAnsi="Times New Roman" w:cs="Times New Roman"/>
                <w:noProof/>
                <w:webHidden/>
                <w:sz w:val="24"/>
                <w:szCs w:val="24"/>
              </w:rPr>
              <w:fldChar w:fldCharType="separate"/>
            </w:r>
            <w:r w:rsidR="006F7219" w:rsidRPr="00395E6C">
              <w:rPr>
                <w:rFonts w:ascii="Times New Roman" w:hAnsi="Times New Roman" w:cs="Times New Roman"/>
                <w:noProof/>
                <w:webHidden/>
                <w:sz w:val="24"/>
                <w:szCs w:val="24"/>
              </w:rPr>
              <w:t>2</w:t>
            </w:r>
            <w:r w:rsidRPr="00395E6C">
              <w:rPr>
                <w:rFonts w:ascii="Times New Roman" w:hAnsi="Times New Roman" w:cs="Times New Roman"/>
                <w:noProof/>
                <w:webHidden/>
                <w:sz w:val="24"/>
                <w:szCs w:val="24"/>
              </w:rPr>
              <w:fldChar w:fldCharType="end"/>
            </w:r>
          </w:hyperlink>
        </w:p>
        <w:p w14:paraId="3A19B528" w14:textId="44A31B59" w:rsidR="008D2F52" w:rsidRPr="00395E6C" w:rsidRDefault="003A1167" w:rsidP="008D2F52">
          <w:pPr>
            <w:pStyle w:val="TOC1"/>
            <w:tabs>
              <w:tab w:val="right" w:leader="dot" w:pos="9350"/>
            </w:tabs>
            <w:spacing w:line="360" w:lineRule="auto"/>
            <w:jc w:val="both"/>
            <w:rPr>
              <w:rFonts w:ascii="Times New Roman" w:hAnsi="Times New Roman" w:cs="Times New Roman"/>
              <w:noProof/>
              <w:sz w:val="24"/>
              <w:szCs w:val="24"/>
            </w:rPr>
          </w:pPr>
          <w:hyperlink w:anchor="_Toc101282820" w:history="1">
            <w:r w:rsidR="008D2F52" w:rsidRPr="00395E6C">
              <w:rPr>
                <w:rStyle w:val="Hyperlink"/>
                <w:rFonts w:ascii="Times New Roman" w:hAnsi="Times New Roman" w:cs="Times New Roman"/>
                <w:noProof/>
                <w:color w:val="auto"/>
                <w:sz w:val="24"/>
                <w:szCs w:val="24"/>
                <w:highlight w:val="white"/>
              </w:rPr>
              <w:t>Critically analyse and evaluate your chosen multinational corporation’s dividend distribution policy</w:t>
            </w:r>
            <w:r w:rsidR="008D2F52" w:rsidRPr="00395E6C">
              <w:rPr>
                <w:rFonts w:ascii="Times New Roman" w:hAnsi="Times New Roman" w:cs="Times New Roman"/>
                <w:noProof/>
                <w:webHidden/>
                <w:sz w:val="24"/>
                <w:szCs w:val="24"/>
              </w:rPr>
              <w:tab/>
            </w:r>
            <w:r w:rsidR="008D2F52" w:rsidRPr="00395E6C">
              <w:rPr>
                <w:rFonts w:ascii="Times New Roman" w:hAnsi="Times New Roman" w:cs="Times New Roman"/>
                <w:noProof/>
                <w:webHidden/>
                <w:sz w:val="24"/>
                <w:szCs w:val="24"/>
              </w:rPr>
              <w:fldChar w:fldCharType="begin"/>
            </w:r>
            <w:r w:rsidR="008D2F52" w:rsidRPr="00395E6C">
              <w:rPr>
                <w:rFonts w:ascii="Times New Roman" w:hAnsi="Times New Roman" w:cs="Times New Roman"/>
                <w:noProof/>
                <w:webHidden/>
                <w:sz w:val="24"/>
                <w:szCs w:val="24"/>
              </w:rPr>
              <w:instrText xml:space="preserve"> PAGEREF _Toc101282820 \h </w:instrText>
            </w:r>
            <w:r w:rsidR="008D2F52" w:rsidRPr="00395E6C">
              <w:rPr>
                <w:rFonts w:ascii="Times New Roman" w:hAnsi="Times New Roman" w:cs="Times New Roman"/>
                <w:noProof/>
                <w:webHidden/>
                <w:sz w:val="24"/>
                <w:szCs w:val="24"/>
              </w:rPr>
            </w:r>
            <w:r w:rsidR="008D2F52" w:rsidRPr="00395E6C">
              <w:rPr>
                <w:rFonts w:ascii="Times New Roman" w:hAnsi="Times New Roman" w:cs="Times New Roman"/>
                <w:noProof/>
                <w:webHidden/>
                <w:sz w:val="24"/>
                <w:szCs w:val="24"/>
              </w:rPr>
              <w:fldChar w:fldCharType="separate"/>
            </w:r>
            <w:r w:rsidR="006F7219" w:rsidRPr="00395E6C">
              <w:rPr>
                <w:rFonts w:ascii="Times New Roman" w:hAnsi="Times New Roman" w:cs="Times New Roman"/>
                <w:noProof/>
                <w:webHidden/>
                <w:sz w:val="24"/>
                <w:szCs w:val="24"/>
              </w:rPr>
              <w:t>2</w:t>
            </w:r>
            <w:r w:rsidR="008D2F52" w:rsidRPr="00395E6C">
              <w:rPr>
                <w:rFonts w:ascii="Times New Roman" w:hAnsi="Times New Roman" w:cs="Times New Roman"/>
                <w:noProof/>
                <w:webHidden/>
                <w:sz w:val="24"/>
                <w:szCs w:val="24"/>
              </w:rPr>
              <w:fldChar w:fldCharType="end"/>
            </w:r>
          </w:hyperlink>
        </w:p>
        <w:p w14:paraId="0747A31D" w14:textId="6AC7CA06" w:rsidR="008D2F52" w:rsidRPr="00395E6C" w:rsidRDefault="003A1167" w:rsidP="008D2F52">
          <w:pPr>
            <w:pStyle w:val="TOC1"/>
            <w:tabs>
              <w:tab w:val="right" w:leader="dot" w:pos="9350"/>
            </w:tabs>
            <w:spacing w:line="360" w:lineRule="auto"/>
            <w:jc w:val="both"/>
            <w:rPr>
              <w:rFonts w:ascii="Times New Roman" w:hAnsi="Times New Roman" w:cs="Times New Roman"/>
              <w:noProof/>
              <w:sz w:val="24"/>
              <w:szCs w:val="24"/>
            </w:rPr>
          </w:pPr>
          <w:hyperlink w:anchor="_Toc101282821" w:history="1">
            <w:r w:rsidR="008D2F52" w:rsidRPr="00395E6C">
              <w:rPr>
                <w:rStyle w:val="Hyperlink"/>
                <w:rFonts w:ascii="Times New Roman" w:hAnsi="Times New Roman" w:cs="Times New Roman"/>
                <w:noProof/>
                <w:color w:val="auto"/>
                <w:sz w:val="24"/>
                <w:szCs w:val="24"/>
                <w:highlight w:val="white"/>
              </w:rPr>
              <w:t>Critically analyse the efficient market hypothesis theory in the context of your chosen multinational corporation’s operations</w:t>
            </w:r>
            <w:r w:rsidR="008D2F52" w:rsidRPr="00395E6C">
              <w:rPr>
                <w:rFonts w:ascii="Times New Roman" w:hAnsi="Times New Roman" w:cs="Times New Roman"/>
                <w:noProof/>
                <w:webHidden/>
                <w:sz w:val="24"/>
                <w:szCs w:val="24"/>
              </w:rPr>
              <w:tab/>
            </w:r>
            <w:r w:rsidR="008D2F52" w:rsidRPr="00395E6C">
              <w:rPr>
                <w:rFonts w:ascii="Times New Roman" w:hAnsi="Times New Roman" w:cs="Times New Roman"/>
                <w:noProof/>
                <w:webHidden/>
                <w:sz w:val="24"/>
                <w:szCs w:val="24"/>
              </w:rPr>
              <w:fldChar w:fldCharType="begin"/>
            </w:r>
            <w:r w:rsidR="008D2F52" w:rsidRPr="00395E6C">
              <w:rPr>
                <w:rFonts w:ascii="Times New Roman" w:hAnsi="Times New Roman" w:cs="Times New Roman"/>
                <w:noProof/>
                <w:webHidden/>
                <w:sz w:val="24"/>
                <w:szCs w:val="24"/>
              </w:rPr>
              <w:instrText xml:space="preserve"> PAGEREF _Toc101282821 \h </w:instrText>
            </w:r>
            <w:r w:rsidR="008D2F52" w:rsidRPr="00395E6C">
              <w:rPr>
                <w:rFonts w:ascii="Times New Roman" w:hAnsi="Times New Roman" w:cs="Times New Roman"/>
                <w:noProof/>
                <w:webHidden/>
                <w:sz w:val="24"/>
                <w:szCs w:val="24"/>
              </w:rPr>
            </w:r>
            <w:r w:rsidR="008D2F52" w:rsidRPr="00395E6C">
              <w:rPr>
                <w:rFonts w:ascii="Times New Roman" w:hAnsi="Times New Roman" w:cs="Times New Roman"/>
                <w:noProof/>
                <w:webHidden/>
                <w:sz w:val="24"/>
                <w:szCs w:val="24"/>
              </w:rPr>
              <w:fldChar w:fldCharType="separate"/>
            </w:r>
            <w:r w:rsidR="006F7219" w:rsidRPr="00395E6C">
              <w:rPr>
                <w:rFonts w:ascii="Times New Roman" w:hAnsi="Times New Roman" w:cs="Times New Roman"/>
                <w:noProof/>
                <w:webHidden/>
                <w:sz w:val="24"/>
                <w:szCs w:val="24"/>
              </w:rPr>
              <w:t>3</w:t>
            </w:r>
            <w:r w:rsidR="008D2F52" w:rsidRPr="00395E6C">
              <w:rPr>
                <w:rFonts w:ascii="Times New Roman" w:hAnsi="Times New Roman" w:cs="Times New Roman"/>
                <w:noProof/>
                <w:webHidden/>
                <w:sz w:val="24"/>
                <w:szCs w:val="24"/>
              </w:rPr>
              <w:fldChar w:fldCharType="end"/>
            </w:r>
          </w:hyperlink>
        </w:p>
        <w:p w14:paraId="6249525F" w14:textId="52734CAC" w:rsidR="008D2F52" w:rsidRPr="00395E6C" w:rsidRDefault="003A1167" w:rsidP="008D2F52">
          <w:pPr>
            <w:pStyle w:val="TOC1"/>
            <w:tabs>
              <w:tab w:val="right" w:leader="dot" w:pos="9350"/>
            </w:tabs>
            <w:spacing w:line="360" w:lineRule="auto"/>
            <w:jc w:val="both"/>
            <w:rPr>
              <w:rFonts w:ascii="Times New Roman" w:hAnsi="Times New Roman" w:cs="Times New Roman"/>
              <w:noProof/>
              <w:sz w:val="24"/>
              <w:szCs w:val="24"/>
            </w:rPr>
          </w:pPr>
          <w:hyperlink w:anchor="_Toc101282822" w:history="1">
            <w:r w:rsidR="008D2F52" w:rsidRPr="00395E6C">
              <w:rPr>
                <w:rStyle w:val="Hyperlink"/>
                <w:rFonts w:ascii="Times New Roman" w:hAnsi="Times New Roman" w:cs="Times New Roman"/>
                <w:noProof/>
                <w:color w:val="auto"/>
                <w:sz w:val="24"/>
                <w:szCs w:val="24"/>
                <w:highlight w:val="white"/>
              </w:rPr>
              <w:t>Critically analyse and evaluate your chosen multinational corporation’s methods of appraising projects</w:t>
            </w:r>
            <w:r w:rsidR="008D2F52" w:rsidRPr="00395E6C">
              <w:rPr>
                <w:rFonts w:ascii="Times New Roman" w:hAnsi="Times New Roman" w:cs="Times New Roman"/>
                <w:noProof/>
                <w:webHidden/>
                <w:sz w:val="24"/>
                <w:szCs w:val="24"/>
              </w:rPr>
              <w:tab/>
            </w:r>
            <w:r w:rsidR="008D2F52" w:rsidRPr="00395E6C">
              <w:rPr>
                <w:rFonts w:ascii="Times New Roman" w:hAnsi="Times New Roman" w:cs="Times New Roman"/>
                <w:noProof/>
                <w:webHidden/>
                <w:sz w:val="24"/>
                <w:szCs w:val="24"/>
              </w:rPr>
              <w:fldChar w:fldCharType="begin"/>
            </w:r>
            <w:r w:rsidR="008D2F52" w:rsidRPr="00395E6C">
              <w:rPr>
                <w:rFonts w:ascii="Times New Roman" w:hAnsi="Times New Roman" w:cs="Times New Roman"/>
                <w:noProof/>
                <w:webHidden/>
                <w:sz w:val="24"/>
                <w:szCs w:val="24"/>
              </w:rPr>
              <w:instrText xml:space="preserve"> PAGEREF _Toc101282822 \h </w:instrText>
            </w:r>
            <w:r w:rsidR="008D2F52" w:rsidRPr="00395E6C">
              <w:rPr>
                <w:rFonts w:ascii="Times New Roman" w:hAnsi="Times New Roman" w:cs="Times New Roman"/>
                <w:noProof/>
                <w:webHidden/>
                <w:sz w:val="24"/>
                <w:szCs w:val="24"/>
              </w:rPr>
            </w:r>
            <w:r w:rsidR="008D2F52" w:rsidRPr="00395E6C">
              <w:rPr>
                <w:rFonts w:ascii="Times New Roman" w:hAnsi="Times New Roman" w:cs="Times New Roman"/>
                <w:noProof/>
                <w:webHidden/>
                <w:sz w:val="24"/>
                <w:szCs w:val="24"/>
              </w:rPr>
              <w:fldChar w:fldCharType="separate"/>
            </w:r>
            <w:r w:rsidR="006F7219" w:rsidRPr="00395E6C">
              <w:rPr>
                <w:rFonts w:ascii="Times New Roman" w:hAnsi="Times New Roman" w:cs="Times New Roman"/>
                <w:noProof/>
                <w:webHidden/>
                <w:sz w:val="24"/>
                <w:szCs w:val="24"/>
              </w:rPr>
              <w:t>4</w:t>
            </w:r>
            <w:r w:rsidR="008D2F52" w:rsidRPr="00395E6C">
              <w:rPr>
                <w:rFonts w:ascii="Times New Roman" w:hAnsi="Times New Roman" w:cs="Times New Roman"/>
                <w:noProof/>
                <w:webHidden/>
                <w:sz w:val="24"/>
                <w:szCs w:val="24"/>
              </w:rPr>
              <w:fldChar w:fldCharType="end"/>
            </w:r>
          </w:hyperlink>
        </w:p>
        <w:p w14:paraId="31E9E140" w14:textId="1E54B104" w:rsidR="008D2F52" w:rsidRPr="00395E6C" w:rsidRDefault="003A1167" w:rsidP="008D2F52">
          <w:pPr>
            <w:pStyle w:val="TOC1"/>
            <w:tabs>
              <w:tab w:val="right" w:leader="dot" w:pos="9350"/>
            </w:tabs>
            <w:spacing w:line="360" w:lineRule="auto"/>
            <w:jc w:val="both"/>
            <w:rPr>
              <w:rFonts w:ascii="Times New Roman" w:hAnsi="Times New Roman" w:cs="Times New Roman"/>
              <w:noProof/>
              <w:sz w:val="24"/>
              <w:szCs w:val="24"/>
            </w:rPr>
          </w:pPr>
          <w:hyperlink w:anchor="_Toc101282823" w:history="1">
            <w:r w:rsidR="008D2F52" w:rsidRPr="00395E6C">
              <w:rPr>
                <w:rStyle w:val="Hyperlink"/>
                <w:rFonts w:ascii="Times New Roman" w:hAnsi="Times New Roman" w:cs="Times New Roman"/>
                <w:noProof/>
                <w:color w:val="auto"/>
                <w:sz w:val="24"/>
                <w:szCs w:val="24"/>
                <w:highlight w:val="white"/>
              </w:rPr>
              <w:t>Conclusion</w:t>
            </w:r>
            <w:r w:rsidR="008D2F52" w:rsidRPr="00395E6C">
              <w:rPr>
                <w:rFonts w:ascii="Times New Roman" w:hAnsi="Times New Roman" w:cs="Times New Roman"/>
                <w:noProof/>
                <w:webHidden/>
                <w:sz w:val="24"/>
                <w:szCs w:val="24"/>
              </w:rPr>
              <w:tab/>
            </w:r>
            <w:r w:rsidR="008D2F52" w:rsidRPr="00395E6C">
              <w:rPr>
                <w:rFonts w:ascii="Times New Roman" w:hAnsi="Times New Roman" w:cs="Times New Roman"/>
                <w:noProof/>
                <w:webHidden/>
                <w:sz w:val="24"/>
                <w:szCs w:val="24"/>
              </w:rPr>
              <w:fldChar w:fldCharType="begin"/>
            </w:r>
            <w:r w:rsidR="008D2F52" w:rsidRPr="00395E6C">
              <w:rPr>
                <w:rFonts w:ascii="Times New Roman" w:hAnsi="Times New Roman" w:cs="Times New Roman"/>
                <w:noProof/>
                <w:webHidden/>
                <w:sz w:val="24"/>
                <w:szCs w:val="24"/>
              </w:rPr>
              <w:instrText xml:space="preserve"> PAGEREF _Toc101282823 \h </w:instrText>
            </w:r>
            <w:r w:rsidR="008D2F52" w:rsidRPr="00395E6C">
              <w:rPr>
                <w:rFonts w:ascii="Times New Roman" w:hAnsi="Times New Roman" w:cs="Times New Roman"/>
                <w:noProof/>
                <w:webHidden/>
                <w:sz w:val="24"/>
                <w:szCs w:val="24"/>
              </w:rPr>
            </w:r>
            <w:r w:rsidR="008D2F52" w:rsidRPr="00395E6C">
              <w:rPr>
                <w:rFonts w:ascii="Times New Roman" w:hAnsi="Times New Roman" w:cs="Times New Roman"/>
                <w:noProof/>
                <w:webHidden/>
                <w:sz w:val="24"/>
                <w:szCs w:val="24"/>
              </w:rPr>
              <w:fldChar w:fldCharType="separate"/>
            </w:r>
            <w:r w:rsidR="006F7219" w:rsidRPr="00395E6C">
              <w:rPr>
                <w:rFonts w:ascii="Times New Roman" w:hAnsi="Times New Roman" w:cs="Times New Roman"/>
                <w:noProof/>
                <w:webHidden/>
                <w:sz w:val="24"/>
                <w:szCs w:val="24"/>
              </w:rPr>
              <w:t>5</w:t>
            </w:r>
            <w:r w:rsidR="008D2F52" w:rsidRPr="00395E6C">
              <w:rPr>
                <w:rFonts w:ascii="Times New Roman" w:hAnsi="Times New Roman" w:cs="Times New Roman"/>
                <w:noProof/>
                <w:webHidden/>
                <w:sz w:val="24"/>
                <w:szCs w:val="24"/>
              </w:rPr>
              <w:fldChar w:fldCharType="end"/>
            </w:r>
          </w:hyperlink>
        </w:p>
        <w:p w14:paraId="74732CD0" w14:textId="3C38818E" w:rsidR="008D2F52" w:rsidRPr="00395E6C" w:rsidRDefault="003A1167" w:rsidP="008D2F52">
          <w:pPr>
            <w:pStyle w:val="TOC1"/>
            <w:tabs>
              <w:tab w:val="right" w:leader="dot" w:pos="9350"/>
            </w:tabs>
            <w:spacing w:line="360" w:lineRule="auto"/>
            <w:jc w:val="both"/>
            <w:rPr>
              <w:rFonts w:ascii="Times New Roman" w:hAnsi="Times New Roman" w:cs="Times New Roman"/>
              <w:noProof/>
              <w:sz w:val="24"/>
              <w:szCs w:val="24"/>
            </w:rPr>
          </w:pPr>
          <w:hyperlink w:anchor="_Toc101282824" w:history="1">
            <w:r w:rsidR="008D2F52" w:rsidRPr="00395E6C">
              <w:rPr>
                <w:rStyle w:val="Hyperlink"/>
                <w:rFonts w:ascii="Times New Roman" w:hAnsi="Times New Roman" w:cs="Times New Roman"/>
                <w:noProof/>
                <w:color w:val="auto"/>
                <w:sz w:val="24"/>
                <w:szCs w:val="24"/>
                <w:highlight w:val="white"/>
              </w:rPr>
              <w:t>References</w:t>
            </w:r>
            <w:r w:rsidR="008D2F52" w:rsidRPr="00395E6C">
              <w:rPr>
                <w:rFonts w:ascii="Times New Roman" w:hAnsi="Times New Roman" w:cs="Times New Roman"/>
                <w:noProof/>
                <w:webHidden/>
                <w:sz w:val="24"/>
                <w:szCs w:val="24"/>
              </w:rPr>
              <w:tab/>
            </w:r>
            <w:r w:rsidR="008D2F52" w:rsidRPr="00395E6C">
              <w:rPr>
                <w:rFonts w:ascii="Times New Roman" w:hAnsi="Times New Roman" w:cs="Times New Roman"/>
                <w:noProof/>
                <w:webHidden/>
                <w:sz w:val="24"/>
                <w:szCs w:val="24"/>
              </w:rPr>
              <w:fldChar w:fldCharType="begin"/>
            </w:r>
            <w:r w:rsidR="008D2F52" w:rsidRPr="00395E6C">
              <w:rPr>
                <w:rFonts w:ascii="Times New Roman" w:hAnsi="Times New Roman" w:cs="Times New Roman"/>
                <w:noProof/>
                <w:webHidden/>
                <w:sz w:val="24"/>
                <w:szCs w:val="24"/>
              </w:rPr>
              <w:instrText xml:space="preserve"> PAGEREF _Toc101282824 \h </w:instrText>
            </w:r>
            <w:r w:rsidR="008D2F52" w:rsidRPr="00395E6C">
              <w:rPr>
                <w:rFonts w:ascii="Times New Roman" w:hAnsi="Times New Roman" w:cs="Times New Roman"/>
                <w:noProof/>
                <w:webHidden/>
                <w:sz w:val="24"/>
                <w:szCs w:val="24"/>
              </w:rPr>
            </w:r>
            <w:r w:rsidR="008D2F52" w:rsidRPr="00395E6C">
              <w:rPr>
                <w:rFonts w:ascii="Times New Roman" w:hAnsi="Times New Roman" w:cs="Times New Roman"/>
                <w:noProof/>
                <w:webHidden/>
                <w:sz w:val="24"/>
                <w:szCs w:val="24"/>
              </w:rPr>
              <w:fldChar w:fldCharType="separate"/>
            </w:r>
            <w:r w:rsidR="006F7219" w:rsidRPr="00395E6C">
              <w:rPr>
                <w:rFonts w:ascii="Times New Roman" w:hAnsi="Times New Roman" w:cs="Times New Roman"/>
                <w:noProof/>
                <w:webHidden/>
                <w:sz w:val="24"/>
                <w:szCs w:val="24"/>
              </w:rPr>
              <w:t>6</w:t>
            </w:r>
            <w:r w:rsidR="008D2F52" w:rsidRPr="00395E6C">
              <w:rPr>
                <w:rFonts w:ascii="Times New Roman" w:hAnsi="Times New Roman" w:cs="Times New Roman"/>
                <w:noProof/>
                <w:webHidden/>
                <w:sz w:val="24"/>
                <w:szCs w:val="24"/>
              </w:rPr>
              <w:fldChar w:fldCharType="end"/>
            </w:r>
          </w:hyperlink>
        </w:p>
        <w:p w14:paraId="00A621F7" w14:textId="468180A9" w:rsidR="008D2F52" w:rsidRPr="00395E6C" w:rsidRDefault="008D2F52" w:rsidP="008D2F52">
          <w:pPr>
            <w:spacing w:line="360" w:lineRule="auto"/>
            <w:jc w:val="both"/>
            <w:rPr>
              <w:rFonts w:ascii="Times New Roman" w:hAnsi="Times New Roman" w:cs="Times New Roman"/>
              <w:sz w:val="24"/>
              <w:szCs w:val="24"/>
            </w:rPr>
          </w:pPr>
          <w:r w:rsidRPr="00395E6C">
            <w:rPr>
              <w:rFonts w:ascii="Times New Roman" w:hAnsi="Times New Roman" w:cs="Times New Roman"/>
              <w:b/>
              <w:bCs/>
              <w:noProof/>
              <w:sz w:val="24"/>
              <w:szCs w:val="24"/>
            </w:rPr>
            <w:fldChar w:fldCharType="end"/>
          </w:r>
        </w:p>
      </w:sdtContent>
    </w:sdt>
    <w:p w14:paraId="3B502127" w14:textId="77777777" w:rsidR="008D2F52" w:rsidRPr="00395E6C" w:rsidRDefault="008D2F52" w:rsidP="008D2F52">
      <w:pPr>
        <w:spacing w:line="360" w:lineRule="auto"/>
        <w:jc w:val="both"/>
        <w:rPr>
          <w:rFonts w:ascii="Times New Roman" w:eastAsia="Times New Roman" w:hAnsi="Times New Roman" w:cs="Times New Roman"/>
          <w:b/>
          <w:sz w:val="24"/>
          <w:szCs w:val="24"/>
          <w:highlight w:val="white"/>
        </w:rPr>
      </w:pPr>
      <w:r w:rsidRPr="00395E6C">
        <w:rPr>
          <w:rFonts w:ascii="Times New Roman" w:eastAsia="Times New Roman" w:hAnsi="Times New Roman" w:cs="Times New Roman"/>
          <w:b/>
          <w:sz w:val="24"/>
          <w:szCs w:val="24"/>
          <w:highlight w:val="white"/>
        </w:rPr>
        <w:br w:type="page"/>
      </w:r>
    </w:p>
    <w:p w14:paraId="00000002" w14:textId="1C4C6F22" w:rsidR="00D823D2" w:rsidRPr="00395E6C" w:rsidRDefault="002D6DE7" w:rsidP="008D2F52">
      <w:pPr>
        <w:pStyle w:val="Heading1"/>
        <w:rPr>
          <w:highlight w:val="white"/>
        </w:rPr>
      </w:pPr>
      <w:bookmarkStart w:id="1" w:name="_Toc101282819"/>
      <w:r w:rsidRPr="00395E6C">
        <w:rPr>
          <w:highlight w:val="white"/>
        </w:rPr>
        <w:lastRenderedPageBreak/>
        <w:t>Introduction</w:t>
      </w:r>
      <w:bookmarkEnd w:id="1"/>
    </w:p>
    <w:p w14:paraId="00000003" w14:textId="455F91C2" w:rsidR="00D823D2" w:rsidRPr="00395E6C" w:rsidRDefault="002D6DE7">
      <w:pPr>
        <w:spacing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w:t>
      </w:r>
      <w:r w:rsidRPr="00395E6C">
        <w:rPr>
          <w:rFonts w:ascii="Times New Roman" w:eastAsia="Times New Roman" w:hAnsi="Times New Roman" w:cs="Times New Roman"/>
          <w:b/>
          <w:i/>
          <w:sz w:val="24"/>
          <w:szCs w:val="24"/>
          <w:highlight w:val="white"/>
        </w:rPr>
        <w:t>International finance</w:t>
      </w:r>
      <w:r w:rsidRPr="00395E6C">
        <w:rPr>
          <w:rFonts w:ascii="Times New Roman" w:eastAsia="Times New Roman" w:hAnsi="Times New Roman" w:cs="Times New Roman"/>
          <w:sz w:val="24"/>
          <w:szCs w:val="24"/>
          <w:highlight w:val="white"/>
        </w:rPr>
        <w:t>” is primarily concerned with the study of financial change that occurs amongst two or more countries. “</w:t>
      </w:r>
      <w:r w:rsidRPr="00395E6C">
        <w:rPr>
          <w:rFonts w:ascii="Times New Roman" w:eastAsia="Times New Roman" w:hAnsi="Times New Roman" w:cs="Times New Roman"/>
          <w:b/>
          <w:i/>
          <w:sz w:val="24"/>
          <w:szCs w:val="24"/>
          <w:highlight w:val="white"/>
        </w:rPr>
        <w:t>Currency exchange rates</w:t>
      </w:r>
      <w:r w:rsidRPr="00395E6C">
        <w:rPr>
          <w:rFonts w:ascii="Times New Roman" w:eastAsia="Times New Roman" w:hAnsi="Times New Roman" w:cs="Times New Roman"/>
          <w:sz w:val="24"/>
          <w:szCs w:val="24"/>
          <w:highlight w:val="white"/>
        </w:rPr>
        <w:t>” and “</w:t>
      </w:r>
      <w:r w:rsidRPr="00395E6C">
        <w:rPr>
          <w:rFonts w:ascii="Times New Roman" w:eastAsia="Times New Roman" w:hAnsi="Times New Roman" w:cs="Times New Roman"/>
          <w:b/>
          <w:i/>
          <w:sz w:val="24"/>
          <w:szCs w:val="24"/>
          <w:highlight w:val="white"/>
        </w:rPr>
        <w:t>foreign direct investment</w:t>
      </w:r>
      <w:r w:rsidRPr="00395E6C">
        <w:rPr>
          <w:rFonts w:ascii="Times New Roman" w:eastAsia="Times New Roman" w:hAnsi="Times New Roman" w:cs="Times New Roman"/>
          <w:sz w:val="24"/>
          <w:szCs w:val="24"/>
          <w:highlight w:val="white"/>
        </w:rPr>
        <w:t xml:space="preserve">” are two </w:t>
      </w:r>
      <w:r w:rsidR="008D2F52" w:rsidRPr="00395E6C">
        <w:rPr>
          <w:rFonts w:ascii="Times New Roman" w:eastAsia="Times New Roman" w:hAnsi="Times New Roman" w:cs="Times New Roman"/>
          <w:sz w:val="24"/>
          <w:szCs w:val="24"/>
          <w:highlight w:val="white"/>
        </w:rPr>
        <w:t>magnitudes</w:t>
      </w:r>
      <w:r w:rsidRPr="00395E6C">
        <w:rPr>
          <w:rFonts w:ascii="Times New Roman" w:eastAsia="Times New Roman" w:hAnsi="Times New Roman" w:cs="Times New Roman"/>
          <w:sz w:val="24"/>
          <w:szCs w:val="24"/>
          <w:highlight w:val="white"/>
        </w:rPr>
        <w:t xml:space="preserve"> that international finance mostly refers to. The importance of financial management has been accentuated as a result of increased globalisation rates in the countries. “</w:t>
      </w:r>
      <w:r w:rsidRPr="00395E6C">
        <w:rPr>
          <w:rFonts w:ascii="Times New Roman" w:eastAsia="Times New Roman" w:hAnsi="Times New Roman" w:cs="Times New Roman"/>
          <w:b/>
          <w:i/>
          <w:sz w:val="24"/>
          <w:szCs w:val="24"/>
          <w:highlight w:val="white"/>
        </w:rPr>
        <w:t>Rather than narrowly focusing on individual markets</w:t>
      </w:r>
      <w:r w:rsidRPr="00395E6C">
        <w:rPr>
          <w:rFonts w:ascii="Times New Roman" w:eastAsia="Times New Roman" w:hAnsi="Times New Roman" w:cs="Times New Roman"/>
          <w:sz w:val="24"/>
          <w:szCs w:val="24"/>
          <w:highlight w:val="white"/>
        </w:rPr>
        <w:t xml:space="preserve">” international finance focuses on economic interactions across states. The main purpose of this essay is to discuss the </w:t>
      </w:r>
      <w:r w:rsidRPr="00395E6C">
        <w:rPr>
          <w:rFonts w:ascii="Times New Roman" w:eastAsia="Times New Roman" w:hAnsi="Times New Roman" w:cs="Times New Roman"/>
          <w:b/>
          <w:i/>
          <w:sz w:val="24"/>
          <w:szCs w:val="24"/>
          <w:highlight w:val="white"/>
        </w:rPr>
        <w:t>HSBC Holdings PLC’S</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b/>
          <w:i/>
          <w:sz w:val="24"/>
          <w:szCs w:val="24"/>
          <w:highlight w:val="white"/>
        </w:rPr>
        <w:t>dividend distribution policy</w:t>
      </w:r>
      <w:r w:rsidRPr="00395E6C">
        <w:rPr>
          <w:rFonts w:ascii="Times New Roman" w:eastAsia="Times New Roman" w:hAnsi="Times New Roman" w:cs="Times New Roman"/>
          <w:sz w:val="24"/>
          <w:szCs w:val="24"/>
          <w:highlight w:val="white"/>
        </w:rPr>
        <w:t>”. The organisation HSBC Holdings PLC was founded in the year 1865 by Thomas Sutherland and its headquarters are established in 8 Canada Square, England, London, UK. The organisation is mostly a “</w:t>
      </w:r>
      <w:r w:rsidRPr="00395E6C">
        <w:rPr>
          <w:rFonts w:ascii="Times New Roman" w:eastAsia="Times New Roman" w:hAnsi="Times New Roman" w:cs="Times New Roman"/>
          <w:b/>
          <w:i/>
          <w:sz w:val="24"/>
          <w:szCs w:val="24"/>
          <w:highlight w:val="white"/>
        </w:rPr>
        <w:t>British Multinational Investment Bank</w:t>
      </w:r>
      <w:r w:rsidRPr="00395E6C">
        <w:rPr>
          <w:rFonts w:ascii="Times New Roman" w:eastAsia="Times New Roman" w:hAnsi="Times New Roman" w:cs="Times New Roman"/>
          <w:sz w:val="24"/>
          <w:szCs w:val="24"/>
          <w:highlight w:val="white"/>
        </w:rPr>
        <w:t>” and also as a “</w:t>
      </w:r>
      <w:r w:rsidRPr="00395E6C">
        <w:rPr>
          <w:rFonts w:ascii="Times New Roman" w:eastAsia="Times New Roman" w:hAnsi="Times New Roman" w:cs="Times New Roman"/>
          <w:b/>
          <w:i/>
          <w:sz w:val="24"/>
          <w:szCs w:val="24"/>
          <w:highlight w:val="white"/>
        </w:rPr>
        <w:t>financial services holding corporation</w:t>
      </w:r>
      <w:r w:rsidRPr="00395E6C">
        <w:rPr>
          <w:rFonts w:ascii="Times New Roman" w:eastAsia="Times New Roman" w:hAnsi="Times New Roman" w:cs="Times New Roman"/>
          <w:sz w:val="24"/>
          <w:szCs w:val="24"/>
          <w:highlight w:val="white"/>
        </w:rPr>
        <w:t xml:space="preserve">” (HSBC, 2022c).  The organisation serves multiple across the global earth mostly in Oceania, Asia, Africa, South America, North America and Europe. The services and the products which the organisation delivers to its 40 million potential customers across the global earth are the credit cards, banking facilities of insurance investment, security services associated with private equities, banking commodities, managing assets and wealth and risk management. By providing all these services and products to its customers, the organisation HSBC Holdings PLC acquired a revenue of 49.552 billion dollars in the financial year 2021 (HSBC, 2022c). This essay also aims to discuss the market hypothesis of the company HDBS Holdings PLC as well as the financial changes which the organisation faced during the pandemic era will also be discussed in this essay. </w:t>
      </w:r>
    </w:p>
    <w:p w14:paraId="00000004" w14:textId="77777777" w:rsidR="00D823D2" w:rsidRPr="00395E6C" w:rsidRDefault="002D6DE7" w:rsidP="008D2F52">
      <w:pPr>
        <w:pStyle w:val="Heading1"/>
        <w:rPr>
          <w:highlight w:val="white"/>
        </w:rPr>
      </w:pPr>
      <w:bookmarkStart w:id="2" w:name="_Toc101282820"/>
      <w:r w:rsidRPr="00395E6C">
        <w:rPr>
          <w:highlight w:val="white"/>
        </w:rPr>
        <w:t>Critically analyse and evaluate your chosen multinational corporation’s dividend distribution policy</w:t>
      </w:r>
      <w:bookmarkEnd w:id="2"/>
    </w:p>
    <w:p w14:paraId="00000005" w14:textId="6A99DE00" w:rsidR="00D823D2" w:rsidRPr="00395E6C" w:rsidRDefault="002D6DE7">
      <w:pPr>
        <w:spacing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As opined by the author </w:t>
      </w:r>
      <w:proofErr w:type="spellStart"/>
      <w:r w:rsidRPr="00395E6C">
        <w:rPr>
          <w:rFonts w:ascii="Times New Roman" w:eastAsia="Times New Roman" w:hAnsi="Times New Roman" w:cs="Times New Roman"/>
          <w:sz w:val="24"/>
          <w:szCs w:val="24"/>
          <w:highlight w:val="white"/>
        </w:rPr>
        <w:t>Kanakriyah</w:t>
      </w:r>
      <w:proofErr w:type="spellEnd"/>
      <w:r w:rsidR="00395E6C"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sz w:val="24"/>
          <w:szCs w:val="24"/>
          <w:highlight w:val="white"/>
        </w:rPr>
        <w:t>(2020), “</w:t>
      </w:r>
      <w:r w:rsidRPr="00395E6C">
        <w:rPr>
          <w:rFonts w:ascii="Times New Roman" w:eastAsia="Times New Roman" w:hAnsi="Times New Roman" w:cs="Times New Roman"/>
          <w:b/>
          <w:i/>
          <w:sz w:val="24"/>
          <w:szCs w:val="24"/>
          <w:highlight w:val="white"/>
        </w:rPr>
        <w:t>Dividend policy and companies' financial performance</w:t>
      </w:r>
      <w:r w:rsidRPr="00395E6C">
        <w:rPr>
          <w:rFonts w:ascii="Times New Roman" w:eastAsia="Times New Roman" w:hAnsi="Times New Roman" w:cs="Times New Roman"/>
          <w:sz w:val="24"/>
          <w:szCs w:val="24"/>
          <w:highlight w:val="white"/>
        </w:rPr>
        <w:t xml:space="preserve">” Dividend policies are mostly the decisions regarding the clearance of the financial debts and dividends from the portion of the company’s profitability or the earnings from which the organisation will be paying to its shareholders. The organisation HSBC Holdings PLC possesses nearly 187,000 shareholders in one </w:t>
      </w:r>
      <w:r w:rsidR="008D2F52" w:rsidRPr="00395E6C">
        <w:rPr>
          <w:rFonts w:ascii="Times New Roman" w:eastAsia="Times New Roman" w:hAnsi="Times New Roman" w:cs="Times New Roman"/>
          <w:sz w:val="24"/>
          <w:szCs w:val="24"/>
          <w:highlight w:val="white"/>
        </w:rPr>
        <w:t>twenty-eight</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b/>
          <w:i/>
          <w:sz w:val="24"/>
          <w:szCs w:val="24"/>
          <w:highlight w:val="white"/>
        </w:rPr>
        <w:t>countries and territories</w:t>
      </w:r>
      <w:r w:rsidRPr="00395E6C">
        <w:rPr>
          <w:rFonts w:ascii="Times New Roman" w:eastAsia="Times New Roman" w:hAnsi="Times New Roman" w:cs="Times New Roman"/>
          <w:sz w:val="24"/>
          <w:szCs w:val="24"/>
          <w:highlight w:val="white"/>
        </w:rPr>
        <w:t>” (HSBC, 2022b). The organisation is listed under the United Kingdom’s “</w:t>
      </w:r>
      <w:r w:rsidRPr="00395E6C">
        <w:rPr>
          <w:rFonts w:ascii="Times New Roman" w:eastAsia="Times New Roman" w:hAnsi="Times New Roman" w:cs="Times New Roman"/>
          <w:b/>
          <w:i/>
          <w:sz w:val="24"/>
          <w:szCs w:val="24"/>
          <w:highlight w:val="white"/>
        </w:rPr>
        <w:t>London Stock Exchange</w:t>
      </w:r>
      <w:r w:rsidRPr="00395E6C">
        <w:rPr>
          <w:rFonts w:ascii="Times New Roman" w:eastAsia="Times New Roman" w:hAnsi="Times New Roman" w:cs="Times New Roman"/>
          <w:sz w:val="24"/>
          <w:szCs w:val="24"/>
          <w:highlight w:val="white"/>
        </w:rPr>
        <w:t>” and its other branches are also listed under “</w:t>
      </w:r>
      <w:r w:rsidRPr="00395E6C">
        <w:rPr>
          <w:rFonts w:ascii="Times New Roman" w:eastAsia="Times New Roman" w:hAnsi="Times New Roman" w:cs="Times New Roman"/>
          <w:b/>
          <w:i/>
          <w:sz w:val="24"/>
          <w:szCs w:val="24"/>
          <w:highlight w:val="white"/>
        </w:rPr>
        <w:t>Bermuda Stock Exchange</w:t>
      </w:r>
      <w:r w:rsidRPr="00395E6C">
        <w:rPr>
          <w:rFonts w:ascii="Times New Roman" w:eastAsia="Times New Roman" w:hAnsi="Times New Roman" w:cs="Times New Roman"/>
          <w:sz w:val="24"/>
          <w:szCs w:val="24"/>
          <w:highlight w:val="white"/>
        </w:rPr>
        <w:t>” and “</w:t>
      </w:r>
      <w:r w:rsidRPr="00395E6C">
        <w:rPr>
          <w:rFonts w:ascii="Times New Roman" w:eastAsia="Times New Roman" w:hAnsi="Times New Roman" w:cs="Times New Roman"/>
          <w:b/>
          <w:i/>
          <w:sz w:val="24"/>
          <w:szCs w:val="24"/>
          <w:highlight w:val="white"/>
        </w:rPr>
        <w:t>Hong Kong Stock Exchange</w:t>
      </w:r>
      <w:r w:rsidRPr="00395E6C">
        <w:rPr>
          <w:rFonts w:ascii="Times New Roman" w:eastAsia="Times New Roman" w:hAnsi="Times New Roman" w:cs="Times New Roman"/>
          <w:sz w:val="24"/>
          <w:szCs w:val="24"/>
          <w:highlight w:val="white"/>
        </w:rPr>
        <w:t>”. The organisation has also successfully established itself under the “</w:t>
      </w:r>
      <w:r w:rsidRPr="00395E6C">
        <w:rPr>
          <w:rFonts w:ascii="Times New Roman" w:eastAsia="Times New Roman" w:hAnsi="Times New Roman" w:cs="Times New Roman"/>
          <w:b/>
          <w:i/>
          <w:sz w:val="24"/>
          <w:szCs w:val="24"/>
          <w:highlight w:val="white"/>
        </w:rPr>
        <w:t>New York Stock Exchange</w:t>
      </w:r>
      <w:r w:rsidRPr="00395E6C">
        <w:rPr>
          <w:rFonts w:ascii="Times New Roman" w:eastAsia="Times New Roman" w:hAnsi="Times New Roman" w:cs="Times New Roman"/>
          <w:sz w:val="24"/>
          <w:szCs w:val="24"/>
          <w:highlight w:val="white"/>
        </w:rPr>
        <w:t xml:space="preserve">” in order to potentially operate in the market of the USA. Most of the dividends of the </w:t>
      </w:r>
      <w:r w:rsidRPr="00395E6C">
        <w:rPr>
          <w:rFonts w:ascii="Times New Roman" w:eastAsia="Times New Roman" w:hAnsi="Times New Roman" w:cs="Times New Roman"/>
          <w:sz w:val="24"/>
          <w:szCs w:val="24"/>
          <w:highlight w:val="white"/>
        </w:rPr>
        <w:lastRenderedPageBreak/>
        <w:t>organisation are declared in “</w:t>
      </w:r>
      <w:r w:rsidRPr="00395E6C">
        <w:rPr>
          <w:rFonts w:ascii="Times New Roman" w:eastAsia="Times New Roman" w:hAnsi="Times New Roman" w:cs="Times New Roman"/>
          <w:b/>
          <w:i/>
          <w:sz w:val="24"/>
          <w:szCs w:val="24"/>
          <w:highlight w:val="white"/>
        </w:rPr>
        <w:t>US dollars</w:t>
      </w:r>
      <w:r w:rsidRPr="00395E6C">
        <w:rPr>
          <w:rFonts w:ascii="Times New Roman" w:eastAsia="Times New Roman" w:hAnsi="Times New Roman" w:cs="Times New Roman"/>
          <w:sz w:val="24"/>
          <w:szCs w:val="24"/>
          <w:highlight w:val="white"/>
        </w:rPr>
        <w:t>” but the organisation pays all its dividends to its shareholders in British pounds sterling. The organisation aims to change its currencies, because the shareholders from the Asian region often tend to ask for their payments in “</w:t>
      </w:r>
      <w:r w:rsidRPr="00395E6C">
        <w:rPr>
          <w:rFonts w:ascii="Times New Roman" w:eastAsia="Times New Roman" w:hAnsi="Times New Roman" w:cs="Times New Roman"/>
          <w:b/>
          <w:i/>
          <w:sz w:val="24"/>
          <w:szCs w:val="24"/>
          <w:highlight w:val="white"/>
        </w:rPr>
        <w:t>Hong Kong dollars</w:t>
      </w:r>
      <w:r w:rsidRPr="00395E6C">
        <w:rPr>
          <w:rFonts w:ascii="Times New Roman" w:eastAsia="Times New Roman" w:hAnsi="Times New Roman" w:cs="Times New Roman"/>
          <w:sz w:val="24"/>
          <w:szCs w:val="24"/>
          <w:highlight w:val="white"/>
        </w:rPr>
        <w:t xml:space="preserve">” (HSBC, 2022b). Unlike its </w:t>
      </w:r>
      <w:r w:rsidR="008D2F52" w:rsidRPr="00395E6C">
        <w:rPr>
          <w:rFonts w:ascii="Times New Roman" w:eastAsia="Times New Roman" w:hAnsi="Times New Roman" w:cs="Times New Roman"/>
          <w:sz w:val="24"/>
          <w:szCs w:val="24"/>
          <w:highlight w:val="white"/>
        </w:rPr>
        <w:t>competitors Bank</w:t>
      </w:r>
      <w:r w:rsidRPr="00395E6C">
        <w:rPr>
          <w:rFonts w:ascii="Times New Roman" w:eastAsia="Times New Roman" w:hAnsi="Times New Roman" w:cs="Times New Roman"/>
          <w:sz w:val="24"/>
          <w:szCs w:val="24"/>
          <w:highlight w:val="white"/>
        </w:rPr>
        <w:t xml:space="preserve"> of America, Lloyds Banking Group and National Australia Bank the organisation HSBC Holdings PLC have faced financial challenges due to the sudden onset of the pandemic Covid-19 as well as the Brexit deal restrictions. The business organisations present across the United Kingdom have to face certain economic uncertainties, but countries under the EU trade union acquired the global earth</w:t>
      </w:r>
      <w:r w:rsidR="008D2F52" w:rsidRPr="00395E6C">
        <w:rPr>
          <w:rFonts w:ascii="Times New Roman" w:eastAsia="Times New Roman" w:hAnsi="Times New Roman" w:cs="Times New Roman"/>
          <w:sz w:val="24"/>
          <w:szCs w:val="24"/>
          <w:highlight w:val="white"/>
        </w:rPr>
        <w:t>’s</w:t>
      </w:r>
      <w:r w:rsidRPr="00395E6C">
        <w:rPr>
          <w:rFonts w:ascii="Times New Roman" w:eastAsia="Times New Roman" w:hAnsi="Times New Roman" w:cs="Times New Roman"/>
          <w:sz w:val="24"/>
          <w:szCs w:val="24"/>
          <w:highlight w:val="white"/>
        </w:rPr>
        <w:t xml:space="preserve"> second largest</w:t>
      </w:r>
      <w:r w:rsidRPr="00395E6C">
        <w:rPr>
          <w:sz w:val="24"/>
          <w:szCs w:val="24"/>
          <w:highlight w:val="white"/>
        </w:rPr>
        <w:t xml:space="preserve"> “</w:t>
      </w:r>
      <w:r w:rsidRPr="00395E6C">
        <w:rPr>
          <w:rFonts w:ascii="Times New Roman" w:eastAsia="Times New Roman" w:hAnsi="Times New Roman" w:cs="Times New Roman"/>
          <w:b/>
          <w:i/>
          <w:sz w:val="24"/>
          <w:szCs w:val="24"/>
          <w:highlight w:val="white"/>
        </w:rPr>
        <w:t>share of export and import goods, equivalent to 15.4%</w:t>
      </w:r>
      <w:r w:rsidRPr="00395E6C">
        <w:rPr>
          <w:rFonts w:ascii="Times New Roman" w:eastAsia="Times New Roman" w:hAnsi="Times New Roman" w:cs="Times New Roman"/>
          <w:sz w:val="24"/>
          <w:szCs w:val="24"/>
          <w:highlight w:val="white"/>
        </w:rPr>
        <w:t xml:space="preserve">” of the global economic trade in the financial year 2019 (HSBC, 2022a). The organisation’s brand value increased in the European countries than the establishment of the country UK. Still acquiring certain </w:t>
      </w:r>
      <w:r w:rsidR="008D2F52" w:rsidRPr="00395E6C">
        <w:rPr>
          <w:rFonts w:ascii="Times New Roman" w:eastAsia="Times New Roman" w:hAnsi="Times New Roman" w:cs="Times New Roman"/>
          <w:sz w:val="24"/>
          <w:szCs w:val="24"/>
          <w:highlight w:val="white"/>
        </w:rPr>
        <w:t>losses,</w:t>
      </w:r>
      <w:r w:rsidRPr="00395E6C">
        <w:rPr>
          <w:rFonts w:ascii="Times New Roman" w:eastAsia="Times New Roman" w:hAnsi="Times New Roman" w:cs="Times New Roman"/>
          <w:sz w:val="24"/>
          <w:szCs w:val="24"/>
          <w:highlight w:val="white"/>
        </w:rPr>
        <w:t xml:space="preserve"> the organisation was able clear all the dividends associated with shareholders. The organisation paid an amount of </w:t>
      </w:r>
      <w:r w:rsidRPr="00395E6C">
        <w:rPr>
          <w:rFonts w:ascii="Times New Roman" w:eastAsia="Times New Roman" w:hAnsi="Times New Roman" w:cs="Times New Roman"/>
          <w:b/>
          <w:bCs/>
          <w:i/>
          <w:iCs/>
          <w:sz w:val="24"/>
          <w:szCs w:val="24"/>
          <w:highlight w:val="white"/>
        </w:rPr>
        <w:t>5.19 billion British Pounds</w:t>
      </w:r>
      <w:r w:rsidRPr="00395E6C">
        <w:rPr>
          <w:rFonts w:ascii="Times New Roman" w:eastAsia="Times New Roman" w:hAnsi="Times New Roman" w:cs="Times New Roman"/>
          <w:sz w:val="24"/>
          <w:szCs w:val="24"/>
          <w:highlight w:val="white"/>
        </w:rPr>
        <w:t xml:space="preserve"> in the month of September of the financial year 2021 and the organisation’s next dividend payments are scheduled to </w:t>
      </w:r>
      <w:r w:rsidRPr="00395E6C">
        <w:rPr>
          <w:rFonts w:ascii="Times New Roman" w:eastAsia="Times New Roman" w:hAnsi="Times New Roman" w:cs="Times New Roman"/>
          <w:b/>
          <w:bCs/>
          <w:i/>
          <w:iCs/>
          <w:sz w:val="24"/>
          <w:szCs w:val="24"/>
          <w:highlight w:val="white"/>
        </w:rPr>
        <w:t>13.29 billion British pounds</w:t>
      </w:r>
      <w:r w:rsidRPr="00395E6C">
        <w:rPr>
          <w:rFonts w:ascii="Times New Roman" w:eastAsia="Times New Roman" w:hAnsi="Times New Roman" w:cs="Times New Roman"/>
          <w:sz w:val="24"/>
          <w:szCs w:val="24"/>
          <w:highlight w:val="white"/>
        </w:rPr>
        <w:t xml:space="preserve"> on 28th of April of the coming financial year 2022 </w:t>
      </w:r>
      <w:r w:rsidR="008D2F52" w:rsidRPr="00395E6C">
        <w:rPr>
          <w:rFonts w:ascii="Times New Roman" w:eastAsia="Times New Roman" w:hAnsi="Times New Roman" w:cs="Times New Roman"/>
          <w:sz w:val="24"/>
          <w:szCs w:val="24"/>
          <w:highlight w:val="white"/>
        </w:rPr>
        <w:t>(HSBC</w:t>
      </w:r>
      <w:r w:rsidRPr="00395E6C">
        <w:rPr>
          <w:rFonts w:ascii="Times New Roman" w:eastAsia="Times New Roman" w:hAnsi="Times New Roman" w:cs="Times New Roman"/>
          <w:sz w:val="24"/>
          <w:szCs w:val="24"/>
          <w:highlight w:val="white"/>
        </w:rPr>
        <w:t xml:space="preserve"> Holdings plc, 2022). The first payment of the organisation was cleared by providing a cheque to its individual shareholders, transferring the dividend amounts to the respective bank accounts of the shareholders and also via developing a “</w:t>
      </w:r>
      <w:r w:rsidRPr="00395E6C">
        <w:rPr>
          <w:rFonts w:ascii="Times New Roman" w:eastAsia="Times New Roman" w:hAnsi="Times New Roman" w:cs="Times New Roman"/>
          <w:b/>
          <w:i/>
          <w:sz w:val="24"/>
          <w:szCs w:val="24"/>
          <w:highlight w:val="white"/>
        </w:rPr>
        <w:t>society account through the BACS system</w:t>
      </w:r>
      <w:r w:rsidRPr="00395E6C">
        <w:rPr>
          <w:rFonts w:ascii="Times New Roman" w:eastAsia="Times New Roman" w:hAnsi="Times New Roman" w:cs="Times New Roman"/>
          <w:sz w:val="24"/>
          <w:szCs w:val="24"/>
          <w:highlight w:val="white"/>
        </w:rPr>
        <w:t xml:space="preserve">” (HSBC, 2022a). As per the view of the authors Howard </w:t>
      </w:r>
      <w:r w:rsidRPr="00395E6C">
        <w:rPr>
          <w:rFonts w:ascii="Times New Roman" w:eastAsia="Times New Roman" w:hAnsi="Times New Roman" w:cs="Times New Roman"/>
          <w:i/>
          <w:sz w:val="24"/>
          <w:szCs w:val="24"/>
          <w:highlight w:val="white"/>
        </w:rPr>
        <w:t>et al</w:t>
      </w:r>
      <w:r w:rsidRPr="00395E6C">
        <w:rPr>
          <w:rFonts w:ascii="Times New Roman" w:eastAsia="Times New Roman" w:hAnsi="Times New Roman" w:cs="Times New Roman"/>
          <w:sz w:val="24"/>
          <w:szCs w:val="24"/>
          <w:highlight w:val="white"/>
        </w:rPr>
        <w:t xml:space="preserve">. (2017), conducting payment through the BACS system method of distributing dividends, payment procedures have become </w:t>
      </w:r>
      <w:r w:rsidR="008D2F52" w:rsidRPr="00395E6C">
        <w:rPr>
          <w:rFonts w:ascii="Times New Roman" w:eastAsia="Times New Roman" w:hAnsi="Times New Roman" w:cs="Times New Roman"/>
          <w:sz w:val="24"/>
          <w:szCs w:val="24"/>
          <w:highlight w:val="white"/>
        </w:rPr>
        <w:t>more convenient and quicker</w:t>
      </w:r>
      <w:r w:rsidRPr="00395E6C">
        <w:rPr>
          <w:rFonts w:ascii="Times New Roman" w:eastAsia="Times New Roman" w:hAnsi="Times New Roman" w:cs="Times New Roman"/>
          <w:sz w:val="24"/>
          <w:szCs w:val="24"/>
          <w:highlight w:val="white"/>
        </w:rPr>
        <w:t>; checks are no longer stolen or lost in the process, and the company’s fraud risks have decreased.</w:t>
      </w:r>
    </w:p>
    <w:p w14:paraId="00000006" w14:textId="77777777" w:rsidR="00D823D2" w:rsidRPr="00395E6C" w:rsidRDefault="002D6DE7" w:rsidP="008D2F52">
      <w:pPr>
        <w:pStyle w:val="Heading1"/>
        <w:rPr>
          <w:highlight w:val="white"/>
        </w:rPr>
      </w:pPr>
      <w:bookmarkStart w:id="3" w:name="_Toc101282821"/>
      <w:r w:rsidRPr="00395E6C">
        <w:rPr>
          <w:highlight w:val="white"/>
        </w:rPr>
        <w:t>Critically analyse the efficient market hypothesis theory in the context of your chosen multinational corporation’s operations</w:t>
      </w:r>
      <w:bookmarkEnd w:id="3"/>
    </w:p>
    <w:p w14:paraId="00000007" w14:textId="05B5FC39" w:rsidR="00D823D2" w:rsidRPr="00395E6C" w:rsidRDefault="002D6DE7">
      <w:pPr>
        <w:spacing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w:t>
      </w:r>
      <w:r w:rsidRPr="00395E6C">
        <w:rPr>
          <w:rFonts w:ascii="Times New Roman" w:eastAsia="Times New Roman" w:hAnsi="Times New Roman" w:cs="Times New Roman"/>
          <w:b/>
          <w:bCs/>
          <w:i/>
          <w:iCs/>
          <w:sz w:val="24"/>
          <w:szCs w:val="24"/>
          <w:highlight w:val="white"/>
        </w:rPr>
        <w:t>Efficient Market Hypothesis</w:t>
      </w:r>
      <w:r w:rsidRPr="00395E6C">
        <w:rPr>
          <w:rFonts w:ascii="Times New Roman" w:eastAsia="Times New Roman" w:hAnsi="Times New Roman" w:cs="Times New Roman"/>
          <w:sz w:val="24"/>
          <w:szCs w:val="24"/>
          <w:highlight w:val="white"/>
        </w:rPr>
        <w:t xml:space="preserve">” is one of the potential reasons for the investors who most of the time </w:t>
      </w:r>
      <w:r w:rsidR="008D2F52" w:rsidRPr="00395E6C">
        <w:rPr>
          <w:rFonts w:ascii="Times New Roman" w:eastAsia="Times New Roman" w:hAnsi="Times New Roman" w:cs="Times New Roman"/>
          <w:sz w:val="24"/>
          <w:szCs w:val="24"/>
          <w:highlight w:val="white"/>
        </w:rPr>
        <w:t>consider</w:t>
      </w:r>
      <w:r w:rsidRPr="00395E6C">
        <w:rPr>
          <w:rFonts w:ascii="Times New Roman" w:eastAsia="Times New Roman" w:hAnsi="Times New Roman" w:cs="Times New Roman"/>
          <w:sz w:val="24"/>
          <w:szCs w:val="24"/>
          <w:highlight w:val="white"/>
        </w:rPr>
        <w:t xml:space="preserve"> to choose a “</w:t>
      </w:r>
      <w:r w:rsidRPr="00395E6C">
        <w:rPr>
          <w:rFonts w:ascii="Times New Roman" w:eastAsia="Times New Roman" w:hAnsi="Times New Roman" w:cs="Times New Roman"/>
          <w:b/>
          <w:i/>
          <w:sz w:val="24"/>
          <w:szCs w:val="24"/>
          <w:highlight w:val="white"/>
        </w:rPr>
        <w:t>passive investing strategy</w:t>
      </w:r>
      <w:r w:rsidRPr="00395E6C">
        <w:rPr>
          <w:rFonts w:ascii="Times New Roman" w:eastAsia="Times New Roman" w:hAnsi="Times New Roman" w:cs="Times New Roman"/>
          <w:sz w:val="24"/>
          <w:szCs w:val="24"/>
          <w:highlight w:val="white"/>
        </w:rPr>
        <w:t xml:space="preserve">”. This strategy helps the inventors to investigate the market where their investments are currently in </w:t>
      </w:r>
      <w:r w:rsidR="008D2F52" w:rsidRPr="00395E6C">
        <w:rPr>
          <w:rFonts w:ascii="Times New Roman" w:eastAsia="Times New Roman" w:hAnsi="Times New Roman" w:cs="Times New Roman"/>
          <w:sz w:val="24"/>
          <w:szCs w:val="24"/>
          <w:highlight w:val="white"/>
        </w:rPr>
        <w:t>operation</w:t>
      </w:r>
      <w:r w:rsidRPr="00395E6C">
        <w:rPr>
          <w:rFonts w:ascii="Times New Roman" w:eastAsia="Times New Roman" w:hAnsi="Times New Roman" w:cs="Times New Roman"/>
          <w:sz w:val="24"/>
          <w:szCs w:val="24"/>
          <w:highlight w:val="white"/>
        </w:rPr>
        <w:t xml:space="preserve">. As per the view of the author, </w:t>
      </w:r>
      <w:proofErr w:type="spellStart"/>
      <w:r w:rsidRPr="00395E6C">
        <w:rPr>
          <w:rFonts w:ascii="Times New Roman" w:eastAsia="Times New Roman" w:hAnsi="Times New Roman" w:cs="Times New Roman"/>
          <w:sz w:val="24"/>
          <w:szCs w:val="24"/>
          <w:highlight w:val="white"/>
        </w:rPr>
        <w:t>Leković</w:t>
      </w:r>
      <w:proofErr w:type="spellEnd"/>
      <w:r w:rsidRPr="00395E6C">
        <w:rPr>
          <w:rFonts w:ascii="Times New Roman" w:eastAsia="Times New Roman" w:hAnsi="Times New Roman" w:cs="Times New Roman"/>
          <w:sz w:val="24"/>
          <w:szCs w:val="24"/>
          <w:highlight w:val="white"/>
        </w:rPr>
        <w:t xml:space="preserve"> (2018)</w:t>
      </w:r>
      <w:r w:rsidR="00395E6C">
        <w:rPr>
          <w:rFonts w:ascii="Times New Roman" w:eastAsia="Times New Roman" w:hAnsi="Times New Roman" w:cs="Times New Roman"/>
          <w:sz w:val="24"/>
          <w:szCs w:val="24"/>
          <w:highlight w:val="white"/>
        </w:rPr>
        <w:t>,</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b/>
          <w:i/>
          <w:sz w:val="24"/>
          <w:szCs w:val="24"/>
          <w:highlight w:val="white"/>
        </w:rPr>
        <w:t>Evidence for and against the validity of efficient market hypothesis</w:t>
      </w:r>
      <w:r w:rsidRPr="00395E6C">
        <w:rPr>
          <w:rFonts w:ascii="Times New Roman" w:eastAsia="Times New Roman" w:hAnsi="Times New Roman" w:cs="Times New Roman"/>
          <w:sz w:val="24"/>
          <w:szCs w:val="24"/>
          <w:highlight w:val="white"/>
        </w:rPr>
        <w:t>” market hypothesis helps the investors to understand the “</w:t>
      </w:r>
      <w:r w:rsidRPr="00395E6C">
        <w:rPr>
          <w:rFonts w:ascii="Times New Roman" w:eastAsia="Times New Roman" w:hAnsi="Times New Roman" w:cs="Times New Roman"/>
          <w:b/>
          <w:i/>
          <w:sz w:val="24"/>
          <w:szCs w:val="24"/>
          <w:highlight w:val="white"/>
        </w:rPr>
        <w:t>valid rationale of buying the passive mutual funds and exchange-traded funds</w:t>
      </w:r>
      <w:r w:rsidRPr="00395E6C">
        <w:rPr>
          <w:rFonts w:ascii="Times New Roman" w:eastAsia="Times New Roman" w:hAnsi="Times New Roman" w:cs="Times New Roman"/>
          <w:sz w:val="24"/>
          <w:szCs w:val="24"/>
          <w:highlight w:val="white"/>
        </w:rPr>
        <w:t xml:space="preserve">”. As opined by the authors </w:t>
      </w:r>
      <w:proofErr w:type="spellStart"/>
      <w:r w:rsidRPr="00395E6C">
        <w:rPr>
          <w:rFonts w:ascii="Times New Roman" w:eastAsia="Times New Roman" w:hAnsi="Times New Roman" w:cs="Times New Roman"/>
          <w:sz w:val="24"/>
          <w:szCs w:val="24"/>
          <w:highlight w:val="white"/>
        </w:rPr>
        <w:t>Onyekwelu</w:t>
      </w:r>
      <w:proofErr w:type="spellEnd"/>
      <w:r w:rsidRPr="00395E6C">
        <w:rPr>
          <w:rFonts w:ascii="Times New Roman" w:eastAsia="Times New Roman" w:hAnsi="Times New Roman" w:cs="Times New Roman"/>
          <w:i/>
          <w:sz w:val="24"/>
          <w:szCs w:val="24"/>
          <w:highlight w:val="white"/>
        </w:rPr>
        <w:t xml:space="preserve"> et al</w:t>
      </w:r>
      <w:r w:rsidRPr="00395E6C">
        <w:rPr>
          <w:rFonts w:ascii="Times New Roman" w:eastAsia="Times New Roman" w:hAnsi="Times New Roman" w:cs="Times New Roman"/>
          <w:sz w:val="24"/>
          <w:szCs w:val="24"/>
          <w:highlight w:val="white"/>
        </w:rPr>
        <w:t xml:space="preserve">. (2018), the concept of market hypothesis potentially describes the stock, investment securities are already factored in emancipating the costs of the securities. Considering the opinions of the two </w:t>
      </w:r>
      <w:r w:rsidRPr="00395E6C">
        <w:rPr>
          <w:rFonts w:ascii="Times New Roman" w:eastAsia="Times New Roman" w:hAnsi="Times New Roman" w:cs="Times New Roman"/>
          <w:sz w:val="24"/>
          <w:szCs w:val="24"/>
          <w:highlight w:val="white"/>
        </w:rPr>
        <w:lastRenderedPageBreak/>
        <w:t>authors, each one of them possesses the only option, as for an investor who wants to get higher returns on their assets will have to “purchase riskier investments”. Central European market circumstances were not comparable to those of Ireland and the United Kingdom. The sudden onset of the epidemic has reduced the sale</w:t>
      </w:r>
      <w:r w:rsidR="008D2F52"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sz w:val="24"/>
          <w:szCs w:val="24"/>
          <w:highlight w:val="white"/>
        </w:rPr>
        <w:t>rate to 27% from October of the financial year 2020 to January of the financial year 2021 in Central European countries, when sales were over 45 percent before the commencement of the epidemic period (</w:t>
      </w:r>
      <w:r w:rsidR="007C20D8" w:rsidRPr="00395E6C">
        <w:rPr>
          <w:rFonts w:ascii="Times New Roman" w:eastAsia="Times New Roman" w:hAnsi="Times New Roman" w:cs="Times New Roman"/>
          <w:sz w:val="24"/>
          <w:szCs w:val="24"/>
          <w:highlight w:val="white"/>
        </w:rPr>
        <w:t>World bank</w:t>
      </w:r>
      <w:r w:rsidRPr="00395E6C">
        <w:rPr>
          <w:rFonts w:ascii="Times New Roman" w:eastAsia="Times New Roman" w:hAnsi="Times New Roman" w:cs="Times New Roman"/>
          <w:sz w:val="24"/>
          <w:szCs w:val="24"/>
          <w:highlight w:val="white"/>
        </w:rPr>
        <w:t>, 2022). Customers were avoiding direct interaction by consuming services and products online rather than going somewhere else. The organisation HSBC mostly operates in the country United Kingdom, as well as its brands containing multiple products and services are spread across the world. The company operates through “</w:t>
      </w:r>
      <w:r w:rsidRPr="00395E6C">
        <w:rPr>
          <w:rFonts w:ascii="Times New Roman" w:eastAsia="Times New Roman" w:hAnsi="Times New Roman" w:cs="Times New Roman"/>
          <w:b/>
          <w:i/>
          <w:sz w:val="24"/>
          <w:szCs w:val="24"/>
          <w:highlight w:val="white"/>
        </w:rPr>
        <w:t>a number of legal entities</w:t>
      </w:r>
      <w:r w:rsidRPr="00395E6C">
        <w:rPr>
          <w:rFonts w:ascii="Times New Roman" w:eastAsia="Times New Roman" w:hAnsi="Times New Roman" w:cs="Times New Roman"/>
          <w:sz w:val="24"/>
          <w:szCs w:val="24"/>
          <w:highlight w:val="white"/>
        </w:rPr>
        <w:t>” that are spread across the global earth. The organisation conducts all of its business operations through “</w:t>
      </w:r>
      <w:r w:rsidRPr="00395E6C">
        <w:rPr>
          <w:rFonts w:ascii="Times New Roman" w:eastAsia="Times New Roman" w:hAnsi="Times New Roman" w:cs="Times New Roman"/>
          <w:b/>
          <w:i/>
          <w:sz w:val="24"/>
          <w:szCs w:val="24"/>
          <w:highlight w:val="white"/>
        </w:rPr>
        <w:t>matrix management structure</w:t>
      </w:r>
      <w:r w:rsidRPr="00395E6C">
        <w:rPr>
          <w:rFonts w:ascii="Times New Roman" w:eastAsia="Times New Roman" w:hAnsi="Times New Roman" w:cs="Times New Roman"/>
          <w:sz w:val="24"/>
          <w:szCs w:val="24"/>
          <w:highlight w:val="white"/>
        </w:rPr>
        <w:t>” and with the help of this structure like other reputed banks in the country UK, the organisation HSBC also developed some “recovery plan” in order to boost up its market operations during the pandemic era (HSBC, 2022d). In order to cope up with the financial challenges the organisation has developed a “</w:t>
      </w:r>
      <w:r w:rsidRPr="00395E6C">
        <w:rPr>
          <w:rFonts w:ascii="Times New Roman" w:eastAsia="Times New Roman" w:hAnsi="Times New Roman" w:cs="Times New Roman"/>
          <w:b/>
          <w:i/>
          <w:sz w:val="24"/>
          <w:szCs w:val="24"/>
          <w:highlight w:val="white"/>
        </w:rPr>
        <w:t>multi point of entry</w:t>
      </w:r>
      <w:r w:rsidRPr="00395E6C">
        <w:rPr>
          <w:rFonts w:ascii="Times New Roman" w:eastAsia="Times New Roman" w:hAnsi="Times New Roman" w:cs="Times New Roman"/>
          <w:sz w:val="24"/>
          <w:szCs w:val="24"/>
          <w:highlight w:val="white"/>
        </w:rPr>
        <w:t>” category for the purpose of the resolution. Several studies have been conducted in order to determine the “</w:t>
      </w:r>
      <w:r w:rsidRPr="00395E6C">
        <w:rPr>
          <w:rFonts w:ascii="Times New Roman" w:eastAsia="Times New Roman" w:hAnsi="Times New Roman" w:cs="Times New Roman"/>
          <w:b/>
          <w:i/>
          <w:sz w:val="24"/>
          <w:szCs w:val="24"/>
          <w:highlight w:val="white"/>
        </w:rPr>
        <w:t>market structure performance relationship</w:t>
      </w:r>
      <w:r w:rsidRPr="00395E6C">
        <w:rPr>
          <w:rFonts w:ascii="Times New Roman" w:eastAsia="Times New Roman" w:hAnsi="Times New Roman" w:cs="Times New Roman"/>
          <w:sz w:val="24"/>
          <w:szCs w:val="24"/>
          <w:highlight w:val="white"/>
        </w:rPr>
        <w:t xml:space="preserve">” of the market analysis of the organisation HSBC. As opined by the authors </w:t>
      </w:r>
      <w:proofErr w:type="spellStart"/>
      <w:r w:rsidRPr="00395E6C">
        <w:rPr>
          <w:rFonts w:ascii="Times New Roman" w:eastAsia="Times New Roman" w:hAnsi="Times New Roman" w:cs="Times New Roman"/>
          <w:sz w:val="24"/>
          <w:szCs w:val="24"/>
          <w:highlight w:val="white"/>
        </w:rPr>
        <w:t>Maudos</w:t>
      </w:r>
      <w:proofErr w:type="spellEnd"/>
      <w:r w:rsidRPr="00395E6C">
        <w:rPr>
          <w:rFonts w:ascii="Times New Roman" w:eastAsia="Times New Roman" w:hAnsi="Times New Roman" w:cs="Times New Roman"/>
          <w:sz w:val="24"/>
          <w:szCs w:val="24"/>
          <w:highlight w:val="white"/>
        </w:rPr>
        <w:t xml:space="preserve"> and </w:t>
      </w:r>
      <w:proofErr w:type="spellStart"/>
      <w:r w:rsidRPr="00395E6C">
        <w:rPr>
          <w:rFonts w:ascii="Times New Roman" w:eastAsia="Times New Roman" w:hAnsi="Times New Roman" w:cs="Times New Roman"/>
          <w:sz w:val="24"/>
          <w:szCs w:val="24"/>
          <w:highlight w:val="white"/>
        </w:rPr>
        <w:t>Vives</w:t>
      </w:r>
      <w:proofErr w:type="spellEnd"/>
      <w:r w:rsidRPr="00395E6C">
        <w:rPr>
          <w:rFonts w:ascii="Times New Roman" w:eastAsia="Times New Roman" w:hAnsi="Times New Roman" w:cs="Times New Roman"/>
          <w:sz w:val="24"/>
          <w:szCs w:val="24"/>
          <w:highlight w:val="white"/>
        </w:rPr>
        <w:t xml:space="preserve"> (2019)</w:t>
      </w:r>
      <w:r w:rsidR="00395E6C">
        <w:rPr>
          <w:rFonts w:ascii="Times New Roman" w:eastAsia="Times New Roman" w:hAnsi="Times New Roman" w:cs="Times New Roman"/>
          <w:sz w:val="24"/>
          <w:szCs w:val="24"/>
          <w:highlight w:val="white"/>
        </w:rPr>
        <w:t>,</w:t>
      </w:r>
      <w:r w:rsidRPr="00395E6C">
        <w:rPr>
          <w:rFonts w:ascii="Times New Roman" w:eastAsia="Times New Roman" w:hAnsi="Times New Roman" w:cs="Times New Roman"/>
          <w:sz w:val="24"/>
          <w:szCs w:val="24"/>
          <w:highlight w:val="white"/>
        </w:rPr>
        <w:t xml:space="preserve"> high monopolistic market competition takes place within the “</w:t>
      </w:r>
      <w:r w:rsidRPr="00395E6C">
        <w:rPr>
          <w:rFonts w:ascii="Times New Roman" w:eastAsia="Times New Roman" w:hAnsi="Times New Roman" w:cs="Times New Roman"/>
          <w:b/>
          <w:i/>
          <w:sz w:val="24"/>
          <w:szCs w:val="24"/>
          <w:highlight w:val="white"/>
        </w:rPr>
        <w:t>European Banking markets</w:t>
      </w:r>
      <w:r w:rsidRPr="00395E6C">
        <w:rPr>
          <w:rFonts w:ascii="Times New Roman" w:eastAsia="Times New Roman" w:hAnsi="Times New Roman" w:cs="Times New Roman"/>
          <w:sz w:val="24"/>
          <w:szCs w:val="24"/>
          <w:highlight w:val="white"/>
        </w:rPr>
        <w:t>”. Studies have also stated that</w:t>
      </w:r>
      <w:r w:rsidR="008D2F52"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sz w:val="24"/>
          <w:szCs w:val="24"/>
          <w:highlight w:val="white"/>
        </w:rPr>
        <w:t>the “</w:t>
      </w:r>
      <w:r w:rsidRPr="00395E6C">
        <w:rPr>
          <w:rFonts w:ascii="Times New Roman" w:eastAsia="Times New Roman" w:hAnsi="Times New Roman" w:cs="Times New Roman"/>
          <w:b/>
          <w:i/>
          <w:sz w:val="24"/>
          <w:szCs w:val="24"/>
          <w:highlight w:val="white"/>
        </w:rPr>
        <w:t>deposit and loan market hypothesis in Europe are perfectly competitive</w:t>
      </w:r>
      <w:r w:rsidRPr="00395E6C">
        <w:rPr>
          <w:rFonts w:ascii="Times New Roman" w:eastAsia="Times New Roman" w:hAnsi="Times New Roman" w:cs="Times New Roman"/>
          <w:sz w:val="24"/>
          <w:szCs w:val="24"/>
          <w:highlight w:val="white"/>
        </w:rPr>
        <w:t xml:space="preserve">” and </w:t>
      </w:r>
      <w:r w:rsidR="008D2F52" w:rsidRPr="00395E6C">
        <w:rPr>
          <w:rFonts w:ascii="Times New Roman" w:eastAsia="Times New Roman" w:hAnsi="Times New Roman" w:cs="Times New Roman"/>
          <w:sz w:val="24"/>
          <w:szCs w:val="24"/>
          <w:highlight w:val="white"/>
        </w:rPr>
        <w:t>cannot</w:t>
      </w:r>
      <w:r w:rsidRPr="00395E6C">
        <w:rPr>
          <w:rFonts w:ascii="Times New Roman" w:eastAsia="Times New Roman" w:hAnsi="Times New Roman" w:cs="Times New Roman"/>
          <w:sz w:val="24"/>
          <w:szCs w:val="24"/>
          <w:highlight w:val="white"/>
        </w:rPr>
        <w:t xml:space="preserve"> be rejected although the “</w:t>
      </w:r>
      <w:r w:rsidRPr="00395E6C">
        <w:rPr>
          <w:rFonts w:ascii="Times New Roman" w:eastAsia="Times New Roman" w:hAnsi="Times New Roman" w:cs="Times New Roman"/>
          <w:b/>
          <w:i/>
          <w:sz w:val="24"/>
          <w:szCs w:val="24"/>
          <w:highlight w:val="white"/>
        </w:rPr>
        <w:t xml:space="preserve">power of the test against the alternative of Cournot equilibrium is not very </w:t>
      </w:r>
      <w:r w:rsidR="008D2F52" w:rsidRPr="00395E6C">
        <w:rPr>
          <w:rFonts w:ascii="Times New Roman" w:eastAsia="Times New Roman" w:hAnsi="Times New Roman" w:cs="Times New Roman"/>
          <w:b/>
          <w:i/>
          <w:sz w:val="24"/>
          <w:szCs w:val="24"/>
          <w:highlight w:val="white"/>
        </w:rPr>
        <w:t>high</w:t>
      </w:r>
      <w:r w:rsidR="008D2F52" w:rsidRPr="00395E6C">
        <w:rPr>
          <w:rFonts w:ascii="Times New Roman" w:eastAsia="Times New Roman" w:hAnsi="Times New Roman" w:cs="Times New Roman"/>
          <w:sz w:val="24"/>
          <w:szCs w:val="24"/>
          <w:highlight w:val="white"/>
        </w:rPr>
        <w:t>” (</w:t>
      </w:r>
      <w:proofErr w:type="spellStart"/>
      <w:r w:rsidRPr="00395E6C">
        <w:rPr>
          <w:rFonts w:ascii="Times New Roman" w:eastAsia="Times New Roman" w:hAnsi="Times New Roman" w:cs="Times New Roman"/>
          <w:sz w:val="24"/>
          <w:szCs w:val="24"/>
          <w:highlight w:val="white"/>
        </w:rPr>
        <w:t>Lundin</w:t>
      </w:r>
      <w:proofErr w:type="spellEnd"/>
      <w:r w:rsidRPr="00395E6C">
        <w:rPr>
          <w:rFonts w:ascii="Times New Roman" w:eastAsia="Times New Roman" w:hAnsi="Times New Roman" w:cs="Times New Roman"/>
          <w:sz w:val="24"/>
          <w:szCs w:val="24"/>
          <w:highlight w:val="white"/>
        </w:rPr>
        <w:t xml:space="preserve"> and </w:t>
      </w:r>
      <w:proofErr w:type="spellStart"/>
      <w:r w:rsidRPr="00395E6C">
        <w:rPr>
          <w:rFonts w:ascii="Times New Roman" w:eastAsia="Times New Roman" w:hAnsi="Times New Roman" w:cs="Times New Roman"/>
          <w:sz w:val="24"/>
          <w:szCs w:val="24"/>
          <w:highlight w:val="white"/>
        </w:rPr>
        <w:t>Tangerås</w:t>
      </w:r>
      <w:proofErr w:type="spellEnd"/>
      <w:r w:rsidRPr="00395E6C">
        <w:rPr>
          <w:rFonts w:ascii="Times New Roman" w:eastAsia="Times New Roman" w:hAnsi="Times New Roman" w:cs="Times New Roman"/>
          <w:sz w:val="24"/>
          <w:szCs w:val="24"/>
          <w:highlight w:val="white"/>
        </w:rPr>
        <w:t>, 2020).</w:t>
      </w:r>
    </w:p>
    <w:p w14:paraId="00000008" w14:textId="77777777" w:rsidR="00D823D2" w:rsidRPr="00395E6C" w:rsidRDefault="002D6DE7" w:rsidP="008D2F52">
      <w:pPr>
        <w:pStyle w:val="Heading1"/>
        <w:rPr>
          <w:highlight w:val="white"/>
        </w:rPr>
      </w:pPr>
      <w:bookmarkStart w:id="4" w:name="_Toc101282822"/>
      <w:r w:rsidRPr="00395E6C">
        <w:rPr>
          <w:highlight w:val="white"/>
        </w:rPr>
        <w:t>Critically analyse and evaluate your chosen multinational corporation’s methods of appraising projects</w:t>
      </w:r>
      <w:bookmarkEnd w:id="4"/>
    </w:p>
    <w:p w14:paraId="00000009" w14:textId="77777777" w:rsidR="00D823D2" w:rsidRPr="00395E6C" w:rsidRDefault="002D6DE7">
      <w:pPr>
        <w:spacing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Finance, according to author Jane (2018), is primarily the vital aspect of corporate organisations all over the world. However, without adequate funding, no company’s operation, no matter how modest or important, can be carried out. “</w:t>
      </w:r>
      <w:r w:rsidRPr="00395E6C">
        <w:rPr>
          <w:rFonts w:ascii="Times New Roman" w:eastAsia="Times New Roman" w:hAnsi="Times New Roman" w:cs="Times New Roman"/>
          <w:b/>
          <w:i/>
          <w:sz w:val="24"/>
          <w:szCs w:val="24"/>
          <w:highlight w:val="white"/>
        </w:rPr>
        <w:t>Term loans, retained earnings, debentures, venture capital, euro issues, credit, and working capital loans</w:t>
      </w:r>
      <w:r w:rsidRPr="00395E6C">
        <w:rPr>
          <w:rFonts w:ascii="Times New Roman" w:eastAsia="Times New Roman" w:hAnsi="Times New Roman" w:cs="Times New Roman"/>
          <w:sz w:val="24"/>
          <w:szCs w:val="24"/>
          <w:highlight w:val="white"/>
        </w:rPr>
        <w:t>” all play a significant part in increasing the commercial operations of organisations. Only finance managers or finance associates should have responsibility over potential “</w:t>
      </w:r>
      <w:r w:rsidRPr="00395E6C">
        <w:rPr>
          <w:rFonts w:ascii="Times New Roman" w:eastAsia="Times New Roman" w:hAnsi="Times New Roman" w:cs="Times New Roman"/>
          <w:b/>
          <w:i/>
          <w:sz w:val="24"/>
          <w:szCs w:val="24"/>
          <w:highlight w:val="white"/>
        </w:rPr>
        <w:t>allocation of cash</w:t>
      </w:r>
      <w:r w:rsidRPr="00395E6C">
        <w:rPr>
          <w:rFonts w:ascii="Times New Roman" w:eastAsia="Times New Roman" w:hAnsi="Times New Roman" w:cs="Times New Roman"/>
          <w:sz w:val="24"/>
          <w:szCs w:val="24"/>
          <w:highlight w:val="white"/>
        </w:rPr>
        <w:t>” and “</w:t>
      </w:r>
      <w:r w:rsidRPr="00395E6C">
        <w:rPr>
          <w:rFonts w:ascii="Times New Roman" w:eastAsia="Times New Roman" w:hAnsi="Times New Roman" w:cs="Times New Roman"/>
          <w:b/>
          <w:i/>
          <w:sz w:val="24"/>
          <w:szCs w:val="24"/>
          <w:highlight w:val="white"/>
        </w:rPr>
        <w:t>appropriate utilisation of resources</w:t>
      </w:r>
      <w:r w:rsidRPr="00395E6C">
        <w:rPr>
          <w:rFonts w:ascii="Times New Roman" w:eastAsia="Times New Roman" w:hAnsi="Times New Roman" w:cs="Times New Roman"/>
          <w:sz w:val="24"/>
          <w:szCs w:val="24"/>
          <w:highlight w:val="white"/>
        </w:rPr>
        <w:t>”. The organisation being the one of the “</w:t>
      </w:r>
      <w:r w:rsidRPr="00395E6C">
        <w:rPr>
          <w:rFonts w:ascii="Times New Roman" w:eastAsia="Times New Roman" w:hAnsi="Times New Roman" w:cs="Times New Roman"/>
          <w:b/>
          <w:i/>
          <w:sz w:val="24"/>
          <w:szCs w:val="24"/>
          <w:highlight w:val="white"/>
        </w:rPr>
        <w:t>largest financial global banks</w:t>
      </w:r>
      <w:r w:rsidRPr="00395E6C">
        <w:rPr>
          <w:rFonts w:ascii="Times New Roman" w:eastAsia="Times New Roman" w:hAnsi="Times New Roman" w:cs="Times New Roman"/>
          <w:sz w:val="24"/>
          <w:szCs w:val="24"/>
          <w:highlight w:val="white"/>
        </w:rPr>
        <w:t xml:space="preserve">” uses CAMELS approach in order to appraise all of its projects. The CAMELS method of project </w:t>
      </w:r>
      <w:r w:rsidRPr="00395E6C">
        <w:rPr>
          <w:rFonts w:ascii="Times New Roman" w:eastAsia="Times New Roman" w:hAnsi="Times New Roman" w:cs="Times New Roman"/>
          <w:sz w:val="24"/>
          <w:szCs w:val="24"/>
          <w:highlight w:val="white"/>
        </w:rPr>
        <w:lastRenderedPageBreak/>
        <w:t>appraisal mainly elucidates “</w:t>
      </w:r>
      <w:r w:rsidRPr="00395E6C">
        <w:rPr>
          <w:rFonts w:ascii="Times New Roman" w:eastAsia="Times New Roman" w:hAnsi="Times New Roman" w:cs="Times New Roman"/>
          <w:b/>
          <w:i/>
          <w:sz w:val="24"/>
          <w:szCs w:val="24"/>
          <w:highlight w:val="white"/>
        </w:rPr>
        <w:t>Capital Adequacy, Asset Quality, Management Quality, Earnings Efficiency, Liquidity, and Sensitivity to Market</w:t>
      </w:r>
      <w:r w:rsidRPr="00395E6C">
        <w:rPr>
          <w:rFonts w:ascii="Times New Roman" w:eastAsia="Times New Roman" w:hAnsi="Times New Roman" w:cs="Times New Roman"/>
          <w:sz w:val="24"/>
          <w:szCs w:val="24"/>
          <w:highlight w:val="white"/>
        </w:rPr>
        <w:t>”, this method helps the baking sectors to check their performance rating as well as also enhance their performing scale. Capital Budgeting is a “</w:t>
      </w:r>
      <w:r w:rsidRPr="00395E6C">
        <w:rPr>
          <w:rFonts w:ascii="Times New Roman" w:eastAsia="Times New Roman" w:hAnsi="Times New Roman" w:cs="Times New Roman"/>
          <w:b/>
          <w:i/>
          <w:sz w:val="24"/>
          <w:szCs w:val="24"/>
          <w:highlight w:val="white"/>
        </w:rPr>
        <w:t>method of entity</w:t>
      </w:r>
      <w:r w:rsidRPr="00395E6C">
        <w:rPr>
          <w:rFonts w:ascii="Times New Roman" w:eastAsia="Times New Roman" w:hAnsi="Times New Roman" w:cs="Times New Roman"/>
          <w:sz w:val="24"/>
          <w:szCs w:val="24"/>
          <w:highlight w:val="white"/>
        </w:rPr>
        <w:t>” used by the organisation to plan for the capital assets required to perform company operations (</w:t>
      </w:r>
      <w:proofErr w:type="spellStart"/>
      <w:r w:rsidRPr="00395E6C">
        <w:rPr>
          <w:rFonts w:ascii="Times New Roman" w:eastAsia="Times New Roman" w:hAnsi="Times New Roman" w:cs="Times New Roman"/>
          <w:sz w:val="24"/>
          <w:szCs w:val="24"/>
          <w:highlight w:val="white"/>
        </w:rPr>
        <w:t>Kiruja</w:t>
      </w:r>
      <w:proofErr w:type="spellEnd"/>
      <w:r w:rsidRPr="00395E6C">
        <w:rPr>
          <w:rFonts w:ascii="Times New Roman" w:eastAsia="Times New Roman" w:hAnsi="Times New Roman" w:cs="Times New Roman"/>
          <w:sz w:val="24"/>
          <w:szCs w:val="24"/>
          <w:highlight w:val="white"/>
        </w:rPr>
        <w:t>, 2018). Capital budgets have assisted HSBC in determining which sectors of its business operations require potential investments and which segments are overspending (</w:t>
      </w:r>
      <w:proofErr w:type="spellStart"/>
      <w:r w:rsidRPr="00395E6C">
        <w:rPr>
          <w:rFonts w:ascii="Times New Roman" w:eastAsia="Times New Roman" w:hAnsi="Times New Roman" w:cs="Times New Roman"/>
          <w:sz w:val="24"/>
          <w:szCs w:val="24"/>
          <w:highlight w:val="white"/>
        </w:rPr>
        <w:t>Kengatharan</w:t>
      </w:r>
      <w:proofErr w:type="spellEnd"/>
      <w:r w:rsidRPr="00395E6C">
        <w:rPr>
          <w:rFonts w:ascii="Times New Roman" w:eastAsia="Times New Roman" w:hAnsi="Times New Roman" w:cs="Times New Roman"/>
          <w:sz w:val="24"/>
          <w:szCs w:val="24"/>
          <w:highlight w:val="white"/>
        </w:rPr>
        <w:t>, 2018). This method assisted the organisation in determining whether or not it should invest more in its “</w:t>
      </w:r>
      <w:r w:rsidRPr="00395E6C">
        <w:rPr>
          <w:rFonts w:ascii="Times New Roman" w:eastAsia="Times New Roman" w:hAnsi="Times New Roman" w:cs="Times New Roman"/>
          <w:b/>
          <w:i/>
          <w:sz w:val="24"/>
          <w:szCs w:val="24"/>
          <w:highlight w:val="white"/>
        </w:rPr>
        <w:t>long-term projects</w:t>
      </w:r>
      <w:r w:rsidRPr="00395E6C">
        <w:rPr>
          <w:rFonts w:ascii="Times New Roman" w:eastAsia="Times New Roman" w:hAnsi="Times New Roman" w:cs="Times New Roman"/>
          <w:sz w:val="24"/>
          <w:szCs w:val="24"/>
          <w:highlight w:val="white"/>
        </w:rPr>
        <w:t>”. The company can now anticipate how much more money it will be able to make from its investments. In order to make more informed decisions about the company HSBC Holdings PLC’s “</w:t>
      </w:r>
      <w:r w:rsidRPr="00395E6C">
        <w:rPr>
          <w:rFonts w:ascii="Times New Roman" w:eastAsia="Times New Roman" w:hAnsi="Times New Roman" w:cs="Times New Roman"/>
          <w:b/>
          <w:i/>
          <w:sz w:val="24"/>
          <w:szCs w:val="24"/>
          <w:highlight w:val="white"/>
        </w:rPr>
        <w:t>Research and Development</w:t>
      </w:r>
      <w:r w:rsidRPr="00395E6C">
        <w:rPr>
          <w:rFonts w:ascii="Times New Roman" w:eastAsia="Times New Roman" w:hAnsi="Times New Roman" w:cs="Times New Roman"/>
          <w:sz w:val="24"/>
          <w:szCs w:val="24"/>
          <w:highlight w:val="white"/>
        </w:rPr>
        <w:t>” projects, finance managers of this organisation had considered using the “</w:t>
      </w:r>
      <w:r w:rsidRPr="00395E6C">
        <w:rPr>
          <w:rFonts w:ascii="Times New Roman" w:eastAsia="Times New Roman" w:hAnsi="Times New Roman" w:cs="Times New Roman"/>
          <w:b/>
          <w:i/>
          <w:sz w:val="24"/>
          <w:szCs w:val="24"/>
          <w:highlight w:val="white"/>
        </w:rPr>
        <w:t>fundamental project evaluation techniques</w:t>
      </w:r>
      <w:r w:rsidRPr="00395E6C">
        <w:rPr>
          <w:rFonts w:ascii="Times New Roman" w:eastAsia="Times New Roman" w:hAnsi="Times New Roman" w:cs="Times New Roman"/>
          <w:sz w:val="24"/>
          <w:szCs w:val="24"/>
          <w:highlight w:val="white"/>
        </w:rPr>
        <w:t>” such as “</w:t>
      </w:r>
      <w:r w:rsidRPr="00395E6C">
        <w:rPr>
          <w:rFonts w:ascii="Times New Roman" w:eastAsia="Times New Roman" w:hAnsi="Times New Roman" w:cs="Times New Roman"/>
          <w:b/>
          <w:i/>
          <w:sz w:val="24"/>
          <w:szCs w:val="24"/>
          <w:highlight w:val="white"/>
        </w:rPr>
        <w:t>Break Even point</w:t>
      </w:r>
      <w:r w:rsidRPr="00395E6C">
        <w:rPr>
          <w:rFonts w:ascii="Times New Roman" w:eastAsia="Times New Roman" w:hAnsi="Times New Roman" w:cs="Times New Roman"/>
          <w:sz w:val="24"/>
          <w:szCs w:val="24"/>
          <w:highlight w:val="white"/>
        </w:rPr>
        <w:t>” (BEP), “</w:t>
      </w:r>
      <w:r w:rsidRPr="00395E6C">
        <w:rPr>
          <w:rFonts w:ascii="Times New Roman" w:eastAsia="Times New Roman" w:hAnsi="Times New Roman" w:cs="Times New Roman"/>
          <w:b/>
          <w:i/>
          <w:sz w:val="24"/>
          <w:szCs w:val="24"/>
          <w:highlight w:val="white"/>
        </w:rPr>
        <w:t>Payback period</w:t>
      </w:r>
      <w:r w:rsidRPr="00395E6C">
        <w:rPr>
          <w:rFonts w:ascii="Times New Roman" w:eastAsia="Times New Roman" w:hAnsi="Times New Roman" w:cs="Times New Roman"/>
          <w:sz w:val="24"/>
          <w:szCs w:val="24"/>
          <w:highlight w:val="white"/>
        </w:rPr>
        <w:t>”, “</w:t>
      </w:r>
      <w:r w:rsidRPr="00395E6C">
        <w:rPr>
          <w:rFonts w:ascii="Times New Roman" w:eastAsia="Times New Roman" w:hAnsi="Times New Roman" w:cs="Times New Roman"/>
          <w:b/>
          <w:i/>
          <w:sz w:val="24"/>
          <w:szCs w:val="24"/>
          <w:highlight w:val="white"/>
        </w:rPr>
        <w:t>Accounting or average rate of return</w:t>
      </w:r>
      <w:r w:rsidRPr="00395E6C">
        <w:rPr>
          <w:rFonts w:ascii="Times New Roman" w:eastAsia="Times New Roman" w:hAnsi="Times New Roman" w:cs="Times New Roman"/>
          <w:sz w:val="24"/>
          <w:szCs w:val="24"/>
          <w:highlight w:val="white"/>
        </w:rPr>
        <w:t>” (ARR), “</w:t>
      </w:r>
      <w:r w:rsidRPr="00395E6C">
        <w:rPr>
          <w:rFonts w:ascii="Times New Roman" w:eastAsia="Times New Roman" w:hAnsi="Times New Roman" w:cs="Times New Roman"/>
          <w:b/>
          <w:i/>
          <w:sz w:val="24"/>
          <w:szCs w:val="24"/>
          <w:highlight w:val="white"/>
        </w:rPr>
        <w:t>Net Present Value</w:t>
      </w:r>
      <w:r w:rsidRPr="00395E6C">
        <w:rPr>
          <w:rFonts w:ascii="Times New Roman" w:eastAsia="Times New Roman" w:hAnsi="Times New Roman" w:cs="Times New Roman"/>
          <w:sz w:val="24"/>
          <w:szCs w:val="24"/>
          <w:highlight w:val="white"/>
        </w:rPr>
        <w:t>” (NPV), and “</w:t>
      </w:r>
      <w:r w:rsidRPr="00395E6C">
        <w:rPr>
          <w:rFonts w:ascii="Times New Roman" w:eastAsia="Times New Roman" w:hAnsi="Times New Roman" w:cs="Times New Roman"/>
          <w:b/>
          <w:i/>
          <w:sz w:val="24"/>
          <w:szCs w:val="24"/>
          <w:highlight w:val="white"/>
        </w:rPr>
        <w:t>Internal Rate of return</w:t>
      </w:r>
      <w:r w:rsidRPr="00395E6C">
        <w:rPr>
          <w:rFonts w:ascii="Times New Roman" w:eastAsia="Times New Roman" w:hAnsi="Times New Roman" w:cs="Times New Roman"/>
          <w:sz w:val="24"/>
          <w:szCs w:val="24"/>
          <w:highlight w:val="white"/>
        </w:rPr>
        <w:t xml:space="preserve">” (IRR). </w:t>
      </w:r>
    </w:p>
    <w:p w14:paraId="0000000A" w14:textId="77777777" w:rsidR="00D823D2" w:rsidRPr="00395E6C" w:rsidRDefault="002D6DE7" w:rsidP="008D2F52">
      <w:pPr>
        <w:pStyle w:val="Heading1"/>
        <w:rPr>
          <w:highlight w:val="white"/>
        </w:rPr>
      </w:pPr>
      <w:bookmarkStart w:id="5" w:name="_Toc101282823"/>
      <w:r w:rsidRPr="00395E6C">
        <w:rPr>
          <w:highlight w:val="white"/>
        </w:rPr>
        <w:t>Conclusion</w:t>
      </w:r>
      <w:bookmarkEnd w:id="5"/>
    </w:p>
    <w:p w14:paraId="0000000B" w14:textId="4FBCC903" w:rsidR="00D823D2" w:rsidRPr="00395E6C" w:rsidRDefault="002D6DE7">
      <w:pPr>
        <w:spacing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On a concluding note, it can be stated that managing finances for multinational organisations </w:t>
      </w:r>
      <w:r w:rsidR="008D2F52" w:rsidRPr="00395E6C">
        <w:rPr>
          <w:rFonts w:ascii="Times New Roman" w:eastAsia="Times New Roman" w:hAnsi="Times New Roman" w:cs="Times New Roman"/>
          <w:sz w:val="24"/>
          <w:szCs w:val="24"/>
          <w:highlight w:val="white"/>
        </w:rPr>
        <w:t>have</w:t>
      </w:r>
      <w:r w:rsidRPr="00395E6C">
        <w:rPr>
          <w:rFonts w:ascii="Times New Roman" w:eastAsia="Times New Roman" w:hAnsi="Times New Roman" w:cs="Times New Roman"/>
          <w:sz w:val="24"/>
          <w:szCs w:val="24"/>
          <w:highlight w:val="white"/>
        </w:rPr>
        <w:t xml:space="preserve"> been much easier because of the increased globalisation rates across various Nations. Internal finance just does not concentrate on the individual markets rather it primarily focuses on boosting up the economic aspects of the countries. The essay has potentially discussed the “</w:t>
      </w:r>
      <w:r w:rsidRPr="00395E6C">
        <w:rPr>
          <w:rFonts w:ascii="Times New Roman" w:eastAsia="Times New Roman" w:hAnsi="Times New Roman" w:cs="Times New Roman"/>
          <w:b/>
          <w:i/>
          <w:sz w:val="24"/>
          <w:szCs w:val="24"/>
          <w:highlight w:val="white"/>
        </w:rPr>
        <w:t>dividend distribution policy</w:t>
      </w:r>
      <w:r w:rsidRPr="00395E6C">
        <w:rPr>
          <w:rFonts w:ascii="Times New Roman" w:eastAsia="Times New Roman" w:hAnsi="Times New Roman" w:cs="Times New Roman"/>
          <w:sz w:val="24"/>
          <w:szCs w:val="24"/>
          <w:highlight w:val="white"/>
        </w:rPr>
        <w:t>” of the company HSBC Holdings PLC</w:t>
      </w:r>
      <w:r w:rsidR="008D2F52" w:rsidRPr="00395E6C">
        <w:rPr>
          <w:rFonts w:ascii="Times New Roman" w:eastAsia="Times New Roman" w:hAnsi="Times New Roman" w:cs="Times New Roman"/>
          <w:sz w:val="24"/>
          <w:szCs w:val="24"/>
        </w:rPr>
        <w:t>, as well as the “market hypothesis” of the organisation,</w:t>
      </w:r>
      <w:r w:rsidRPr="00395E6C">
        <w:rPr>
          <w:rFonts w:ascii="Times New Roman" w:eastAsia="Times New Roman" w:hAnsi="Times New Roman" w:cs="Times New Roman"/>
          <w:sz w:val="24"/>
          <w:szCs w:val="24"/>
          <w:highlight w:val="white"/>
        </w:rPr>
        <w:t xml:space="preserve"> has also been highlighted in this essay. The organisation has potentially </w:t>
      </w:r>
      <w:r w:rsidR="008D2F52" w:rsidRPr="00395E6C">
        <w:rPr>
          <w:rFonts w:ascii="Times New Roman" w:eastAsia="Times New Roman" w:hAnsi="Times New Roman" w:cs="Times New Roman"/>
          <w:sz w:val="24"/>
          <w:szCs w:val="24"/>
          <w:highlight w:val="white"/>
        </w:rPr>
        <w:t>utilised</w:t>
      </w:r>
      <w:r w:rsidRPr="00395E6C">
        <w:rPr>
          <w:rFonts w:ascii="Times New Roman" w:eastAsia="Times New Roman" w:hAnsi="Times New Roman" w:cs="Times New Roman"/>
          <w:sz w:val="24"/>
          <w:szCs w:val="24"/>
          <w:highlight w:val="white"/>
        </w:rPr>
        <w:t xml:space="preserve"> the “</w:t>
      </w:r>
      <w:r w:rsidRPr="00395E6C">
        <w:rPr>
          <w:rFonts w:ascii="Times New Roman" w:eastAsia="Times New Roman" w:hAnsi="Times New Roman" w:cs="Times New Roman"/>
          <w:b/>
          <w:i/>
          <w:sz w:val="24"/>
          <w:szCs w:val="24"/>
          <w:highlight w:val="white"/>
        </w:rPr>
        <w:t>CAMEL method of project appraisal</w:t>
      </w:r>
      <w:r w:rsidRPr="00395E6C">
        <w:rPr>
          <w:rFonts w:ascii="Times New Roman" w:eastAsia="Times New Roman" w:hAnsi="Times New Roman" w:cs="Times New Roman"/>
          <w:sz w:val="24"/>
          <w:szCs w:val="24"/>
          <w:highlight w:val="white"/>
        </w:rPr>
        <w:t xml:space="preserve">”. </w:t>
      </w:r>
    </w:p>
    <w:p w14:paraId="0000000C" w14:textId="77777777" w:rsidR="00D823D2" w:rsidRPr="00395E6C" w:rsidRDefault="002D6DE7">
      <w:pPr>
        <w:spacing w:line="360" w:lineRule="auto"/>
        <w:jc w:val="both"/>
        <w:rPr>
          <w:rFonts w:ascii="Times New Roman" w:eastAsia="Times New Roman" w:hAnsi="Times New Roman" w:cs="Times New Roman"/>
          <w:b/>
          <w:sz w:val="28"/>
          <w:szCs w:val="28"/>
          <w:highlight w:val="white"/>
        </w:rPr>
      </w:pPr>
      <w:r w:rsidRPr="00395E6C">
        <w:br w:type="page"/>
      </w:r>
    </w:p>
    <w:p w14:paraId="0000000D" w14:textId="77777777" w:rsidR="00D823D2" w:rsidRPr="00395E6C" w:rsidRDefault="002D6DE7" w:rsidP="008D2F52">
      <w:pPr>
        <w:pStyle w:val="Heading1"/>
        <w:rPr>
          <w:highlight w:val="white"/>
        </w:rPr>
      </w:pPr>
      <w:bookmarkStart w:id="6" w:name="_Toc101282824"/>
      <w:r w:rsidRPr="00395E6C">
        <w:rPr>
          <w:highlight w:val="white"/>
        </w:rPr>
        <w:lastRenderedPageBreak/>
        <w:t>References</w:t>
      </w:r>
      <w:bookmarkEnd w:id="6"/>
    </w:p>
    <w:p w14:paraId="0000000E"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Howard, P.D.A., Boylan, P.J., Hildreth, M.P., Blythe, D., King, S., Molyneux, S. and </w:t>
      </w:r>
      <w:proofErr w:type="spellStart"/>
      <w:r w:rsidRPr="00395E6C">
        <w:rPr>
          <w:rFonts w:ascii="Times New Roman" w:eastAsia="Times New Roman" w:hAnsi="Times New Roman" w:cs="Times New Roman"/>
          <w:sz w:val="24"/>
          <w:szCs w:val="24"/>
          <w:highlight w:val="white"/>
        </w:rPr>
        <w:t>Worley</w:t>
      </w:r>
      <w:proofErr w:type="gramStart"/>
      <w:r w:rsidRPr="00395E6C">
        <w:rPr>
          <w:rFonts w:ascii="Times New Roman" w:eastAsia="Times New Roman" w:hAnsi="Times New Roman" w:cs="Times New Roman"/>
          <w:sz w:val="24"/>
          <w:szCs w:val="24"/>
          <w:highlight w:val="white"/>
        </w:rPr>
        <w:t>,N</w:t>
      </w:r>
      <w:proofErr w:type="spellEnd"/>
      <w:proofErr w:type="gramEnd"/>
      <w:r w:rsidRPr="00395E6C">
        <w:rPr>
          <w:rFonts w:ascii="Times New Roman" w:eastAsia="Times New Roman" w:hAnsi="Times New Roman" w:cs="Times New Roman"/>
          <w:sz w:val="24"/>
          <w:szCs w:val="24"/>
          <w:highlight w:val="white"/>
        </w:rPr>
        <w:t>., 2018. Yorkshire Geological Society Registered Charity No. 220014 Society Proceedings 2017.</w:t>
      </w:r>
    </w:p>
    <w:p w14:paraId="0000000F" w14:textId="509514C5"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 HSBC Holdings plc, 2022</w:t>
      </w:r>
      <w:r w:rsidR="00395E6C">
        <w:rPr>
          <w:rFonts w:ascii="Times New Roman" w:eastAsia="Times New Roman" w:hAnsi="Times New Roman" w:cs="Times New Roman"/>
          <w:sz w:val="24"/>
          <w:szCs w:val="24"/>
          <w:highlight w:val="white"/>
        </w:rPr>
        <w:t>.</w:t>
      </w:r>
      <w:r w:rsidRPr="00395E6C">
        <w:rPr>
          <w:rFonts w:ascii="Times New Roman" w:eastAsia="Times New Roman" w:hAnsi="Times New Roman" w:cs="Times New Roman"/>
          <w:i/>
          <w:sz w:val="24"/>
          <w:szCs w:val="24"/>
          <w:highlight w:val="white"/>
        </w:rPr>
        <w:t xml:space="preserve"> (HSBA) Dividends</w:t>
      </w:r>
      <w:r w:rsidRPr="00395E6C">
        <w:rPr>
          <w:rFonts w:ascii="Times New Roman" w:eastAsia="Times New Roman" w:hAnsi="Times New Roman" w:cs="Times New Roman"/>
          <w:sz w:val="24"/>
          <w:szCs w:val="24"/>
          <w:highlight w:val="white"/>
        </w:rPr>
        <w:t>. [online] Dividendmax.com. Available at: &lt;https://www.dividendmax.com/united-kingdom/london-stock-exchange/banks/hsbc-holdings-plc/dividends&gt; [Accessed 1 April 2022].</w:t>
      </w:r>
    </w:p>
    <w:p w14:paraId="00000010"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HSBC, 2022a. </w:t>
      </w:r>
      <w:r w:rsidRPr="00395E6C">
        <w:rPr>
          <w:rFonts w:ascii="Times New Roman" w:eastAsia="Times New Roman" w:hAnsi="Times New Roman" w:cs="Times New Roman"/>
          <w:i/>
          <w:sz w:val="24"/>
          <w:szCs w:val="24"/>
          <w:highlight w:val="white"/>
        </w:rPr>
        <w:t>Current challenges mean future opportunities for multinationals in Europe | Global Commercial Banking HSBC</w:t>
      </w:r>
      <w:r w:rsidRPr="00395E6C">
        <w:rPr>
          <w:rFonts w:ascii="Times New Roman" w:eastAsia="Times New Roman" w:hAnsi="Times New Roman" w:cs="Times New Roman"/>
          <w:sz w:val="24"/>
          <w:szCs w:val="24"/>
          <w:highlight w:val="white"/>
        </w:rPr>
        <w:t>. [online] Available at: &lt;https://www.business.hsbc.com/hsbc-in-europe/current-challenges-mean-future-opportunities&gt; [Accessed 3 April 2022].</w:t>
      </w:r>
    </w:p>
    <w:p w14:paraId="00000011"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HSBC, 2022b. </w:t>
      </w:r>
      <w:r w:rsidRPr="00395E6C">
        <w:rPr>
          <w:rFonts w:ascii="Times New Roman" w:eastAsia="Times New Roman" w:hAnsi="Times New Roman" w:cs="Times New Roman"/>
          <w:i/>
          <w:sz w:val="24"/>
          <w:szCs w:val="24"/>
          <w:highlight w:val="white"/>
        </w:rPr>
        <w:t>Dividend history and timetable | HSBC Holdings plc</w:t>
      </w:r>
      <w:r w:rsidRPr="00395E6C">
        <w:rPr>
          <w:rFonts w:ascii="Times New Roman" w:eastAsia="Times New Roman" w:hAnsi="Times New Roman" w:cs="Times New Roman"/>
          <w:sz w:val="24"/>
          <w:szCs w:val="24"/>
          <w:highlight w:val="white"/>
        </w:rPr>
        <w:t>. [online] HSBC. Available at: &lt;https://www.hsbc.com/investors/shareholder-information/dividend-history-and-timetable&gt; [Accessed 2 April 2022].</w:t>
      </w:r>
    </w:p>
    <w:p w14:paraId="00000012"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HSBC, 2022c. </w:t>
      </w:r>
      <w:r w:rsidRPr="00395E6C">
        <w:rPr>
          <w:rFonts w:ascii="Times New Roman" w:eastAsia="Times New Roman" w:hAnsi="Times New Roman" w:cs="Times New Roman"/>
          <w:i/>
          <w:sz w:val="24"/>
          <w:szCs w:val="24"/>
          <w:highlight w:val="white"/>
        </w:rPr>
        <w:t>HSBC Group corporate website | HSBC Holdings plc</w:t>
      </w:r>
      <w:r w:rsidRPr="00395E6C">
        <w:rPr>
          <w:rFonts w:ascii="Times New Roman" w:eastAsia="Times New Roman" w:hAnsi="Times New Roman" w:cs="Times New Roman"/>
          <w:sz w:val="24"/>
          <w:szCs w:val="24"/>
          <w:highlight w:val="white"/>
        </w:rPr>
        <w:t>. [online] HSBC. Available at: &lt;https://www.hsbc.com/&gt; [Accessed 19 April 2022].</w:t>
      </w:r>
    </w:p>
    <w:p w14:paraId="00000013"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HSBC, 2022d. </w:t>
      </w:r>
      <w:r w:rsidRPr="00395E6C">
        <w:rPr>
          <w:rFonts w:ascii="Times New Roman" w:eastAsia="Times New Roman" w:hAnsi="Times New Roman" w:cs="Times New Roman"/>
          <w:i/>
          <w:sz w:val="24"/>
          <w:szCs w:val="24"/>
          <w:highlight w:val="white"/>
        </w:rPr>
        <w:t>Group structure | HSBC Holdings plc</w:t>
      </w:r>
      <w:r w:rsidRPr="00395E6C">
        <w:rPr>
          <w:rFonts w:ascii="Times New Roman" w:eastAsia="Times New Roman" w:hAnsi="Times New Roman" w:cs="Times New Roman"/>
          <w:sz w:val="24"/>
          <w:szCs w:val="24"/>
          <w:highlight w:val="white"/>
        </w:rPr>
        <w:t>. [online] HSBC. Available at: &lt;https://www.hsbc.com/investors/investing-in-hsbc/group-structure&gt; [Accessed 3 April 2022].</w:t>
      </w:r>
    </w:p>
    <w:p w14:paraId="00000014"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Jane, D., 2018. Impact of working capital management on profitability of the selected listed FMCG companies in India. </w:t>
      </w:r>
      <w:r w:rsidRPr="00395E6C">
        <w:rPr>
          <w:rFonts w:ascii="Times New Roman" w:eastAsia="Times New Roman" w:hAnsi="Times New Roman" w:cs="Times New Roman"/>
          <w:i/>
          <w:sz w:val="24"/>
          <w:szCs w:val="24"/>
          <w:highlight w:val="white"/>
        </w:rPr>
        <w:t>International Research Journal of Business Studies</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11</w:t>
      </w:r>
      <w:r w:rsidRPr="00395E6C">
        <w:rPr>
          <w:rFonts w:ascii="Times New Roman" w:eastAsia="Times New Roman" w:hAnsi="Times New Roman" w:cs="Times New Roman"/>
          <w:sz w:val="24"/>
          <w:szCs w:val="24"/>
          <w:highlight w:val="white"/>
        </w:rPr>
        <w:t>(1), pp.21-30.</w:t>
      </w:r>
    </w:p>
    <w:p w14:paraId="00000015"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proofErr w:type="spellStart"/>
      <w:r w:rsidRPr="00395E6C">
        <w:rPr>
          <w:rFonts w:ascii="Times New Roman" w:eastAsia="Times New Roman" w:hAnsi="Times New Roman" w:cs="Times New Roman"/>
          <w:sz w:val="24"/>
          <w:szCs w:val="24"/>
          <w:highlight w:val="white"/>
        </w:rPr>
        <w:t>Kanakriyah</w:t>
      </w:r>
      <w:proofErr w:type="spellEnd"/>
      <w:r w:rsidRPr="00395E6C">
        <w:rPr>
          <w:rFonts w:ascii="Times New Roman" w:eastAsia="Times New Roman" w:hAnsi="Times New Roman" w:cs="Times New Roman"/>
          <w:sz w:val="24"/>
          <w:szCs w:val="24"/>
          <w:highlight w:val="white"/>
        </w:rPr>
        <w:t xml:space="preserve">, R., 2020. Dividend policy and companies' financial performance. </w:t>
      </w:r>
      <w:r w:rsidRPr="00395E6C">
        <w:rPr>
          <w:rFonts w:ascii="Times New Roman" w:eastAsia="Times New Roman" w:hAnsi="Times New Roman" w:cs="Times New Roman"/>
          <w:i/>
          <w:sz w:val="24"/>
          <w:szCs w:val="24"/>
          <w:highlight w:val="white"/>
        </w:rPr>
        <w:t>The Journal of Asian Finance, Economics, and Business</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7</w:t>
      </w:r>
      <w:r w:rsidRPr="00395E6C">
        <w:rPr>
          <w:rFonts w:ascii="Times New Roman" w:eastAsia="Times New Roman" w:hAnsi="Times New Roman" w:cs="Times New Roman"/>
          <w:sz w:val="24"/>
          <w:szCs w:val="24"/>
          <w:highlight w:val="white"/>
        </w:rPr>
        <w:t>(10), pp.531-541.</w:t>
      </w:r>
    </w:p>
    <w:p w14:paraId="00000016"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proofErr w:type="spellStart"/>
      <w:r w:rsidRPr="00395E6C">
        <w:rPr>
          <w:rFonts w:ascii="Times New Roman" w:eastAsia="Times New Roman" w:hAnsi="Times New Roman" w:cs="Times New Roman"/>
          <w:sz w:val="24"/>
          <w:szCs w:val="24"/>
          <w:highlight w:val="white"/>
        </w:rPr>
        <w:t>Kengatharan</w:t>
      </w:r>
      <w:proofErr w:type="spellEnd"/>
      <w:r w:rsidRPr="00395E6C">
        <w:rPr>
          <w:rFonts w:ascii="Times New Roman" w:eastAsia="Times New Roman" w:hAnsi="Times New Roman" w:cs="Times New Roman"/>
          <w:sz w:val="24"/>
          <w:szCs w:val="24"/>
          <w:highlight w:val="white"/>
        </w:rPr>
        <w:t xml:space="preserve">, L., 2018. Capital Budgeting Theory and Practice: A review and agenda for future research. </w:t>
      </w:r>
      <w:r w:rsidRPr="00395E6C">
        <w:rPr>
          <w:rFonts w:ascii="Times New Roman" w:eastAsia="Times New Roman" w:hAnsi="Times New Roman" w:cs="Times New Roman"/>
          <w:i/>
          <w:sz w:val="24"/>
          <w:szCs w:val="24"/>
          <w:highlight w:val="white"/>
        </w:rPr>
        <w:t>American Journal of economics and business management</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1</w:t>
      </w:r>
      <w:r w:rsidRPr="00395E6C">
        <w:rPr>
          <w:rFonts w:ascii="Times New Roman" w:eastAsia="Times New Roman" w:hAnsi="Times New Roman" w:cs="Times New Roman"/>
          <w:sz w:val="24"/>
          <w:szCs w:val="24"/>
          <w:highlight w:val="white"/>
        </w:rPr>
        <w:t>(1), pp.20-53.</w:t>
      </w:r>
    </w:p>
    <w:p w14:paraId="00000017"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proofErr w:type="spellStart"/>
      <w:r w:rsidRPr="00395E6C">
        <w:rPr>
          <w:rFonts w:ascii="Times New Roman" w:eastAsia="Times New Roman" w:hAnsi="Times New Roman" w:cs="Times New Roman"/>
          <w:sz w:val="24"/>
          <w:szCs w:val="24"/>
          <w:highlight w:val="white"/>
        </w:rPr>
        <w:t>Kiruja</w:t>
      </w:r>
      <w:proofErr w:type="spellEnd"/>
      <w:r w:rsidRPr="00395E6C">
        <w:rPr>
          <w:rFonts w:ascii="Times New Roman" w:eastAsia="Times New Roman" w:hAnsi="Times New Roman" w:cs="Times New Roman"/>
          <w:sz w:val="24"/>
          <w:szCs w:val="24"/>
          <w:highlight w:val="white"/>
        </w:rPr>
        <w:t xml:space="preserve">, L.N., 2018. </w:t>
      </w:r>
      <w:r w:rsidRPr="00395E6C">
        <w:rPr>
          <w:rFonts w:ascii="Times New Roman" w:eastAsia="Times New Roman" w:hAnsi="Times New Roman" w:cs="Times New Roman"/>
          <w:i/>
          <w:sz w:val="24"/>
          <w:szCs w:val="24"/>
          <w:highlight w:val="white"/>
        </w:rPr>
        <w:t xml:space="preserve">Effects Of New Bank Reforms On </w:t>
      </w:r>
      <w:proofErr w:type="gramStart"/>
      <w:r w:rsidRPr="00395E6C">
        <w:rPr>
          <w:rFonts w:ascii="Times New Roman" w:eastAsia="Times New Roman" w:hAnsi="Times New Roman" w:cs="Times New Roman"/>
          <w:i/>
          <w:sz w:val="24"/>
          <w:szCs w:val="24"/>
          <w:highlight w:val="white"/>
        </w:rPr>
        <w:t>The</w:t>
      </w:r>
      <w:proofErr w:type="gramEnd"/>
      <w:r w:rsidRPr="00395E6C">
        <w:rPr>
          <w:rFonts w:ascii="Times New Roman" w:eastAsia="Times New Roman" w:hAnsi="Times New Roman" w:cs="Times New Roman"/>
          <w:i/>
          <w:sz w:val="24"/>
          <w:szCs w:val="24"/>
          <w:highlight w:val="white"/>
        </w:rPr>
        <w:t xml:space="preserve"> Performance Of Commercial Banks: A Camel Model</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1</w:t>
      </w:r>
      <w:r w:rsidRPr="00395E6C">
        <w:rPr>
          <w:rFonts w:ascii="Times New Roman" w:eastAsia="Times New Roman" w:hAnsi="Times New Roman" w:cs="Times New Roman"/>
          <w:sz w:val="24"/>
          <w:szCs w:val="24"/>
          <w:highlight w:val="white"/>
        </w:rPr>
        <w:t>(10), pp.28-56.</w:t>
      </w:r>
    </w:p>
    <w:p w14:paraId="00000018"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proofErr w:type="spellStart"/>
      <w:r w:rsidRPr="00395E6C">
        <w:rPr>
          <w:rFonts w:ascii="Times New Roman" w:eastAsia="Times New Roman" w:hAnsi="Times New Roman" w:cs="Times New Roman"/>
          <w:sz w:val="24"/>
          <w:szCs w:val="24"/>
          <w:highlight w:val="white"/>
        </w:rPr>
        <w:lastRenderedPageBreak/>
        <w:t>Leković</w:t>
      </w:r>
      <w:proofErr w:type="spellEnd"/>
      <w:r w:rsidRPr="00395E6C">
        <w:rPr>
          <w:rFonts w:ascii="Times New Roman" w:eastAsia="Times New Roman" w:hAnsi="Times New Roman" w:cs="Times New Roman"/>
          <w:sz w:val="24"/>
          <w:szCs w:val="24"/>
          <w:highlight w:val="white"/>
        </w:rPr>
        <w:t xml:space="preserve">, M., 2018. Evidence for and against the validity of efficient market hypothesis. </w:t>
      </w:r>
      <w:r w:rsidRPr="00395E6C">
        <w:rPr>
          <w:rFonts w:ascii="Times New Roman" w:eastAsia="Times New Roman" w:hAnsi="Times New Roman" w:cs="Times New Roman"/>
          <w:i/>
          <w:sz w:val="24"/>
          <w:szCs w:val="24"/>
          <w:highlight w:val="white"/>
        </w:rPr>
        <w:t>Economic themes</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56</w:t>
      </w:r>
      <w:r w:rsidRPr="00395E6C">
        <w:rPr>
          <w:rFonts w:ascii="Times New Roman" w:eastAsia="Times New Roman" w:hAnsi="Times New Roman" w:cs="Times New Roman"/>
          <w:sz w:val="24"/>
          <w:szCs w:val="24"/>
          <w:highlight w:val="white"/>
        </w:rPr>
        <w:t>(3), pp.369-387.</w:t>
      </w:r>
    </w:p>
    <w:p w14:paraId="00000019"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r w:rsidRPr="00395E6C">
        <w:rPr>
          <w:rFonts w:ascii="Times New Roman" w:eastAsia="Times New Roman" w:hAnsi="Times New Roman" w:cs="Times New Roman"/>
          <w:sz w:val="24"/>
          <w:szCs w:val="24"/>
          <w:highlight w:val="white"/>
        </w:rPr>
        <w:t xml:space="preserve">Lundin, E. and </w:t>
      </w:r>
      <w:proofErr w:type="spellStart"/>
      <w:r w:rsidRPr="00395E6C">
        <w:rPr>
          <w:rFonts w:ascii="Times New Roman" w:eastAsia="Times New Roman" w:hAnsi="Times New Roman" w:cs="Times New Roman"/>
          <w:sz w:val="24"/>
          <w:szCs w:val="24"/>
          <w:highlight w:val="white"/>
        </w:rPr>
        <w:t>Tangerås</w:t>
      </w:r>
      <w:proofErr w:type="spellEnd"/>
      <w:r w:rsidRPr="00395E6C">
        <w:rPr>
          <w:rFonts w:ascii="Times New Roman" w:eastAsia="Times New Roman" w:hAnsi="Times New Roman" w:cs="Times New Roman"/>
          <w:sz w:val="24"/>
          <w:szCs w:val="24"/>
          <w:highlight w:val="white"/>
        </w:rPr>
        <w:t xml:space="preserve">, T.P., 2020. Cournot competition in wholesale electricity markets: The Nordic power exchange, Nord Pool. </w:t>
      </w:r>
      <w:r w:rsidRPr="00395E6C">
        <w:rPr>
          <w:rFonts w:ascii="Times New Roman" w:eastAsia="Times New Roman" w:hAnsi="Times New Roman" w:cs="Times New Roman"/>
          <w:i/>
          <w:sz w:val="24"/>
          <w:szCs w:val="24"/>
          <w:highlight w:val="white"/>
        </w:rPr>
        <w:t>International Journal of Industrial Organization</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68</w:t>
      </w:r>
      <w:r w:rsidRPr="00395E6C">
        <w:rPr>
          <w:rFonts w:ascii="Times New Roman" w:eastAsia="Times New Roman" w:hAnsi="Times New Roman" w:cs="Times New Roman"/>
          <w:sz w:val="24"/>
          <w:szCs w:val="24"/>
          <w:highlight w:val="white"/>
        </w:rPr>
        <w:t>, p.102536.</w:t>
      </w:r>
    </w:p>
    <w:p w14:paraId="0000001A"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proofErr w:type="spellStart"/>
      <w:r w:rsidRPr="00395E6C">
        <w:rPr>
          <w:rFonts w:ascii="Times New Roman" w:eastAsia="Times New Roman" w:hAnsi="Times New Roman" w:cs="Times New Roman"/>
          <w:sz w:val="24"/>
          <w:szCs w:val="24"/>
          <w:highlight w:val="white"/>
        </w:rPr>
        <w:t>Maudos</w:t>
      </w:r>
      <w:proofErr w:type="spellEnd"/>
      <w:r w:rsidRPr="00395E6C">
        <w:rPr>
          <w:rFonts w:ascii="Times New Roman" w:eastAsia="Times New Roman" w:hAnsi="Times New Roman" w:cs="Times New Roman"/>
          <w:sz w:val="24"/>
          <w:szCs w:val="24"/>
          <w:highlight w:val="white"/>
        </w:rPr>
        <w:t xml:space="preserve">, J. and Vives, X., 2019. Competition policy in banking in the European Union. </w:t>
      </w:r>
      <w:r w:rsidRPr="00395E6C">
        <w:rPr>
          <w:rFonts w:ascii="Times New Roman" w:eastAsia="Times New Roman" w:hAnsi="Times New Roman" w:cs="Times New Roman"/>
          <w:i/>
          <w:sz w:val="24"/>
          <w:szCs w:val="24"/>
          <w:highlight w:val="white"/>
        </w:rPr>
        <w:t>Review of industrial organization</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55</w:t>
      </w:r>
      <w:r w:rsidRPr="00395E6C">
        <w:rPr>
          <w:rFonts w:ascii="Times New Roman" w:eastAsia="Times New Roman" w:hAnsi="Times New Roman" w:cs="Times New Roman"/>
          <w:sz w:val="24"/>
          <w:szCs w:val="24"/>
          <w:highlight w:val="white"/>
        </w:rPr>
        <w:t>(1), pp.27-46.</w:t>
      </w:r>
    </w:p>
    <w:p w14:paraId="0000001B" w14:textId="5A58F309"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proofErr w:type="spellStart"/>
      <w:r w:rsidRPr="00395E6C">
        <w:rPr>
          <w:rFonts w:ascii="Times New Roman" w:eastAsia="Times New Roman" w:hAnsi="Times New Roman" w:cs="Times New Roman"/>
          <w:sz w:val="24"/>
          <w:szCs w:val="24"/>
          <w:highlight w:val="white"/>
        </w:rPr>
        <w:t>Onyekwelu</w:t>
      </w:r>
      <w:proofErr w:type="spellEnd"/>
      <w:r w:rsidRPr="00395E6C">
        <w:rPr>
          <w:rFonts w:ascii="Times New Roman" w:eastAsia="Times New Roman" w:hAnsi="Times New Roman" w:cs="Times New Roman"/>
          <w:sz w:val="24"/>
          <w:szCs w:val="24"/>
          <w:highlight w:val="white"/>
        </w:rPr>
        <w:t xml:space="preserve">, U.H., Lucy, U. and </w:t>
      </w:r>
      <w:proofErr w:type="spellStart"/>
      <w:r w:rsidRPr="00395E6C">
        <w:rPr>
          <w:rFonts w:ascii="Times New Roman" w:eastAsia="Times New Roman" w:hAnsi="Times New Roman" w:cs="Times New Roman"/>
          <w:sz w:val="24"/>
          <w:szCs w:val="24"/>
          <w:highlight w:val="white"/>
        </w:rPr>
        <w:t>Onwe</w:t>
      </w:r>
      <w:proofErr w:type="spellEnd"/>
      <w:r w:rsidRPr="00395E6C">
        <w:rPr>
          <w:rFonts w:ascii="Times New Roman" w:eastAsia="Times New Roman" w:hAnsi="Times New Roman" w:cs="Times New Roman"/>
          <w:sz w:val="24"/>
          <w:szCs w:val="24"/>
          <w:highlight w:val="white"/>
        </w:rPr>
        <w:t xml:space="preserve">, O.G., 2019. Effect of retained earnings, dividend </w:t>
      </w:r>
      <w:proofErr w:type="spellStart"/>
      <w:r w:rsidRPr="00395E6C">
        <w:rPr>
          <w:rFonts w:ascii="Times New Roman" w:eastAsia="Times New Roman" w:hAnsi="Times New Roman" w:cs="Times New Roman"/>
          <w:sz w:val="24"/>
          <w:szCs w:val="24"/>
          <w:highlight w:val="white"/>
        </w:rPr>
        <w:t>payout</w:t>
      </w:r>
      <w:proofErr w:type="spellEnd"/>
      <w:r w:rsidRPr="00395E6C">
        <w:rPr>
          <w:rFonts w:ascii="Times New Roman" w:eastAsia="Times New Roman" w:hAnsi="Times New Roman" w:cs="Times New Roman"/>
          <w:sz w:val="24"/>
          <w:szCs w:val="24"/>
          <w:highlight w:val="white"/>
        </w:rPr>
        <w:t xml:space="preserve"> and total assets on market share price of oil and gas firms. </w:t>
      </w:r>
      <w:r w:rsidRPr="00395E6C">
        <w:rPr>
          <w:rFonts w:ascii="Times New Roman" w:eastAsia="Times New Roman" w:hAnsi="Times New Roman" w:cs="Times New Roman"/>
          <w:i/>
          <w:sz w:val="24"/>
          <w:szCs w:val="24"/>
          <w:highlight w:val="white"/>
        </w:rPr>
        <w:t>Journal of Accounting Information and Innovation</w:t>
      </w:r>
      <w:r w:rsidRPr="00395E6C">
        <w:rPr>
          <w:rFonts w:ascii="Times New Roman" w:eastAsia="Times New Roman" w:hAnsi="Times New Roman" w:cs="Times New Roman"/>
          <w:sz w:val="24"/>
          <w:szCs w:val="24"/>
          <w:highlight w:val="white"/>
        </w:rPr>
        <w:t xml:space="preserve">, </w:t>
      </w:r>
      <w:r w:rsidRPr="00395E6C">
        <w:rPr>
          <w:rFonts w:ascii="Times New Roman" w:eastAsia="Times New Roman" w:hAnsi="Times New Roman" w:cs="Times New Roman"/>
          <w:i/>
          <w:sz w:val="24"/>
          <w:szCs w:val="24"/>
          <w:highlight w:val="white"/>
        </w:rPr>
        <w:t>5</w:t>
      </w:r>
      <w:r w:rsidRPr="00395E6C">
        <w:rPr>
          <w:rFonts w:ascii="Times New Roman" w:eastAsia="Times New Roman" w:hAnsi="Times New Roman" w:cs="Times New Roman"/>
          <w:sz w:val="24"/>
          <w:szCs w:val="24"/>
          <w:highlight w:val="white"/>
        </w:rPr>
        <w:t>(6)</w:t>
      </w:r>
      <w:r w:rsidR="00395E6C">
        <w:rPr>
          <w:rFonts w:ascii="Times New Roman" w:eastAsia="Times New Roman" w:hAnsi="Times New Roman" w:cs="Times New Roman"/>
          <w:sz w:val="24"/>
          <w:szCs w:val="24"/>
          <w:highlight w:val="white"/>
        </w:rPr>
        <w:t>, pp. 35-41</w:t>
      </w:r>
    </w:p>
    <w:p w14:paraId="0000001C" w14:textId="77777777" w:rsidR="00D823D2" w:rsidRPr="00395E6C" w:rsidRDefault="002D6DE7">
      <w:pPr>
        <w:spacing w:before="240" w:after="240" w:line="360" w:lineRule="auto"/>
        <w:jc w:val="both"/>
        <w:rPr>
          <w:rFonts w:ascii="Times New Roman" w:eastAsia="Times New Roman" w:hAnsi="Times New Roman" w:cs="Times New Roman"/>
          <w:sz w:val="24"/>
          <w:szCs w:val="24"/>
          <w:highlight w:val="white"/>
        </w:rPr>
      </w:pPr>
      <w:proofErr w:type="spellStart"/>
      <w:r w:rsidRPr="00395E6C">
        <w:rPr>
          <w:rFonts w:ascii="Times New Roman" w:eastAsia="Times New Roman" w:hAnsi="Times New Roman" w:cs="Times New Roman"/>
          <w:sz w:val="24"/>
          <w:szCs w:val="24"/>
          <w:highlight w:val="white"/>
        </w:rPr>
        <w:t>Worldbank</w:t>
      </w:r>
      <w:proofErr w:type="spellEnd"/>
      <w:r w:rsidRPr="00395E6C">
        <w:rPr>
          <w:rFonts w:ascii="Times New Roman" w:eastAsia="Times New Roman" w:hAnsi="Times New Roman" w:cs="Times New Roman"/>
          <w:sz w:val="24"/>
          <w:szCs w:val="24"/>
          <w:highlight w:val="white"/>
        </w:rPr>
        <w:t xml:space="preserve">, 2022. </w:t>
      </w:r>
      <w:proofErr w:type="gramStart"/>
      <w:r w:rsidRPr="00395E6C">
        <w:rPr>
          <w:rFonts w:ascii="Times New Roman" w:eastAsia="Times New Roman" w:hAnsi="Times New Roman" w:cs="Times New Roman"/>
          <w:i/>
          <w:sz w:val="24"/>
          <w:szCs w:val="24"/>
          <w:highlight w:val="white"/>
        </w:rPr>
        <w:t>Tracking an Unprecedented Year for Businesses, Everywhere</w:t>
      </w:r>
      <w:r w:rsidRPr="00395E6C">
        <w:rPr>
          <w:rFonts w:ascii="Times New Roman" w:eastAsia="Times New Roman" w:hAnsi="Times New Roman" w:cs="Times New Roman"/>
          <w:sz w:val="24"/>
          <w:szCs w:val="24"/>
          <w:highlight w:val="white"/>
        </w:rPr>
        <w:t>.</w:t>
      </w:r>
      <w:proofErr w:type="gramEnd"/>
      <w:r w:rsidRPr="00395E6C">
        <w:rPr>
          <w:rFonts w:ascii="Times New Roman" w:eastAsia="Times New Roman" w:hAnsi="Times New Roman" w:cs="Times New Roman"/>
          <w:sz w:val="24"/>
          <w:szCs w:val="24"/>
          <w:highlight w:val="white"/>
        </w:rPr>
        <w:t xml:space="preserve"> [online] Available at: &lt;https://www.worldbank.org/en/news/feature/2021/02/17/tracking-an-unprecedented-year-for-businesses-everywhere&gt; [Accessed 2 April 2022].</w:t>
      </w:r>
    </w:p>
    <w:p w14:paraId="0000001D" w14:textId="77777777" w:rsidR="00D823D2" w:rsidRPr="00395E6C" w:rsidRDefault="00D823D2">
      <w:pPr>
        <w:spacing w:line="360" w:lineRule="auto"/>
        <w:jc w:val="both"/>
        <w:rPr>
          <w:rFonts w:ascii="Times New Roman" w:eastAsia="Times New Roman" w:hAnsi="Times New Roman" w:cs="Times New Roman"/>
          <w:sz w:val="24"/>
          <w:szCs w:val="24"/>
          <w:highlight w:val="white"/>
        </w:rPr>
      </w:pPr>
    </w:p>
    <w:p w14:paraId="0000001E" w14:textId="77777777" w:rsidR="00D823D2" w:rsidRPr="00395E6C" w:rsidRDefault="00D823D2">
      <w:pPr>
        <w:spacing w:line="360" w:lineRule="auto"/>
        <w:jc w:val="both"/>
        <w:rPr>
          <w:rFonts w:ascii="Times New Roman" w:eastAsia="Times New Roman" w:hAnsi="Times New Roman" w:cs="Times New Roman"/>
          <w:b/>
          <w:sz w:val="28"/>
          <w:szCs w:val="28"/>
          <w:highlight w:val="white"/>
        </w:rPr>
      </w:pPr>
    </w:p>
    <w:sectPr w:rsidR="00D823D2" w:rsidRPr="00395E6C" w:rsidSect="008D2F5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9E1DBB" w14:textId="77777777" w:rsidR="003A1167" w:rsidRDefault="003A1167" w:rsidP="008D2F52">
      <w:pPr>
        <w:spacing w:line="240" w:lineRule="auto"/>
      </w:pPr>
      <w:r>
        <w:separator/>
      </w:r>
    </w:p>
  </w:endnote>
  <w:endnote w:type="continuationSeparator" w:id="0">
    <w:p w14:paraId="6BD5E121" w14:textId="77777777" w:rsidR="003A1167" w:rsidRDefault="003A1167" w:rsidP="008D2F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szCs w:val="20"/>
      </w:rPr>
      <w:id w:val="-1046596080"/>
      <w:docPartObj>
        <w:docPartGallery w:val="Page Numbers (Bottom of Page)"/>
        <w:docPartUnique/>
      </w:docPartObj>
    </w:sdtPr>
    <w:sdtEndPr>
      <w:rPr>
        <w:noProof/>
      </w:rPr>
    </w:sdtEndPr>
    <w:sdtContent>
      <w:p w14:paraId="63F79FDB" w14:textId="3675D095" w:rsidR="008D2F52" w:rsidRPr="008D2F52" w:rsidRDefault="008D2F52">
        <w:pPr>
          <w:pStyle w:val="Footer"/>
          <w:jc w:val="right"/>
          <w:rPr>
            <w:rFonts w:ascii="Times New Roman" w:hAnsi="Times New Roman" w:cs="Times New Roman"/>
            <w:sz w:val="20"/>
            <w:szCs w:val="20"/>
          </w:rPr>
        </w:pPr>
        <w:r w:rsidRPr="008D2F52">
          <w:rPr>
            <w:rFonts w:ascii="Times New Roman" w:hAnsi="Times New Roman" w:cs="Times New Roman"/>
            <w:sz w:val="20"/>
            <w:szCs w:val="20"/>
          </w:rPr>
          <w:fldChar w:fldCharType="begin"/>
        </w:r>
        <w:r w:rsidRPr="008D2F52">
          <w:rPr>
            <w:rFonts w:ascii="Times New Roman" w:hAnsi="Times New Roman" w:cs="Times New Roman"/>
            <w:sz w:val="20"/>
            <w:szCs w:val="20"/>
          </w:rPr>
          <w:instrText xml:space="preserve"> PAGE   \* MERGEFORMAT </w:instrText>
        </w:r>
        <w:r w:rsidRPr="008D2F52">
          <w:rPr>
            <w:rFonts w:ascii="Times New Roman" w:hAnsi="Times New Roman" w:cs="Times New Roman"/>
            <w:sz w:val="20"/>
            <w:szCs w:val="20"/>
          </w:rPr>
          <w:fldChar w:fldCharType="separate"/>
        </w:r>
        <w:r w:rsidR="00100500">
          <w:rPr>
            <w:rFonts w:ascii="Times New Roman" w:hAnsi="Times New Roman" w:cs="Times New Roman"/>
            <w:noProof/>
            <w:sz w:val="20"/>
            <w:szCs w:val="20"/>
          </w:rPr>
          <w:t>1</w:t>
        </w:r>
        <w:r w:rsidRPr="008D2F52">
          <w:rPr>
            <w:rFonts w:ascii="Times New Roman" w:hAnsi="Times New Roman" w:cs="Times New Roman"/>
            <w:noProof/>
            <w:sz w:val="20"/>
            <w:szCs w:val="20"/>
          </w:rPr>
          <w:fldChar w:fldCharType="end"/>
        </w:r>
      </w:p>
    </w:sdtContent>
  </w:sdt>
  <w:p w14:paraId="6E44B0D7" w14:textId="77777777" w:rsidR="008D2F52" w:rsidRPr="008D2F52" w:rsidRDefault="008D2F5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26AF16" w14:textId="77777777" w:rsidR="003A1167" w:rsidRDefault="003A1167" w:rsidP="008D2F52">
      <w:pPr>
        <w:spacing w:line="240" w:lineRule="auto"/>
      </w:pPr>
      <w:r>
        <w:separator/>
      </w:r>
    </w:p>
  </w:footnote>
  <w:footnote w:type="continuationSeparator" w:id="0">
    <w:p w14:paraId="63FDD658" w14:textId="77777777" w:rsidR="003A1167" w:rsidRDefault="003A1167" w:rsidP="008D2F5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3D2"/>
    <w:rsid w:val="00100500"/>
    <w:rsid w:val="00110E7B"/>
    <w:rsid w:val="002D6DE7"/>
    <w:rsid w:val="00395E6C"/>
    <w:rsid w:val="003A1167"/>
    <w:rsid w:val="006F7219"/>
    <w:rsid w:val="007C20D8"/>
    <w:rsid w:val="008D2F52"/>
    <w:rsid w:val="009F77FA"/>
    <w:rsid w:val="00D823D2"/>
    <w:rsid w:val="00DB11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F3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8D2F52"/>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D2F5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D2F52"/>
    <w:pPr>
      <w:spacing w:after="100"/>
    </w:pPr>
  </w:style>
  <w:style w:type="character" w:styleId="Hyperlink">
    <w:name w:val="Hyperlink"/>
    <w:basedOn w:val="DefaultParagraphFont"/>
    <w:uiPriority w:val="99"/>
    <w:unhideWhenUsed/>
    <w:rsid w:val="008D2F52"/>
    <w:rPr>
      <w:color w:val="0000FF" w:themeColor="hyperlink"/>
      <w:u w:val="single"/>
    </w:rPr>
  </w:style>
  <w:style w:type="paragraph" w:styleId="Header">
    <w:name w:val="header"/>
    <w:basedOn w:val="Normal"/>
    <w:link w:val="HeaderChar"/>
    <w:uiPriority w:val="99"/>
    <w:unhideWhenUsed/>
    <w:rsid w:val="008D2F52"/>
    <w:pPr>
      <w:tabs>
        <w:tab w:val="center" w:pos="4513"/>
        <w:tab w:val="right" w:pos="9026"/>
      </w:tabs>
      <w:spacing w:line="240" w:lineRule="auto"/>
    </w:pPr>
  </w:style>
  <w:style w:type="character" w:customStyle="1" w:styleId="HeaderChar">
    <w:name w:val="Header Char"/>
    <w:basedOn w:val="DefaultParagraphFont"/>
    <w:link w:val="Header"/>
    <w:uiPriority w:val="99"/>
    <w:rsid w:val="008D2F52"/>
  </w:style>
  <w:style w:type="paragraph" w:styleId="Footer">
    <w:name w:val="footer"/>
    <w:basedOn w:val="Normal"/>
    <w:link w:val="FooterChar"/>
    <w:uiPriority w:val="99"/>
    <w:unhideWhenUsed/>
    <w:rsid w:val="008D2F52"/>
    <w:pPr>
      <w:tabs>
        <w:tab w:val="center" w:pos="4513"/>
        <w:tab w:val="right" w:pos="9026"/>
      </w:tabs>
      <w:spacing w:line="240" w:lineRule="auto"/>
    </w:pPr>
  </w:style>
  <w:style w:type="character" w:customStyle="1" w:styleId="FooterChar">
    <w:name w:val="Footer Char"/>
    <w:basedOn w:val="DefaultParagraphFont"/>
    <w:link w:val="Footer"/>
    <w:uiPriority w:val="99"/>
    <w:rsid w:val="008D2F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008D2F52"/>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D2F5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D2F52"/>
    <w:pPr>
      <w:spacing w:after="100"/>
    </w:pPr>
  </w:style>
  <w:style w:type="character" w:styleId="Hyperlink">
    <w:name w:val="Hyperlink"/>
    <w:basedOn w:val="DefaultParagraphFont"/>
    <w:uiPriority w:val="99"/>
    <w:unhideWhenUsed/>
    <w:rsid w:val="008D2F52"/>
    <w:rPr>
      <w:color w:val="0000FF" w:themeColor="hyperlink"/>
      <w:u w:val="single"/>
    </w:rPr>
  </w:style>
  <w:style w:type="paragraph" w:styleId="Header">
    <w:name w:val="header"/>
    <w:basedOn w:val="Normal"/>
    <w:link w:val="HeaderChar"/>
    <w:uiPriority w:val="99"/>
    <w:unhideWhenUsed/>
    <w:rsid w:val="008D2F52"/>
    <w:pPr>
      <w:tabs>
        <w:tab w:val="center" w:pos="4513"/>
        <w:tab w:val="right" w:pos="9026"/>
      </w:tabs>
      <w:spacing w:line="240" w:lineRule="auto"/>
    </w:pPr>
  </w:style>
  <w:style w:type="character" w:customStyle="1" w:styleId="HeaderChar">
    <w:name w:val="Header Char"/>
    <w:basedOn w:val="DefaultParagraphFont"/>
    <w:link w:val="Header"/>
    <w:uiPriority w:val="99"/>
    <w:rsid w:val="008D2F52"/>
  </w:style>
  <w:style w:type="paragraph" w:styleId="Footer">
    <w:name w:val="footer"/>
    <w:basedOn w:val="Normal"/>
    <w:link w:val="FooterChar"/>
    <w:uiPriority w:val="99"/>
    <w:unhideWhenUsed/>
    <w:rsid w:val="008D2F52"/>
    <w:pPr>
      <w:tabs>
        <w:tab w:val="center" w:pos="4513"/>
        <w:tab w:val="right" w:pos="9026"/>
      </w:tabs>
      <w:spacing w:line="240" w:lineRule="auto"/>
    </w:pPr>
  </w:style>
  <w:style w:type="character" w:customStyle="1" w:styleId="FooterChar">
    <w:name w:val="Footer Char"/>
    <w:basedOn w:val="DefaultParagraphFont"/>
    <w:link w:val="Footer"/>
    <w:uiPriority w:val="99"/>
    <w:rsid w:val="008D2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4CDFC-6ACA-40BC-9A52-A5614A058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2064</Words>
  <Characters>11769</Characters>
  <Application>Microsoft Office Word</Application>
  <DocSecurity>0</DocSecurity>
  <Lines>98</Lines>
  <Paragraphs>27</Paragraphs>
  <ScaleCrop>false</ScaleCrop>
  <Company/>
  <LinksUpToDate>false</LinksUpToDate>
  <CharactersWithSpaces>13806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cp:lastModifiedBy>
  <cp:revision>12</cp:revision>
  <dcterms:created xsi:type="dcterms:W3CDTF">2022-04-19T12:13:00Z</dcterms:created>
  <dcterms:modified xsi:type="dcterms:W3CDTF">2022-05-01T19:14:00Z</dcterms:modified>
</cp:coreProperties>
</file>