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proofErr w:type="spellStart"/>
      <w:r w:rsidRPr="00DC2924">
        <w:rPr>
          <w:rFonts w:ascii="Times New Roman" w:hAnsi="Times New Roman" w:cs="Times New Roman"/>
          <w:b/>
          <w:color w:val="auto"/>
          <w:sz w:val="48"/>
        </w:rPr>
        <w:t>BMPF6044</w:t>
      </w:r>
      <w:proofErr w:type="spellEnd"/>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 xml:space="preserve">(PORTH </w:t>
      </w:r>
      <w:proofErr w:type="spellStart"/>
      <w:r w:rsidRPr="00F15354">
        <w:rPr>
          <w:rFonts w:ascii="Times New Roman" w:hAnsi="Times New Roman" w:cs="Times New Roman"/>
          <w:b/>
          <w:bCs/>
          <w:color w:val="auto"/>
          <w:sz w:val="48"/>
          <w:szCs w:val="48"/>
        </w:rPr>
        <w:t>AGORED</w:t>
      </w:r>
      <w:proofErr w:type="spellEnd"/>
      <w:r w:rsidRPr="00F15354">
        <w:rPr>
          <w:rFonts w:ascii="Times New Roman" w:hAnsi="Times New Roman" w:cs="Times New Roman"/>
          <w:b/>
          <w:bCs/>
          <w:color w:val="auto"/>
          <w:sz w:val="48"/>
          <w:szCs w:val="48"/>
        </w:rPr>
        <w:t xml:space="preserve">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5F24A9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56BD1">
              <w:rPr>
                <w:rFonts w:ascii="Times New Roman" w:hAnsi="Times New Roman" w:cs="Times New Roman"/>
                <w:b/>
                <w:color w:val="auto"/>
                <w:sz w:val="48"/>
              </w:rPr>
              <w:t>Lowri 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08B1E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56BD1">
              <w:rPr>
                <w:rFonts w:ascii="Times New Roman" w:hAnsi="Times New Roman" w:cs="Times New Roman"/>
                <w:b/>
                <w:color w:val="auto"/>
                <w:sz w:val="48"/>
              </w:rPr>
              <w:t xml:space="preserve"> </w:t>
            </w:r>
            <w:proofErr w:type="spellStart"/>
            <w:r w:rsidR="00656BD1">
              <w:rPr>
                <w:rFonts w:ascii="Times New Roman" w:hAnsi="Times New Roman" w:cs="Times New Roman"/>
                <w:b/>
                <w:color w:val="auto"/>
                <w:sz w:val="48"/>
              </w:rPr>
              <w:t>LowriElinWilliams@gwynedd.llyw.cymru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39D31BF"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56BD1">
              <w:rPr>
                <w:rFonts w:ascii="Times New Roman" w:hAnsi="Times New Roman" w:cs="Times New Roman"/>
                <w:b/>
                <w:color w:val="auto"/>
                <w:sz w:val="48"/>
              </w:rPr>
              <w:t xml:space="preserve"> </w:t>
            </w:r>
          </w:p>
          <w:p w14:paraId="760DB5B6" w14:textId="75100075" w:rsidR="00656BD1" w:rsidRPr="005D3F07" w:rsidRDefault="00656BD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2521069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1EB157DC" w:rsidR="00E559CE" w:rsidRDefault="00E83F91" w:rsidP="00656BD1">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8365A4" w:rsidRDefault="006872A0" w:rsidP="00064063">
            <w:pPr>
              <w:jc w:val="both"/>
              <w:rPr>
                <w:b/>
                <w:sz w:val="24"/>
                <w:szCs w:val="24"/>
              </w:rPr>
            </w:pPr>
            <w:r w:rsidRPr="008365A4">
              <w:rPr>
                <w:b/>
                <w:sz w:val="24"/>
                <w:szCs w:val="24"/>
              </w:rPr>
              <w:t>Question</w:t>
            </w:r>
            <w:r w:rsidR="007A628F" w:rsidRPr="008365A4">
              <w:rPr>
                <w:b/>
                <w:sz w:val="24"/>
                <w:szCs w:val="24"/>
              </w:rPr>
              <w:t>:</w:t>
            </w:r>
          </w:p>
          <w:p w14:paraId="541B485B" w14:textId="4CB44B06" w:rsidR="00C77FA5" w:rsidRPr="008365A4" w:rsidRDefault="000A584A">
            <w:pPr>
              <w:jc w:val="both"/>
              <w:rPr>
                <w:sz w:val="24"/>
                <w:szCs w:val="24"/>
              </w:rPr>
            </w:pPr>
            <w:r w:rsidRPr="008365A4">
              <w:rPr>
                <w:sz w:val="24"/>
                <w:szCs w:val="24"/>
              </w:rPr>
              <w:t xml:space="preserve">Complete a critically reflective case study </w:t>
            </w:r>
            <w:r w:rsidR="00D0503D" w:rsidRPr="008365A4">
              <w:rPr>
                <w:sz w:val="24"/>
                <w:szCs w:val="24"/>
              </w:rPr>
              <w:t>based</w:t>
            </w:r>
            <w:r w:rsidRPr="008365A4">
              <w:rPr>
                <w:sz w:val="24"/>
                <w:szCs w:val="24"/>
              </w:rPr>
              <w:t xml:space="preserve"> on</w:t>
            </w:r>
            <w:r w:rsidR="00696A88" w:rsidRPr="008365A4">
              <w:rPr>
                <w:sz w:val="24"/>
                <w:szCs w:val="24"/>
              </w:rPr>
              <w:t xml:space="preserve"> </w:t>
            </w:r>
            <w:r w:rsidR="00411EF7" w:rsidRPr="008365A4">
              <w:rPr>
                <w:sz w:val="24"/>
                <w:szCs w:val="24"/>
              </w:rPr>
              <w:t>an assessment</w:t>
            </w:r>
            <w:r w:rsidR="007F312E" w:rsidRPr="008365A4">
              <w:rPr>
                <w:sz w:val="24"/>
                <w:szCs w:val="24"/>
              </w:rPr>
              <w:t xml:space="preserve"> </w:t>
            </w:r>
            <w:r w:rsidR="007C5ABE" w:rsidRPr="008365A4">
              <w:rPr>
                <w:sz w:val="24"/>
                <w:szCs w:val="24"/>
              </w:rPr>
              <w:t xml:space="preserve">that you have </w:t>
            </w:r>
            <w:r w:rsidRPr="008365A4">
              <w:rPr>
                <w:sz w:val="24"/>
                <w:szCs w:val="24"/>
              </w:rPr>
              <w:t xml:space="preserve">undertaken with </w:t>
            </w:r>
            <w:r w:rsidR="00D0503D" w:rsidRPr="008365A4">
              <w:rPr>
                <w:sz w:val="24"/>
                <w:szCs w:val="24"/>
              </w:rPr>
              <w:t>others,</w:t>
            </w:r>
            <w:r w:rsidR="00D0503D" w:rsidRPr="008365A4">
              <w:rPr>
                <w:b/>
                <w:bCs/>
                <w:sz w:val="24"/>
                <w:szCs w:val="24"/>
              </w:rPr>
              <w:t xml:space="preserve"> </w:t>
            </w:r>
            <w:r w:rsidR="00D0503D" w:rsidRPr="008365A4">
              <w:rPr>
                <w:sz w:val="24"/>
                <w:szCs w:val="24"/>
              </w:rPr>
              <w:t>in</w:t>
            </w:r>
            <w:r w:rsidR="0002440E" w:rsidRPr="008365A4">
              <w:rPr>
                <w:sz w:val="24"/>
                <w:szCs w:val="24"/>
              </w:rPr>
              <w:t xml:space="preserve"> your own area of work</w:t>
            </w:r>
            <w:r w:rsidR="00D0503D" w:rsidRPr="008365A4">
              <w:rPr>
                <w:sz w:val="24"/>
                <w:szCs w:val="24"/>
              </w:rPr>
              <w:t xml:space="preserve">, </w:t>
            </w:r>
            <w:r w:rsidR="00587923" w:rsidRPr="008365A4">
              <w:rPr>
                <w:sz w:val="24"/>
                <w:szCs w:val="24"/>
              </w:rPr>
              <w:t>c</w:t>
            </w:r>
            <w:r w:rsidR="008B28E7" w:rsidRPr="008365A4">
              <w:rPr>
                <w:sz w:val="24"/>
                <w:szCs w:val="24"/>
              </w:rPr>
              <w:t>oncerning the safeguarding of either an adult or a child</w:t>
            </w:r>
            <w:r w:rsidRPr="008365A4">
              <w:rPr>
                <w:sz w:val="24"/>
                <w:szCs w:val="24"/>
              </w:rPr>
              <w:t xml:space="preserve">. </w:t>
            </w:r>
            <w:r w:rsidR="00216563" w:rsidRPr="008365A4">
              <w:rPr>
                <w:sz w:val="24"/>
                <w:szCs w:val="24"/>
              </w:rPr>
              <w:t xml:space="preserve">You must demonstrate how </w:t>
            </w:r>
            <w:r w:rsidR="00F34C86" w:rsidRPr="008365A4">
              <w:rPr>
                <w:sz w:val="24"/>
                <w:szCs w:val="24"/>
              </w:rPr>
              <w:t xml:space="preserve">the case relates to or could relate to safeguarding </w:t>
            </w:r>
            <w:r w:rsidR="00216563" w:rsidRPr="008365A4">
              <w:rPr>
                <w:sz w:val="24"/>
                <w:szCs w:val="24"/>
              </w:rPr>
              <w:t>legislation, policies</w:t>
            </w:r>
            <w:r w:rsidR="00F34C86" w:rsidRPr="008365A4">
              <w:rPr>
                <w:sz w:val="24"/>
                <w:szCs w:val="24"/>
              </w:rPr>
              <w:t>, strategies and procedures</w:t>
            </w:r>
            <w:r w:rsidR="7AAB400D" w:rsidRPr="008365A4">
              <w:rPr>
                <w:sz w:val="24"/>
                <w:szCs w:val="24"/>
              </w:rPr>
              <w:t xml:space="preserve"> </w:t>
            </w:r>
            <w:r w:rsidR="623F2A43" w:rsidRPr="008365A4">
              <w:rPr>
                <w:sz w:val="24"/>
                <w:szCs w:val="24"/>
              </w:rPr>
              <w:t>(</w:t>
            </w:r>
            <w:r w:rsidR="7AAB400D" w:rsidRPr="008365A4">
              <w:rPr>
                <w:sz w:val="24"/>
                <w:szCs w:val="24"/>
              </w:rPr>
              <w:t>i</w:t>
            </w:r>
            <w:r w:rsidR="623F2A43" w:rsidRPr="008365A4">
              <w:rPr>
                <w:sz w:val="24"/>
                <w:szCs w:val="24"/>
              </w:rPr>
              <w:t xml:space="preserve">ncluding </w:t>
            </w:r>
            <w:r w:rsidR="322513AD" w:rsidRPr="008365A4">
              <w:rPr>
                <w:sz w:val="24"/>
                <w:szCs w:val="24"/>
              </w:rPr>
              <w:t>d</w:t>
            </w:r>
            <w:r w:rsidR="7E97696C" w:rsidRPr="008365A4">
              <w:rPr>
                <w:sz w:val="24"/>
                <w:szCs w:val="24"/>
              </w:rPr>
              <w:t xml:space="preserve">emonstrating an understanding of </w:t>
            </w:r>
            <w:r w:rsidR="623F2A43" w:rsidRPr="008365A4">
              <w:rPr>
                <w:sz w:val="24"/>
                <w:szCs w:val="24"/>
              </w:rPr>
              <w:t>the</w:t>
            </w:r>
            <w:r w:rsidR="350F702B" w:rsidRPr="008365A4">
              <w:rPr>
                <w:sz w:val="24"/>
                <w:szCs w:val="24"/>
              </w:rPr>
              <w:t xml:space="preserve"> </w:t>
            </w:r>
            <w:r w:rsidR="3B2446CA" w:rsidRPr="008365A4">
              <w:rPr>
                <w:rFonts w:eastAsia="Arial"/>
                <w:color w:val="000000" w:themeColor="text1"/>
                <w:sz w:val="24"/>
                <w:szCs w:val="24"/>
              </w:rPr>
              <w:t xml:space="preserve">interface </w:t>
            </w:r>
            <w:r w:rsidR="534A9052" w:rsidRPr="008365A4">
              <w:rPr>
                <w:rFonts w:eastAsia="Arial"/>
                <w:color w:val="000000" w:themeColor="text1"/>
                <w:sz w:val="24"/>
                <w:szCs w:val="24"/>
              </w:rPr>
              <w:t>between social services provision in Wales with the United Kingdom, the European Union</w:t>
            </w:r>
            <w:r w:rsidR="007A628F" w:rsidRPr="008365A4">
              <w:rPr>
                <w:rFonts w:eastAsia="Arial"/>
                <w:color w:val="000000" w:themeColor="text1"/>
                <w:sz w:val="24"/>
                <w:szCs w:val="24"/>
              </w:rPr>
              <w:t xml:space="preserve"> (EU)</w:t>
            </w:r>
            <w:r w:rsidR="534A9052" w:rsidRPr="008365A4">
              <w:rPr>
                <w:rFonts w:eastAsia="Arial"/>
                <w:color w:val="000000" w:themeColor="text1"/>
                <w:sz w:val="24"/>
                <w:szCs w:val="24"/>
              </w:rPr>
              <w:t xml:space="preserve"> and outside the EU</w:t>
            </w:r>
            <w:r w:rsidR="623F2A43" w:rsidRPr="008365A4">
              <w:rPr>
                <w:rFonts w:eastAsia="Arial"/>
                <w:color w:val="000000" w:themeColor="text1"/>
                <w:sz w:val="24"/>
                <w:szCs w:val="24"/>
              </w:rPr>
              <w:t>)</w:t>
            </w:r>
            <w:r w:rsidR="00411EF7" w:rsidRPr="008365A4">
              <w:rPr>
                <w:sz w:val="24"/>
                <w:szCs w:val="24"/>
              </w:rPr>
              <w:t>.</w:t>
            </w:r>
            <w:r w:rsidR="00354B6D" w:rsidRPr="008365A4">
              <w:rPr>
                <w:sz w:val="24"/>
                <w:szCs w:val="24"/>
              </w:rPr>
              <w:t xml:space="preserve"> </w:t>
            </w:r>
            <w:r w:rsidR="102A3950" w:rsidRPr="008365A4">
              <w:rPr>
                <w:sz w:val="24"/>
                <w:szCs w:val="24"/>
              </w:rPr>
              <w:t>You</w:t>
            </w:r>
            <w:r w:rsidR="00354B6D" w:rsidRPr="008365A4">
              <w:rPr>
                <w:sz w:val="24"/>
                <w:szCs w:val="24"/>
              </w:rPr>
              <w:t xml:space="preserve"> must</w:t>
            </w:r>
            <w:r w:rsidR="00411EF7" w:rsidRPr="008365A4">
              <w:rPr>
                <w:sz w:val="24"/>
                <w:szCs w:val="24"/>
              </w:rPr>
              <w:t xml:space="preserve"> </w:t>
            </w:r>
            <w:r w:rsidR="00354B6D" w:rsidRPr="008365A4">
              <w:rPr>
                <w:sz w:val="24"/>
                <w:szCs w:val="24"/>
              </w:rPr>
              <w:t>demonstrate your understanding of</w:t>
            </w:r>
            <w:r w:rsidR="00F34C86" w:rsidRPr="008365A4">
              <w:rPr>
                <w:sz w:val="24"/>
                <w:szCs w:val="24"/>
              </w:rPr>
              <w:t xml:space="preserve"> </w:t>
            </w:r>
            <w:r w:rsidR="00411EF7" w:rsidRPr="008365A4">
              <w:rPr>
                <w:sz w:val="24"/>
                <w:szCs w:val="24"/>
              </w:rPr>
              <w:t xml:space="preserve">the </w:t>
            </w:r>
            <w:r w:rsidR="00216563" w:rsidRPr="008365A4">
              <w:rPr>
                <w:sz w:val="24"/>
                <w:szCs w:val="24"/>
              </w:rPr>
              <w:t xml:space="preserve">integration of </w:t>
            </w:r>
            <w:r w:rsidR="6A854C79" w:rsidRPr="008365A4">
              <w:rPr>
                <w:sz w:val="24"/>
                <w:szCs w:val="24"/>
              </w:rPr>
              <w:t>analysis in asses</w:t>
            </w:r>
            <w:r w:rsidR="0F77E214" w:rsidRPr="008365A4">
              <w:rPr>
                <w:sz w:val="24"/>
                <w:szCs w:val="24"/>
              </w:rPr>
              <w:t>sment, collabo</w:t>
            </w:r>
            <w:r w:rsidR="6A854C79" w:rsidRPr="008365A4">
              <w:rPr>
                <w:sz w:val="24"/>
                <w:szCs w:val="24"/>
              </w:rPr>
              <w:t>rative work</w:t>
            </w:r>
            <w:r w:rsidR="0F77E214" w:rsidRPr="008365A4">
              <w:rPr>
                <w:sz w:val="24"/>
                <w:szCs w:val="24"/>
              </w:rPr>
              <w:t>ing</w:t>
            </w:r>
            <w:r w:rsidR="6A854C79" w:rsidRPr="008365A4">
              <w:rPr>
                <w:sz w:val="24"/>
                <w:szCs w:val="24"/>
              </w:rPr>
              <w:t xml:space="preserve"> a</w:t>
            </w:r>
            <w:r w:rsidR="0F77E214" w:rsidRPr="008365A4">
              <w:rPr>
                <w:sz w:val="24"/>
                <w:szCs w:val="24"/>
              </w:rPr>
              <w:t xml:space="preserve">nd </w:t>
            </w:r>
            <w:r w:rsidR="6A854C79" w:rsidRPr="008365A4">
              <w:rPr>
                <w:sz w:val="24"/>
                <w:szCs w:val="24"/>
              </w:rPr>
              <w:t>professional</w:t>
            </w:r>
            <w:r w:rsidR="00F34C86" w:rsidRPr="008365A4">
              <w:rPr>
                <w:sz w:val="24"/>
                <w:szCs w:val="24"/>
              </w:rPr>
              <w:t xml:space="preserve"> </w:t>
            </w:r>
            <w:r w:rsidR="00216563" w:rsidRPr="008365A4">
              <w:rPr>
                <w:sz w:val="24"/>
                <w:szCs w:val="24"/>
              </w:rPr>
              <w:t>judgements</w:t>
            </w:r>
            <w:r w:rsidR="0F77E214" w:rsidRPr="008365A4">
              <w:rPr>
                <w:sz w:val="24"/>
                <w:szCs w:val="24"/>
              </w:rPr>
              <w:t xml:space="preserve"> in increasingly complex situations </w:t>
            </w:r>
            <w:r w:rsidR="00E5498A" w:rsidRPr="008365A4">
              <w:rPr>
                <w:sz w:val="24"/>
                <w:szCs w:val="24"/>
              </w:rPr>
              <w:t>and</w:t>
            </w:r>
            <w:r w:rsidR="1D6670C0" w:rsidRPr="008365A4">
              <w:rPr>
                <w:sz w:val="24"/>
                <w:szCs w:val="24"/>
              </w:rPr>
              <w:t xml:space="preserve"> </w:t>
            </w:r>
            <w:r w:rsidR="39C47EB7" w:rsidRPr="008365A4">
              <w:rPr>
                <w:sz w:val="24"/>
                <w:szCs w:val="24"/>
              </w:rPr>
              <w:t>the</w:t>
            </w:r>
            <w:r w:rsidR="25F327FB" w:rsidRPr="008365A4">
              <w:rPr>
                <w:sz w:val="24"/>
                <w:szCs w:val="24"/>
              </w:rPr>
              <w:t xml:space="preserve"> </w:t>
            </w:r>
            <w:r w:rsidR="00F34C86" w:rsidRPr="008365A4">
              <w:rPr>
                <w:sz w:val="24"/>
                <w:szCs w:val="24"/>
              </w:rPr>
              <w:t>use of social work theories</w:t>
            </w:r>
            <w:r w:rsidR="756EEE2D" w:rsidRPr="008365A4">
              <w:rPr>
                <w:sz w:val="24"/>
                <w:szCs w:val="24"/>
              </w:rPr>
              <w:t>.</w:t>
            </w:r>
            <w:r w:rsidR="00216563" w:rsidRPr="008365A4">
              <w:rPr>
                <w:sz w:val="24"/>
                <w:szCs w:val="24"/>
              </w:rPr>
              <w:t xml:space="preserve"> </w:t>
            </w:r>
            <w:r w:rsidR="756EEE2D" w:rsidRPr="008365A4">
              <w:rPr>
                <w:sz w:val="24"/>
                <w:szCs w:val="24"/>
              </w:rPr>
              <w:t>You</w:t>
            </w:r>
            <w:r w:rsidR="00216563" w:rsidRPr="008365A4">
              <w:rPr>
                <w:sz w:val="24"/>
                <w:szCs w:val="24"/>
              </w:rPr>
              <w:t xml:space="preserve"> </w:t>
            </w:r>
            <w:r w:rsidR="00E5498A" w:rsidRPr="008365A4">
              <w:rPr>
                <w:sz w:val="24"/>
                <w:szCs w:val="24"/>
              </w:rPr>
              <w:t xml:space="preserve">must </w:t>
            </w:r>
            <w:r w:rsidR="00F030D4" w:rsidRPr="008365A4">
              <w:rPr>
                <w:sz w:val="24"/>
                <w:szCs w:val="24"/>
              </w:rPr>
              <w:t>refer to</w:t>
            </w:r>
            <w:r w:rsidR="00216563" w:rsidRPr="008365A4">
              <w:rPr>
                <w:sz w:val="24"/>
                <w:szCs w:val="24"/>
              </w:rPr>
              <w:t xml:space="preserve"> </w:t>
            </w:r>
            <w:r w:rsidR="00F34C86" w:rsidRPr="008365A4">
              <w:rPr>
                <w:sz w:val="24"/>
                <w:szCs w:val="24"/>
              </w:rPr>
              <w:t>the specific dimensions of working in Wales</w:t>
            </w:r>
            <w:r w:rsidR="00411EF7" w:rsidRPr="008365A4">
              <w:rPr>
                <w:sz w:val="24"/>
                <w:szCs w:val="24"/>
              </w:rPr>
              <w:t xml:space="preserve">. </w:t>
            </w:r>
          </w:p>
          <w:p w14:paraId="2F8A7CA5" w14:textId="6EDC9DFB" w:rsidR="008D5999" w:rsidRPr="008365A4" w:rsidRDefault="008D5999" w:rsidP="00064063">
            <w:pPr>
              <w:jc w:val="both"/>
              <w:rPr>
                <w:sz w:val="24"/>
                <w:szCs w:val="24"/>
              </w:rPr>
            </w:pPr>
          </w:p>
          <w:p w14:paraId="20A5906F" w14:textId="77777777" w:rsidR="008D5999" w:rsidRPr="008365A4" w:rsidRDefault="008D5999" w:rsidP="00064063">
            <w:pPr>
              <w:jc w:val="both"/>
              <w:rPr>
                <w:sz w:val="24"/>
                <w:szCs w:val="24"/>
              </w:rPr>
            </w:pPr>
          </w:p>
          <w:p w14:paraId="51AF4546" w14:textId="476CB9AF" w:rsidR="00D3203C" w:rsidRPr="008365A4" w:rsidRDefault="00045C40" w:rsidP="00FF7EBB">
            <w:pPr>
              <w:jc w:val="both"/>
              <w:rPr>
                <w:i/>
                <w:sz w:val="24"/>
                <w:szCs w:val="24"/>
              </w:rPr>
            </w:pPr>
            <w:r w:rsidRPr="008365A4">
              <w:rPr>
                <w:i/>
                <w:sz w:val="24"/>
                <w:szCs w:val="24"/>
              </w:rPr>
              <w:t xml:space="preserve">4000 </w:t>
            </w:r>
            <w:r w:rsidR="008B28E7" w:rsidRPr="008365A4">
              <w:rPr>
                <w:i/>
                <w:sz w:val="24"/>
                <w:szCs w:val="24"/>
              </w:rPr>
              <w:t>words</w:t>
            </w:r>
            <w:r w:rsidR="008B28E7" w:rsidRPr="008365A4">
              <w:rPr>
                <w:sz w:val="24"/>
                <w:szCs w:val="24"/>
              </w:rPr>
              <w:t xml:space="preserve"> </w:t>
            </w:r>
            <w:r w:rsidR="008B28E7" w:rsidRPr="008365A4">
              <w:rPr>
                <w:i/>
                <w:sz w:val="24"/>
                <w:szCs w:val="24"/>
              </w:rPr>
              <w:t>(+/- 10%: include your actual word count at the end of each section)</w:t>
            </w:r>
            <w:r w:rsidR="007A628F" w:rsidRPr="008365A4">
              <w:rPr>
                <w:i/>
                <w:sz w:val="24"/>
                <w:szCs w:val="24"/>
              </w:rPr>
              <w:t>.</w:t>
            </w:r>
          </w:p>
          <w:p w14:paraId="701D8D4D" w14:textId="38C2B218" w:rsidR="00D3203C" w:rsidRPr="008365A4" w:rsidRDefault="00D3203C" w:rsidP="00FF7EBB">
            <w:pPr>
              <w:jc w:val="both"/>
              <w:rPr>
                <w:i/>
                <w:sz w:val="24"/>
                <w:szCs w:val="24"/>
              </w:rPr>
            </w:pPr>
          </w:p>
          <w:p w14:paraId="20370495" w14:textId="79B79501" w:rsidR="00D3203C" w:rsidRPr="008365A4" w:rsidRDefault="00D3203C" w:rsidP="00FF7EBB">
            <w:pPr>
              <w:jc w:val="both"/>
              <w:rPr>
                <w:i/>
                <w:sz w:val="24"/>
                <w:szCs w:val="24"/>
              </w:rPr>
            </w:pPr>
          </w:p>
          <w:p w14:paraId="561AB604" w14:textId="77777777" w:rsidR="00656BD1" w:rsidRPr="008365A4" w:rsidRDefault="00656BD1" w:rsidP="007A224D">
            <w:pPr>
              <w:spacing w:line="360" w:lineRule="auto"/>
              <w:rPr>
                <w:sz w:val="24"/>
                <w:szCs w:val="24"/>
              </w:rPr>
            </w:pPr>
            <w:r w:rsidRPr="008365A4">
              <w:rPr>
                <w:sz w:val="24"/>
                <w:szCs w:val="24"/>
              </w:rPr>
              <w:t>This task will critically examine my professional approach to an adult at risk safeguarding enquiry and evaluate safeguarding practice in Wales within national and international contexts. Social work theory will be applied to explore its relationship with person-centred, strengths-based practice, before considering the enquiry outcome and implications for my future professional development.</w:t>
            </w:r>
          </w:p>
          <w:p w14:paraId="30A5EA0C" w14:textId="77777777" w:rsidR="00656BD1" w:rsidRPr="008365A4" w:rsidRDefault="00656BD1" w:rsidP="00656BD1">
            <w:pPr>
              <w:spacing w:line="360" w:lineRule="auto"/>
              <w:rPr>
                <w:sz w:val="24"/>
                <w:szCs w:val="24"/>
              </w:rPr>
            </w:pPr>
          </w:p>
          <w:p w14:paraId="59C5A18D" w14:textId="7159F9EC" w:rsidR="00656BD1" w:rsidRPr="008365A4" w:rsidRDefault="00656BD1" w:rsidP="00656BD1">
            <w:pPr>
              <w:spacing w:line="360" w:lineRule="auto"/>
              <w:rPr>
                <w:sz w:val="24"/>
                <w:szCs w:val="24"/>
              </w:rPr>
            </w:pPr>
            <w:r w:rsidRPr="008365A4">
              <w:rPr>
                <w:sz w:val="24"/>
                <w:szCs w:val="24"/>
              </w:rPr>
              <w:t xml:space="preserve">The case study of which this task is concerned is regarding a young woman who I will term as person 5. 5 lives on her own in a rural Welsh town and has a mild learning difficulty. Concerns were initially raised by a medical professional regarding </w:t>
            </w:r>
            <w:r w:rsidR="002B45DF">
              <w:rPr>
                <w:sz w:val="24"/>
                <w:szCs w:val="24"/>
              </w:rPr>
              <w:t>p</w:t>
            </w:r>
            <w:r w:rsidRPr="008365A4">
              <w:rPr>
                <w:sz w:val="24"/>
                <w:szCs w:val="24"/>
              </w:rPr>
              <w:t xml:space="preserve">erson 5's friendship with a local woman and its impact upon her mental health, prompting a safeguarding referral. </w:t>
            </w:r>
            <w:r w:rsidR="002B45DF">
              <w:rPr>
                <w:sz w:val="24"/>
                <w:szCs w:val="24"/>
              </w:rPr>
              <w:t>p</w:t>
            </w:r>
            <w:r w:rsidRPr="008365A4">
              <w:rPr>
                <w:sz w:val="24"/>
                <w:szCs w:val="24"/>
              </w:rPr>
              <w:t xml:space="preserve">erson 5 described increasing stress and anxiety as the friendship had developed from a previously supportive relationship into </w:t>
            </w:r>
            <w:proofErr w:type="gramStart"/>
            <w:r w:rsidRPr="008365A4">
              <w:rPr>
                <w:sz w:val="24"/>
                <w:szCs w:val="24"/>
              </w:rPr>
              <w:t>one</w:t>
            </w:r>
            <w:proofErr w:type="gramEnd"/>
            <w:r w:rsidRPr="008365A4">
              <w:rPr>
                <w:sz w:val="24"/>
                <w:szCs w:val="24"/>
              </w:rPr>
              <w:t xml:space="preserve"> she experienced as possessive and controlling. She reported surveillance outside her home, monitoring of her bank account, social media and text messages, and feeling compelled to follow the friend's expectations regarding her </w:t>
            </w:r>
            <w:r w:rsidRPr="008365A4">
              <w:rPr>
                <w:sz w:val="24"/>
                <w:szCs w:val="24"/>
              </w:rPr>
              <w:lastRenderedPageBreak/>
              <w:t>appearance and whereabouts. Further concerns included sexually inappropriate behaviour and physical harm, including an intentional scald injury while on holiday. Collectively, the referral indicated an escalating pattern of psychological and physical abuse.</w:t>
            </w:r>
          </w:p>
          <w:p w14:paraId="3ED140D6" w14:textId="77777777" w:rsidR="00656BD1" w:rsidRPr="008365A4" w:rsidRDefault="00656BD1" w:rsidP="00656BD1">
            <w:pPr>
              <w:spacing w:line="360" w:lineRule="auto"/>
              <w:rPr>
                <w:sz w:val="24"/>
                <w:szCs w:val="24"/>
              </w:rPr>
            </w:pPr>
          </w:p>
          <w:p w14:paraId="0DD37FDC" w14:textId="77777777" w:rsidR="00656BD1" w:rsidRPr="008365A4" w:rsidRDefault="00656BD1" w:rsidP="00656BD1">
            <w:pPr>
              <w:spacing w:line="360" w:lineRule="auto"/>
              <w:rPr>
                <w:sz w:val="24"/>
                <w:szCs w:val="24"/>
              </w:rPr>
            </w:pPr>
            <w:r w:rsidRPr="008365A4">
              <w:rPr>
                <w:sz w:val="24"/>
                <w:szCs w:val="24"/>
              </w:rPr>
              <w:t>Such behaviours fall within the definition of coercive behaviour under Section 76 of the Serious Crime Act 2015 which states that coercive behaviour is ‘an act or a pattern of acts of assault, threats, humiliation and intimidation or other abuse that is used to harm, punish or frighten the victim’. The Domestic Abuse Act 2021 subsequently expanded the application of coercive control by removing the requirement for individuals to cohabit. Comparatively, the United Kingdom was at the forefront in situating coercive control as an offence when compared to other common law jurisdictions, such as Scotland, which did not criminalise it until 2018, Ireland until 2019, and some countries, such as the United States and certain states in Australia, are yet to recognise it as an offence (</w:t>
            </w:r>
            <w:proofErr w:type="spellStart"/>
            <w:r w:rsidRPr="008365A4">
              <w:rPr>
                <w:sz w:val="24"/>
                <w:szCs w:val="24"/>
              </w:rPr>
              <w:t>Walklate</w:t>
            </w:r>
            <w:proofErr w:type="spellEnd"/>
            <w:r w:rsidRPr="008365A4">
              <w:rPr>
                <w:sz w:val="24"/>
                <w:szCs w:val="24"/>
              </w:rPr>
              <w:t xml:space="preserve"> and Fitz-</w:t>
            </w:r>
            <w:proofErr w:type="spellStart"/>
            <w:r w:rsidRPr="008365A4">
              <w:rPr>
                <w:sz w:val="24"/>
                <w:szCs w:val="24"/>
              </w:rPr>
              <w:t>Gibon</w:t>
            </w:r>
            <w:proofErr w:type="spellEnd"/>
            <w:r w:rsidRPr="008365A4">
              <w:rPr>
                <w:sz w:val="24"/>
                <w:szCs w:val="24"/>
              </w:rPr>
              <w:t xml:space="preserve">, 2019). </w:t>
            </w:r>
            <w:proofErr w:type="gramStart"/>
            <w:r w:rsidRPr="008365A4">
              <w:rPr>
                <w:sz w:val="24"/>
                <w:szCs w:val="24"/>
              </w:rPr>
              <w:t>With this in mind, the</w:t>
            </w:r>
            <w:proofErr w:type="gramEnd"/>
            <w:r w:rsidRPr="008365A4">
              <w:rPr>
                <w:sz w:val="24"/>
                <w:szCs w:val="24"/>
              </w:rPr>
              <w:t xml:space="preserve"> safeguarding referral was treated with the urgency and seriousness it warranted given that the level of imminent risk was uncertain. </w:t>
            </w:r>
          </w:p>
          <w:p w14:paraId="6A9B58D8" w14:textId="77777777" w:rsidR="00656BD1" w:rsidRPr="008365A4" w:rsidRDefault="00656BD1" w:rsidP="00656BD1">
            <w:pPr>
              <w:spacing w:line="360" w:lineRule="auto"/>
              <w:rPr>
                <w:sz w:val="24"/>
                <w:szCs w:val="24"/>
              </w:rPr>
            </w:pPr>
          </w:p>
          <w:p w14:paraId="05DCC20A" w14:textId="77777777" w:rsidR="00656BD1" w:rsidRPr="008365A4" w:rsidRDefault="00656BD1" w:rsidP="00656BD1">
            <w:pPr>
              <w:spacing w:line="360" w:lineRule="auto"/>
              <w:rPr>
                <w:sz w:val="24"/>
                <w:szCs w:val="24"/>
              </w:rPr>
            </w:pPr>
            <w:r w:rsidRPr="008365A4">
              <w:rPr>
                <w:sz w:val="24"/>
                <w:szCs w:val="24"/>
              </w:rPr>
              <w:t xml:space="preserve">Due to 5's exposure to domestic abuse and the safeguarding concerns reported to the local authority, there was a statutory responsibility to undertake initial safeguarding enquiries in accordance with Part 7 of the Social Services and Well-being (Wales) Act 2014. This falls specifically within Section 126 which state that enquiries must be undertaken when there is reasonable cause to suspect that an adult is at risk of abuse or neglect. Enquiries involve establishing multi-agency involvement, considering immediate and longer-term safety needs and determining appropriate outcomes, including protection plans, care and support planning or further escalation. These duties are clarified through </w:t>
            </w:r>
            <w:r w:rsidRPr="008365A4">
              <w:rPr>
                <w:i/>
                <w:iCs/>
                <w:sz w:val="24"/>
                <w:szCs w:val="24"/>
              </w:rPr>
              <w:t>Working Together to Safeguard People</w:t>
            </w:r>
            <w:r w:rsidRPr="008365A4">
              <w:rPr>
                <w:sz w:val="24"/>
                <w:szCs w:val="24"/>
              </w:rPr>
              <w:t xml:space="preserve"> (Welsh Government, 2016) and operationalised through the Wales Safeguarding Procedures (2019).</w:t>
            </w:r>
          </w:p>
          <w:p w14:paraId="41CC36D9" w14:textId="77777777" w:rsidR="00656BD1" w:rsidRPr="008365A4" w:rsidRDefault="00656BD1" w:rsidP="00656BD1">
            <w:pPr>
              <w:spacing w:line="360" w:lineRule="auto"/>
              <w:rPr>
                <w:sz w:val="24"/>
                <w:szCs w:val="24"/>
              </w:rPr>
            </w:pPr>
          </w:p>
          <w:p w14:paraId="010CA612" w14:textId="27F7C40F" w:rsidR="00656BD1" w:rsidRPr="008365A4" w:rsidRDefault="00656BD1" w:rsidP="00656BD1">
            <w:pPr>
              <w:spacing w:line="360" w:lineRule="auto"/>
              <w:rPr>
                <w:sz w:val="24"/>
                <w:szCs w:val="24"/>
              </w:rPr>
            </w:pPr>
            <w:r w:rsidRPr="008365A4">
              <w:rPr>
                <w:sz w:val="24"/>
                <w:szCs w:val="24"/>
              </w:rPr>
              <w:t xml:space="preserve">In initiating the Section 126 enquiries, I telephoned </w:t>
            </w:r>
            <w:r w:rsidR="002B45DF">
              <w:rPr>
                <w:sz w:val="24"/>
                <w:szCs w:val="24"/>
              </w:rPr>
              <w:t>p</w:t>
            </w:r>
            <w:r w:rsidRPr="008365A4">
              <w:rPr>
                <w:sz w:val="24"/>
                <w:szCs w:val="24"/>
              </w:rPr>
              <w:t xml:space="preserve">erson 5 to make her aware of the safeguarding referral that had been completed on her behalf. In attempting to establish any Welsh-language needs in accordance with the Welsh Language (Wales) Measure 2011, I initially communicated with </w:t>
            </w:r>
            <w:r w:rsidR="002B45DF">
              <w:rPr>
                <w:sz w:val="24"/>
                <w:szCs w:val="24"/>
              </w:rPr>
              <w:t>p</w:t>
            </w:r>
            <w:r w:rsidRPr="008365A4">
              <w:rPr>
                <w:sz w:val="24"/>
                <w:szCs w:val="24"/>
              </w:rPr>
              <w:t xml:space="preserve">erson 5 through the medium of Welsh, reflecting the principles </w:t>
            </w:r>
            <w:r w:rsidRPr="008365A4">
              <w:rPr>
                <w:sz w:val="24"/>
                <w:szCs w:val="24"/>
              </w:rPr>
              <w:lastRenderedPageBreak/>
              <w:t xml:space="preserve">of the Active Offer (2019). Government guidance identifies language as an integral component of building relationships with individuals, which is particularly important within safeguarding practice where effective communication is fundamental to meaningful participation. This is further reinforced by the </w:t>
            </w:r>
            <w:r w:rsidRPr="008365A4">
              <w:rPr>
                <w:i/>
                <w:iCs/>
                <w:sz w:val="24"/>
                <w:szCs w:val="24"/>
              </w:rPr>
              <w:t>More than just words</w:t>
            </w:r>
            <w:r w:rsidRPr="008365A4">
              <w:rPr>
                <w:sz w:val="24"/>
                <w:szCs w:val="24"/>
              </w:rPr>
              <w:t xml:space="preserve"> initiative (Welsh Government, 20</w:t>
            </w:r>
            <w:r w:rsidR="007A5D45">
              <w:rPr>
                <w:sz w:val="24"/>
                <w:szCs w:val="24"/>
              </w:rPr>
              <w:t>1</w:t>
            </w:r>
            <w:r w:rsidRPr="008365A4">
              <w:rPr>
                <w:sz w:val="24"/>
                <w:szCs w:val="24"/>
              </w:rPr>
              <w:t xml:space="preserve">2), which seeks to embed Welsh-language provision across the health and social care sector. Although </w:t>
            </w:r>
            <w:r w:rsidR="002B45DF">
              <w:rPr>
                <w:sz w:val="24"/>
                <w:szCs w:val="24"/>
              </w:rPr>
              <w:t>p</w:t>
            </w:r>
            <w:r w:rsidRPr="008365A4">
              <w:rPr>
                <w:sz w:val="24"/>
                <w:szCs w:val="24"/>
              </w:rPr>
              <w:t>erson 5 indicated that she felt more comfortable communicating in English, I ensured that she was aware that the safeguarding enquiries could be undertaken through the medium of Welsh if her preference changed.</w:t>
            </w:r>
          </w:p>
          <w:p w14:paraId="5D4BA900" w14:textId="42B7B3D9" w:rsidR="00656BD1" w:rsidRDefault="00656BD1" w:rsidP="00656BD1">
            <w:pPr>
              <w:spacing w:line="360" w:lineRule="auto"/>
              <w:rPr>
                <w:sz w:val="24"/>
                <w:szCs w:val="24"/>
              </w:rPr>
            </w:pPr>
            <w:r w:rsidRPr="008365A4">
              <w:rPr>
                <w:sz w:val="24"/>
                <w:szCs w:val="24"/>
              </w:rPr>
              <w:t xml:space="preserve">Under Section 126 processes, consent is also important when initiating enquiries however it is not imperative for progressing with the enquiry if there is an on-going risk of abuse or neglect or when the adult lacks mental capacity. Consent can also be overridden if there is a possibility that a crime has taken place or is continuing. This conversation allowed me to be transparent with 5, to which was well received as she appreciated the honest and open explanation of a process that can sometimes confuse individuals and deter them from coming forward with a disclosure (Ullman, 2013).   </w:t>
            </w:r>
          </w:p>
          <w:p w14:paraId="6CE21535" w14:textId="77777777" w:rsidR="008365A4" w:rsidRPr="008365A4" w:rsidRDefault="008365A4" w:rsidP="00656BD1">
            <w:pPr>
              <w:spacing w:line="360" w:lineRule="auto"/>
              <w:rPr>
                <w:sz w:val="24"/>
                <w:szCs w:val="24"/>
              </w:rPr>
            </w:pPr>
          </w:p>
          <w:p w14:paraId="0AB9158E" w14:textId="4A41435C" w:rsidR="00656BD1" w:rsidRPr="008365A4" w:rsidRDefault="00656BD1" w:rsidP="00656BD1">
            <w:pPr>
              <w:spacing w:line="360" w:lineRule="auto"/>
              <w:rPr>
                <w:sz w:val="24"/>
                <w:szCs w:val="24"/>
              </w:rPr>
            </w:pPr>
            <w:r w:rsidRPr="008365A4">
              <w:rPr>
                <w:sz w:val="24"/>
                <w:szCs w:val="24"/>
              </w:rPr>
              <w:t>The ability to secure engagement and establish effective rapport with individuals accessing services and those who are undergoing complex processes is termed as relational transparency by Dons et al. (2022) who support the view that being open about processes, roles and decisions can support individuals to engage with practitioners for overall better outcomes. Similarly, Ettinger (2022) draws on their experience in managing child abuse disclosures and found that positive disclosure experience was influenced by effective rapport, open communication and confident delivery in carrying out enquiries. Both perspectives demonstrate the importance of rapport and confident communication when individuals are experiencing vulnerability and uncertainty. This also complies with the Code of Professional Practice for Social Care Workers in Wales, a supporting framework for social care workers who operate under the Social Services and Well-being (Wales) Act 2014 in their day-to-day practice (Social Care Wales, 20</w:t>
            </w:r>
            <w:r w:rsidR="003C5EDB">
              <w:rPr>
                <w:sz w:val="24"/>
                <w:szCs w:val="24"/>
              </w:rPr>
              <w:t>26</w:t>
            </w:r>
            <w:r w:rsidRPr="008365A4">
              <w:rPr>
                <w:sz w:val="24"/>
                <w:szCs w:val="24"/>
              </w:rPr>
              <w:t xml:space="preserve">). As per the information gathering process under Section 126 procedures, I ensured that my practice with person 5 complied with section 2 of the code. This </w:t>
            </w:r>
            <w:proofErr w:type="gramStart"/>
            <w:r w:rsidRPr="008365A4">
              <w:rPr>
                <w:sz w:val="24"/>
                <w:szCs w:val="24"/>
              </w:rPr>
              <w:t>particular section</w:t>
            </w:r>
            <w:proofErr w:type="gramEnd"/>
            <w:r w:rsidRPr="008365A4">
              <w:rPr>
                <w:sz w:val="24"/>
                <w:szCs w:val="24"/>
              </w:rPr>
              <w:t xml:space="preserve"> of the code promotes the importance of gaining and maintaining trust and confidence of service users through communicating in an </w:t>
            </w:r>
            <w:r w:rsidRPr="008365A4">
              <w:rPr>
                <w:sz w:val="24"/>
                <w:szCs w:val="24"/>
              </w:rPr>
              <w:lastRenderedPageBreak/>
              <w:t>appropriate, open and meaningful way (2.2 of the code) whilst also respecting confidential information and using it appropriately afterward (2.3).  However, rapport and engagement cannot always be achieved, creating potential conflict between individual autonomy and statutory safeguarding responsibilities. Relational transparency is therefore particularly important when engagement is limited, enabling social workers to explain why enquiries must proceed while maintaining person-centred involvement.</w:t>
            </w:r>
          </w:p>
          <w:p w14:paraId="17D8B368" w14:textId="77777777" w:rsidR="00656BD1" w:rsidRPr="008365A4" w:rsidRDefault="00656BD1" w:rsidP="00656BD1">
            <w:pPr>
              <w:spacing w:line="360" w:lineRule="auto"/>
              <w:rPr>
                <w:sz w:val="24"/>
                <w:szCs w:val="24"/>
              </w:rPr>
            </w:pPr>
          </w:p>
          <w:p w14:paraId="797C9E15" w14:textId="71CD142F" w:rsidR="00656BD1" w:rsidRPr="008365A4" w:rsidRDefault="00656BD1" w:rsidP="00656BD1">
            <w:pPr>
              <w:spacing w:line="360" w:lineRule="auto"/>
              <w:rPr>
                <w:sz w:val="24"/>
                <w:szCs w:val="24"/>
              </w:rPr>
            </w:pPr>
            <w:r w:rsidRPr="008365A4">
              <w:rPr>
                <w:sz w:val="24"/>
                <w:szCs w:val="24"/>
              </w:rPr>
              <w:t>Further to this, person 5 was keen to maintain confidentiality as she was particularly worried about the potential effect of the alleged perpetrator being made aware of such disclosures of abuse made against her. In attempting to ascertain her reassurance and to put her mind at ease, I explained simply that any information she chooses to disclose will remain confidential unless there was a risk to others, which helped establish further rapport as she was able to witness first-hand how her experiences were being treated and responded to with the gravity they deserved, complying with Article 8 of the Human Rights Act 1998 where everyone has a right to respect for private and family life. Dealing with sensitive information during this practice required careful consideration as there was a need to balance confidentiality with the duty of safeguarding. A duty of which requires social workers to protect the adult at risk whilst also preventing further harm to the wider public in managing this information reasonably and responsibly (Dons et al. 2022).</w:t>
            </w:r>
          </w:p>
          <w:p w14:paraId="7CA5715B" w14:textId="77777777" w:rsidR="00656BD1" w:rsidRPr="008365A4" w:rsidRDefault="00656BD1" w:rsidP="00656BD1">
            <w:pPr>
              <w:spacing w:line="360" w:lineRule="auto"/>
              <w:rPr>
                <w:sz w:val="24"/>
                <w:szCs w:val="24"/>
              </w:rPr>
            </w:pPr>
          </w:p>
          <w:p w14:paraId="3CC97FFE" w14:textId="093F396E" w:rsidR="00656BD1" w:rsidRPr="008365A4" w:rsidRDefault="00656BD1" w:rsidP="00656BD1">
            <w:pPr>
              <w:spacing w:line="360" w:lineRule="auto"/>
              <w:rPr>
                <w:sz w:val="24"/>
                <w:szCs w:val="24"/>
              </w:rPr>
            </w:pPr>
            <w:r w:rsidRPr="008365A4">
              <w:rPr>
                <w:sz w:val="24"/>
                <w:szCs w:val="24"/>
              </w:rPr>
              <w:t xml:space="preserve">From discussing with person 5 via telephone call to gather further information, I reconvened with senior management as well as the local authority’s safeguarding lead to receive further advice as to how to progress with the enquiries sufficiently. I was duly advised to commence further with the Section 126 enquiries by carrying out a face-to-face discussion with 5 as I analysed the information gathered and judged that further discussion was justified and necessary as it supported the concerns originally noted in the referral. This would allow more detail to be gathered and provide person 5 with an opportunity to disclose information she may not have felt comfortable sharing during the initial telephone discussion, a view supported by Burton (2025) who found that many clients receiving advice regarding sensitive issues found them easier to discuss face to face. </w:t>
            </w:r>
          </w:p>
          <w:p w14:paraId="6D3E0C74" w14:textId="77777777" w:rsidR="00656BD1" w:rsidRPr="008365A4" w:rsidRDefault="00656BD1" w:rsidP="00656BD1">
            <w:pPr>
              <w:spacing w:line="360" w:lineRule="auto"/>
              <w:rPr>
                <w:sz w:val="24"/>
                <w:szCs w:val="24"/>
              </w:rPr>
            </w:pPr>
          </w:p>
          <w:p w14:paraId="19401090" w14:textId="6EA487FA" w:rsidR="00656BD1" w:rsidRPr="008365A4" w:rsidRDefault="00656BD1" w:rsidP="00656BD1">
            <w:pPr>
              <w:spacing w:line="360" w:lineRule="auto"/>
              <w:rPr>
                <w:sz w:val="24"/>
                <w:szCs w:val="24"/>
              </w:rPr>
            </w:pPr>
            <w:r w:rsidRPr="008365A4">
              <w:rPr>
                <w:sz w:val="24"/>
                <w:szCs w:val="24"/>
              </w:rPr>
              <w:lastRenderedPageBreak/>
              <w:t xml:space="preserve">An important component of carrying out Section 126 enquiries as per the Wales Safeguarding Procedures (2019) is that enquiries should typically be carried out by the local authority within 7 working days in receipt of the referral. Although this is not bound as a legal deadline as per the Social Services and Well-being (Wales) Act 2014, it is good practice to initiate any relevant strategy discussions and meetings within the 7-day period to ensure continuity and prompt handling of the safeguarding concerns. A significant reason in ensuring that enquiries are carried out promptly under this framework is to alleviate any imminent danger through abuse or neglect by enabling timely assessment </w:t>
            </w:r>
            <w:proofErr w:type="gramStart"/>
            <w:r w:rsidRPr="008365A4">
              <w:rPr>
                <w:sz w:val="24"/>
                <w:szCs w:val="24"/>
              </w:rPr>
              <w:t>in order to</w:t>
            </w:r>
            <w:proofErr w:type="gramEnd"/>
            <w:r w:rsidRPr="008365A4">
              <w:rPr>
                <w:sz w:val="24"/>
                <w:szCs w:val="24"/>
              </w:rPr>
              <w:t xml:space="preserve"> implement protective measures and to manage risk. Guided by this understanding, I approached the safeguarding concerns disclosed by person 5 in a timely and person-centred manner </w:t>
            </w:r>
            <w:proofErr w:type="gramStart"/>
            <w:r w:rsidRPr="008365A4">
              <w:rPr>
                <w:sz w:val="24"/>
                <w:szCs w:val="24"/>
              </w:rPr>
              <w:t>in order to</w:t>
            </w:r>
            <w:proofErr w:type="gramEnd"/>
            <w:r w:rsidRPr="008365A4">
              <w:rPr>
                <w:sz w:val="24"/>
                <w:szCs w:val="24"/>
              </w:rPr>
              <w:t xml:space="preserve"> uphold the principles of the Wales Safeguarding Procedures (2019) and subsequently </w:t>
            </w:r>
            <w:proofErr w:type="gramStart"/>
            <w:r w:rsidRPr="008365A4">
              <w:rPr>
                <w:sz w:val="24"/>
                <w:szCs w:val="24"/>
              </w:rPr>
              <w:t>made arrangements</w:t>
            </w:r>
            <w:proofErr w:type="gramEnd"/>
            <w:r w:rsidRPr="008365A4">
              <w:rPr>
                <w:sz w:val="24"/>
                <w:szCs w:val="24"/>
              </w:rPr>
              <w:t xml:space="preserve"> to meet with 5 at a mutually convenient location in a healthcare setting soon after.</w:t>
            </w:r>
          </w:p>
          <w:p w14:paraId="7F689E15" w14:textId="77777777" w:rsidR="00656BD1" w:rsidRPr="008365A4" w:rsidRDefault="00656BD1" w:rsidP="00656BD1">
            <w:pPr>
              <w:spacing w:line="360" w:lineRule="auto"/>
              <w:rPr>
                <w:sz w:val="24"/>
                <w:szCs w:val="24"/>
              </w:rPr>
            </w:pPr>
          </w:p>
          <w:p w14:paraId="49C81D42" w14:textId="31BE58A6" w:rsidR="00656BD1" w:rsidRPr="008365A4" w:rsidRDefault="00656BD1" w:rsidP="00656BD1">
            <w:pPr>
              <w:spacing w:line="360" w:lineRule="auto"/>
              <w:rPr>
                <w:sz w:val="24"/>
                <w:szCs w:val="24"/>
              </w:rPr>
            </w:pPr>
            <w:r w:rsidRPr="008365A4">
              <w:rPr>
                <w:sz w:val="24"/>
                <w:szCs w:val="24"/>
              </w:rPr>
              <w:t xml:space="preserve">In meeting with 5 to discuss further, I attempted to establish whether 5 had any unmet care and support needs that could be addressed with the support of the safeguarding investigation. Due to the relationship 5 had with the alleged perpetrator, I felt it was a priority to establish whether any care and support needs were being fulfilled by them currently, which adds further complexity to the nature of the relationship through a safeguarding lens. In discussing with 5, I was drawn to consider the systems theory perspective, which views individuals as parts of a wider, interconnected social system </w:t>
            </w:r>
            <w:r w:rsidR="002B45DF" w:rsidRPr="008365A4">
              <w:rPr>
                <w:sz w:val="24"/>
                <w:szCs w:val="24"/>
              </w:rPr>
              <w:t>who</w:t>
            </w:r>
            <w:r w:rsidRPr="008365A4">
              <w:rPr>
                <w:sz w:val="24"/>
                <w:szCs w:val="24"/>
              </w:rPr>
              <w:t xml:space="preserve"> are influenced by varying relationships, roles and their wider environmental context (Payne, 2021). With this I came to understand that the person alleged to have caused harm was also an integral part of person 5’s day to day life and to some extent – part of their support system due to the friendship that existed long before the change in dynamic between the two.</w:t>
            </w:r>
          </w:p>
          <w:p w14:paraId="05A76782" w14:textId="77777777" w:rsidR="00656BD1" w:rsidRPr="008365A4" w:rsidRDefault="00656BD1" w:rsidP="00656BD1">
            <w:pPr>
              <w:spacing w:line="360" w:lineRule="auto"/>
              <w:rPr>
                <w:sz w:val="24"/>
                <w:szCs w:val="24"/>
              </w:rPr>
            </w:pPr>
          </w:p>
          <w:p w14:paraId="1D17489E" w14:textId="77777777" w:rsidR="00656BD1" w:rsidRPr="008365A4" w:rsidRDefault="00656BD1" w:rsidP="00656BD1">
            <w:pPr>
              <w:spacing w:line="360" w:lineRule="auto"/>
              <w:rPr>
                <w:sz w:val="24"/>
                <w:szCs w:val="24"/>
              </w:rPr>
            </w:pPr>
            <w:r w:rsidRPr="008365A4">
              <w:rPr>
                <w:sz w:val="24"/>
                <w:szCs w:val="24"/>
              </w:rPr>
              <w:t xml:space="preserve">Applying a systems theory lens to the information presented allowed me to appreciate the complexity of cases where there are dual roles present, and the potential impact that imposing protective measures will have on the adult at risk </w:t>
            </w:r>
            <w:proofErr w:type="gramStart"/>
            <w:r w:rsidRPr="008365A4">
              <w:rPr>
                <w:sz w:val="24"/>
                <w:szCs w:val="24"/>
              </w:rPr>
              <w:t>in regard to</w:t>
            </w:r>
            <w:proofErr w:type="gramEnd"/>
            <w:r w:rsidRPr="008365A4">
              <w:rPr>
                <w:sz w:val="24"/>
                <w:szCs w:val="24"/>
              </w:rPr>
              <w:t xml:space="preserve"> their overall health and wellbeing. This is especially important to consider in areas of rural Wales as small communities and neighbourhoods have distinctive patterns of social support shaped by </w:t>
            </w:r>
            <w:r w:rsidRPr="008365A4">
              <w:rPr>
                <w:sz w:val="24"/>
                <w:szCs w:val="24"/>
              </w:rPr>
              <w:lastRenderedPageBreak/>
              <w:t xml:space="preserve">locality and community ties. Wenger’s study on small rural towns in Wales compared to the large city of Liverpool reflects this, in that sources of help such as emotional support, domestic assistance and sometimes personal care are connected to community and neighbourhood networks. With neighbours often relying on one another for varying degrees of support, including emotional support (Wenger, 1995). </w:t>
            </w:r>
          </w:p>
          <w:p w14:paraId="3F73998A" w14:textId="77777777" w:rsidR="00656BD1" w:rsidRPr="008365A4" w:rsidRDefault="00656BD1" w:rsidP="00656BD1">
            <w:pPr>
              <w:spacing w:line="360" w:lineRule="auto"/>
              <w:rPr>
                <w:sz w:val="24"/>
                <w:szCs w:val="24"/>
              </w:rPr>
            </w:pPr>
          </w:p>
          <w:p w14:paraId="21498E7F" w14:textId="77777777" w:rsidR="00656BD1" w:rsidRPr="008365A4" w:rsidRDefault="00656BD1" w:rsidP="00656BD1">
            <w:pPr>
              <w:spacing w:line="360" w:lineRule="auto"/>
              <w:rPr>
                <w:sz w:val="24"/>
                <w:szCs w:val="24"/>
              </w:rPr>
            </w:pPr>
            <w:r w:rsidRPr="008365A4">
              <w:rPr>
                <w:sz w:val="24"/>
                <w:szCs w:val="24"/>
              </w:rPr>
              <w:t xml:space="preserve">Equally significant in exploring the care and support needs of 5, was consideration of her ability to keep herself safe and protected from harm due to the existence of a mild learning difficulty. This required careful judgement of her mental capacity under the Mental Capacity Act 2005. Due to there being no reason to question her ability to make well informed decisions during this time, there was no further action on this front as per the first principle of the Mental Capacity Act 2005, which states that a person must be assumed to have capacity, unless it is established that they lack capacity. Had there been reason to suspect 5 lacked </w:t>
            </w:r>
            <w:proofErr w:type="gramStart"/>
            <w:r w:rsidRPr="008365A4">
              <w:rPr>
                <w:sz w:val="24"/>
                <w:szCs w:val="24"/>
              </w:rPr>
              <w:t>capacity</w:t>
            </w:r>
            <w:proofErr w:type="gramEnd"/>
            <w:r w:rsidRPr="008365A4">
              <w:rPr>
                <w:sz w:val="24"/>
                <w:szCs w:val="24"/>
              </w:rPr>
              <w:t xml:space="preserve"> </w:t>
            </w:r>
            <w:proofErr w:type="gramStart"/>
            <w:r w:rsidRPr="008365A4">
              <w:rPr>
                <w:sz w:val="24"/>
                <w:szCs w:val="24"/>
              </w:rPr>
              <w:t>with regard to</w:t>
            </w:r>
            <w:proofErr w:type="gramEnd"/>
            <w:r w:rsidRPr="008365A4">
              <w:rPr>
                <w:sz w:val="24"/>
                <w:szCs w:val="24"/>
              </w:rPr>
              <w:t xml:space="preserve"> her contact with the alleged perpetrator, a formal assessment would be required to determine whether she understood the implications of such a </w:t>
            </w:r>
            <w:proofErr w:type="gramStart"/>
            <w:r w:rsidRPr="008365A4">
              <w:rPr>
                <w:sz w:val="24"/>
                <w:szCs w:val="24"/>
              </w:rPr>
              <w:t>decision  and</w:t>
            </w:r>
            <w:proofErr w:type="gramEnd"/>
            <w:r w:rsidRPr="008365A4">
              <w:rPr>
                <w:sz w:val="24"/>
                <w:szCs w:val="24"/>
              </w:rPr>
              <w:t xml:space="preserve"> the risks associated. If person 5 lacked the capacity, there would be a greater responsibility on </w:t>
            </w:r>
            <w:proofErr w:type="gramStart"/>
            <w:r w:rsidRPr="008365A4">
              <w:rPr>
                <w:sz w:val="24"/>
                <w:szCs w:val="24"/>
              </w:rPr>
              <w:t>ourselves</w:t>
            </w:r>
            <w:proofErr w:type="gramEnd"/>
            <w:r w:rsidRPr="008365A4">
              <w:rPr>
                <w:sz w:val="24"/>
                <w:szCs w:val="24"/>
              </w:rPr>
              <w:t xml:space="preserve"> as the local authority to ensure protective action was taken. With this however, there would still be a requirement to prioritise the wishes and feelings of 5 under a Best Interests Framework </w:t>
            </w:r>
            <w:proofErr w:type="gramStart"/>
            <w:r w:rsidRPr="008365A4">
              <w:rPr>
                <w:sz w:val="24"/>
                <w:szCs w:val="24"/>
              </w:rPr>
              <w:t>in order to</w:t>
            </w:r>
            <w:proofErr w:type="gramEnd"/>
            <w:r w:rsidRPr="008365A4">
              <w:rPr>
                <w:sz w:val="24"/>
                <w:szCs w:val="24"/>
              </w:rPr>
              <w:t xml:space="preserve"> ensure she was still being afforded autonomy and the least restrictive option (Braye and Preston-Shoot, 2015).</w:t>
            </w:r>
          </w:p>
          <w:p w14:paraId="6450F19F" w14:textId="77777777" w:rsidR="00656BD1" w:rsidRPr="008365A4" w:rsidRDefault="00656BD1" w:rsidP="00656BD1">
            <w:pPr>
              <w:spacing w:line="360" w:lineRule="auto"/>
              <w:rPr>
                <w:sz w:val="24"/>
                <w:szCs w:val="24"/>
              </w:rPr>
            </w:pPr>
          </w:p>
          <w:p w14:paraId="1DEC615A" w14:textId="61BB01AD" w:rsidR="00656BD1" w:rsidRPr="008365A4" w:rsidRDefault="00656BD1" w:rsidP="00656BD1">
            <w:pPr>
              <w:spacing w:line="360" w:lineRule="auto"/>
              <w:rPr>
                <w:sz w:val="24"/>
                <w:szCs w:val="24"/>
              </w:rPr>
            </w:pPr>
            <w:r w:rsidRPr="008365A4">
              <w:rPr>
                <w:sz w:val="24"/>
                <w:szCs w:val="24"/>
              </w:rPr>
              <w:t xml:space="preserve">Based on the information that was shared during continuation of the Section 126 enquiries, formal escalation to the local authority safeguarding lead officer was carried out </w:t>
            </w:r>
            <w:proofErr w:type="gramStart"/>
            <w:r w:rsidRPr="008365A4">
              <w:rPr>
                <w:sz w:val="24"/>
                <w:szCs w:val="24"/>
              </w:rPr>
              <w:t>in order to</w:t>
            </w:r>
            <w:proofErr w:type="gramEnd"/>
            <w:r w:rsidRPr="008365A4">
              <w:rPr>
                <w:sz w:val="24"/>
                <w:szCs w:val="24"/>
              </w:rPr>
              <w:t xml:space="preserve"> determine the next course of action. Due to the level of risk posed, escalation and information sharing with related agencies such as the local police force was undertaken in the form of a formal safeguarding discussion, chaired by the local authority. Upholding the principles of the Mental Capacity Act 2005 was essential in maintaining person-centred care when </w:t>
            </w:r>
            <w:r w:rsidR="005C2F23">
              <w:rPr>
                <w:sz w:val="24"/>
                <w:szCs w:val="24"/>
              </w:rPr>
              <w:t>p</w:t>
            </w:r>
            <w:r w:rsidRPr="008365A4">
              <w:rPr>
                <w:sz w:val="24"/>
                <w:szCs w:val="24"/>
              </w:rPr>
              <w:t xml:space="preserve">erson 5 was asked to consider what she would like to happen as an outcome of the concerns raised (SCIE, 2026). Respecting her wish for these concerns to remain anonymous to the alleged perpetrator was vital in establishing trust and ensuring that </w:t>
            </w:r>
            <w:r w:rsidRPr="008365A4">
              <w:rPr>
                <w:sz w:val="24"/>
                <w:szCs w:val="24"/>
              </w:rPr>
              <w:lastRenderedPageBreak/>
              <w:t xml:space="preserve">Person 5 felt safe enough to request the specific support she wanted, which included a referral to a specialist domestic abuse service operating within the local authority area. </w:t>
            </w:r>
          </w:p>
          <w:p w14:paraId="6CA20BEC" w14:textId="77777777" w:rsidR="00656BD1" w:rsidRPr="008365A4" w:rsidRDefault="00656BD1" w:rsidP="00656BD1">
            <w:pPr>
              <w:spacing w:line="360" w:lineRule="auto"/>
              <w:rPr>
                <w:sz w:val="24"/>
                <w:szCs w:val="24"/>
              </w:rPr>
            </w:pPr>
          </w:p>
          <w:p w14:paraId="105F6A8D" w14:textId="77777777" w:rsidR="00656BD1" w:rsidRPr="008365A4" w:rsidRDefault="00656BD1" w:rsidP="00656BD1">
            <w:pPr>
              <w:spacing w:line="360" w:lineRule="auto"/>
              <w:rPr>
                <w:sz w:val="24"/>
                <w:szCs w:val="24"/>
              </w:rPr>
            </w:pPr>
            <w:r w:rsidRPr="008365A4">
              <w:rPr>
                <w:sz w:val="24"/>
                <w:szCs w:val="24"/>
              </w:rPr>
              <w:t>This emphasis on supporting autonomous decision-making also provides a useful point of comparison with adult protection practice internationally. In Germany, there is a strong emphasis on considering whether an individual may require additional legal support or guardianship arrangements to enable them to live in accordance with their wishes (Lipp and Brauer, 2021). The approach adopted in Germany prompted me to consider whether Person 5’s autonomy could have been further strengthened through additional advocacy or decision-making support alongside the specialist domestic abuse referral. This has informed my practice by encouraging me to consider whether all reasonable opportunities have been explored to support individuals in articulating their decisions as independently as possible.</w:t>
            </w:r>
          </w:p>
          <w:p w14:paraId="1E17CCBB" w14:textId="77777777" w:rsidR="008365A4" w:rsidRPr="008365A4" w:rsidRDefault="008365A4" w:rsidP="00656BD1">
            <w:pPr>
              <w:spacing w:line="360" w:lineRule="auto"/>
              <w:rPr>
                <w:sz w:val="24"/>
                <w:szCs w:val="24"/>
              </w:rPr>
            </w:pPr>
          </w:p>
          <w:p w14:paraId="3787672F" w14:textId="478EE71D" w:rsidR="00656BD1" w:rsidRPr="008365A4" w:rsidRDefault="00656BD1" w:rsidP="00656BD1">
            <w:pPr>
              <w:spacing w:line="360" w:lineRule="auto"/>
              <w:rPr>
                <w:sz w:val="24"/>
                <w:szCs w:val="24"/>
              </w:rPr>
            </w:pPr>
            <w:r w:rsidRPr="008365A4">
              <w:rPr>
                <w:sz w:val="24"/>
                <w:szCs w:val="24"/>
              </w:rPr>
              <w:t>The discussion with the police was effective in maintaining a person-centred approach as we worked collaboratively to identify and elaborate on the complaints made by 5 in the past, and what had also been raised by the alleged perpetrator during previous police contact. The realisation regarding the long-standing dynamic between 5 and the alleged perpetrator provided valuable insight to the safeguarding concerns which was not known to us prior to the referral being made. The strategy discussion thereby complimented our partnership working by offering additional context to give us a fairer, more rounded account of the situation at hand. In reflection of this practice, I am mindful of the fact that I relied heavily on the information provided by the police and attempted to balance this against person 5’s own account of the situation. For future practice I will be mindful that police records represent one perspective and may not fully capture the full picture of the experiences claimed by the adult at risk.</w:t>
            </w:r>
          </w:p>
          <w:p w14:paraId="4286BE18" w14:textId="77777777" w:rsidR="00656BD1" w:rsidRPr="008365A4" w:rsidRDefault="00656BD1" w:rsidP="00656BD1">
            <w:pPr>
              <w:spacing w:line="360" w:lineRule="auto"/>
              <w:rPr>
                <w:sz w:val="24"/>
                <w:szCs w:val="24"/>
              </w:rPr>
            </w:pPr>
          </w:p>
          <w:p w14:paraId="608E463F" w14:textId="77777777" w:rsidR="00656BD1" w:rsidRPr="008365A4" w:rsidRDefault="00656BD1" w:rsidP="00656BD1">
            <w:pPr>
              <w:spacing w:line="360" w:lineRule="auto"/>
              <w:rPr>
                <w:sz w:val="24"/>
                <w:szCs w:val="24"/>
              </w:rPr>
            </w:pPr>
            <w:r w:rsidRPr="008365A4">
              <w:rPr>
                <w:sz w:val="24"/>
                <w:szCs w:val="24"/>
              </w:rPr>
              <w:t xml:space="preserve">Drawing on systems theory (Payne, 2021), this stage can be situated within the </w:t>
            </w:r>
            <w:proofErr w:type="spellStart"/>
            <w:r w:rsidRPr="008365A4">
              <w:rPr>
                <w:sz w:val="24"/>
                <w:szCs w:val="24"/>
              </w:rPr>
              <w:t>exosystem</w:t>
            </w:r>
            <w:proofErr w:type="spellEnd"/>
            <w:r w:rsidRPr="008365A4">
              <w:rPr>
                <w:sz w:val="24"/>
                <w:szCs w:val="24"/>
              </w:rPr>
              <w:t xml:space="preserve">, as it involved engaging wider statutory agencies, including the police, whose involvement influenced the assessment and understanding of the safeguarding concerns. Their contribution provided additional information and a perspective that supported more informed decision-making and helped promote effective safeguarding outcomes for person 5. During </w:t>
            </w:r>
            <w:r w:rsidRPr="008365A4">
              <w:rPr>
                <w:sz w:val="24"/>
                <w:szCs w:val="24"/>
              </w:rPr>
              <w:lastRenderedPageBreak/>
              <w:t xml:space="preserve">this stage of the process, I found that using a sense of professional curiosity was particularly useful in attempting to understand the different factors at play within the context of the safeguarding concerns. This meant treating the information shared by the police carefully and analysing it beyond the surface level to try and explore different possibilities to explain what had happened. </w:t>
            </w:r>
          </w:p>
          <w:p w14:paraId="57302D9B" w14:textId="77777777" w:rsidR="00656BD1" w:rsidRPr="008365A4" w:rsidRDefault="00656BD1" w:rsidP="00656BD1">
            <w:pPr>
              <w:spacing w:line="360" w:lineRule="auto"/>
              <w:rPr>
                <w:sz w:val="24"/>
                <w:szCs w:val="24"/>
              </w:rPr>
            </w:pPr>
          </w:p>
          <w:p w14:paraId="4D29C65D" w14:textId="65A9A6C6" w:rsidR="00656BD1" w:rsidRDefault="00656BD1" w:rsidP="00656BD1">
            <w:pPr>
              <w:spacing w:line="360" w:lineRule="auto"/>
              <w:rPr>
                <w:sz w:val="24"/>
                <w:szCs w:val="24"/>
              </w:rPr>
            </w:pPr>
            <w:r w:rsidRPr="008365A4">
              <w:rPr>
                <w:sz w:val="24"/>
                <w:szCs w:val="24"/>
              </w:rPr>
              <w:t xml:space="preserve">Having discussed the concerns at length with </w:t>
            </w:r>
            <w:r w:rsidR="005C2F23">
              <w:rPr>
                <w:sz w:val="24"/>
                <w:szCs w:val="24"/>
              </w:rPr>
              <w:t>p</w:t>
            </w:r>
            <w:r w:rsidRPr="008365A4">
              <w:rPr>
                <w:sz w:val="24"/>
                <w:szCs w:val="24"/>
              </w:rPr>
              <w:t xml:space="preserve">erson 5 and the relevant agencies, as well as the outcomes she wished to achieve, the Section 126 enquiry concluded that a referral to a specialist domestic abuse service was the most appropriate course of action in accordance with her wishes. This was actioned on the premise that the specialist service could provide individual support, including advice regarding any protective orders that may be required to enhance </w:t>
            </w:r>
            <w:r w:rsidR="005C2F23">
              <w:rPr>
                <w:sz w:val="24"/>
                <w:szCs w:val="24"/>
              </w:rPr>
              <w:t>p</w:t>
            </w:r>
            <w:r w:rsidRPr="008365A4">
              <w:rPr>
                <w:sz w:val="24"/>
                <w:szCs w:val="24"/>
              </w:rPr>
              <w:t>erson 5's safety. Interestingly, social workers in Wales are required to rely on alternative provision through the criminal justice system to achieve any implementation of a formal order, whilst Scotland's Adult Support and Protection (Scotland) Act 2007 allows local authorities to seek protective measures such as Removal Orders and Banning Orders. In turn, Welsh safeguarding legislation does not contain equivalent powers, meaning that there is a possibility that my decision making would be different if I were practicing in Scotland as there are greater legislative powers that could be utilised from within the local authority rather than sourcing this provision elsewhere as the Welsh framework proposes.</w:t>
            </w:r>
          </w:p>
          <w:p w14:paraId="1DE576E0" w14:textId="77777777" w:rsidR="008365A4" w:rsidRPr="008365A4" w:rsidRDefault="008365A4" w:rsidP="00656BD1">
            <w:pPr>
              <w:spacing w:line="360" w:lineRule="auto"/>
              <w:rPr>
                <w:sz w:val="24"/>
                <w:szCs w:val="24"/>
              </w:rPr>
            </w:pPr>
          </w:p>
          <w:p w14:paraId="56ABB1B4" w14:textId="386FE467" w:rsidR="00656BD1" w:rsidRPr="008365A4" w:rsidRDefault="00656BD1" w:rsidP="00656BD1">
            <w:pPr>
              <w:spacing w:line="360" w:lineRule="auto"/>
              <w:rPr>
                <w:sz w:val="24"/>
                <w:szCs w:val="24"/>
              </w:rPr>
            </w:pPr>
            <w:r w:rsidRPr="008365A4">
              <w:rPr>
                <w:sz w:val="24"/>
                <w:szCs w:val="24"/>
              </w:rPr>
              <w:t xml:space="preserve">Following feedback of this information to person 5, the safeguarding referral was thereby closed by the safeguarding lead due to having explored the information at hand in addition to referring 5 on to another service as requested. Had the enquiries indicated that further intervention was required, a care and support protection plan would be implemented to include the roles and responsibilities of the various contributors and their role in ensuring the desired outcomes were being met. It would then be arranged that subsequent strategy meetings would take place to ensure that the care and support protection plan is fit for purpose with changes and amendments made if necessary. These meetings could also take the form of adult protection conferences where the adult at risk is involved with their voice and control central to the entire process. Further to this, if there were concerns that the adult at risk was not adequately supported by the care and support plan, then there would be a </w:t>
            </w:r>
            <w:r w:rsidRPr="008365A4">
              <w:rPr>
                <w:sz w:val="24"/>
                <w:szCs w:val="24"/>
              </w:rPr>
              <w:lastRenderedPageBreak/>
              <w:t xml:space="preserve">duty to escalate this further via the safeguarding lead and the Regional Safeguarding Board (2026) for subsequent multi agency co-ordination (Wales Safeguarding Procedures, 2019). </w:t>
            </w:r>
          </w:p>
          <w:p w14:paraId="7F6D143D" w14:textId="77777777" w:rsidR="00656BD1" w:rsidRPr="008365A4" w:rsidRDefault="00656BD1" w:rsidP="00656BD1">
            <w:pPr>
              <w:spacing w:line="360" w:lineRule="auto"/>
              <w:rPr>
                <w:sz w:val="24"/>
                <w:szCs w:val="24"/>
              </w:rPr>
            </w:pPr>
          </w:p>
          <w:p w14:paraId="13CD3104" w14:textId="77777777" w:rsidR="00656BD1" w:rsidRPr="008365A4" w:rsidRDefault="00656BD1" w:rsidP="00656BD1">
            <w:pPr>
              <w:spacing w:line="360" w:lineRule="auto"/>
              <w:rPr>
                <w:sz w:val="24"/>
                <w:szCs w:val="24"/>
              </w:rPr>
            </w:pPr>
            <w:r w:rsidRPr="008365A4">
              <w:rPr>
                <w:sz w:val="24"/>
                <w:szCs w:val="24"/>
              </w:rPr>
              <w:t xml:space="preserve">In reflecting on my professional practice during this intervention, I draw upon Kolb’s experiential learning cycle (1984). This model of reflection encourages practitioners to explore the experience of a certain intervention, consider the learning points gained from the experience and how this will subsequently inform future practice as a result. I thereby consider the task at hand as the concrete experience, which was to explore the safeguarding concerns raised by a medical professional </w:t>
            </w:r>
            <w:proofErr w:type="gramStart"/>
            <w:r w:rsidRPr="008365A4">
              <w:rPr>
                <w:sz w:val="24"/>
                <w:szCs w:val="24"/>
              </w:rPr>
              <w:t>in regard to</w:t>
            </w:r>
            <w:proofErr w:type="gramEnd"/>
            <w:r w:rsidRPr="008365A4">
              <w:rPr>
                <w:sz w:val="24"/>
                <w:szCs w:val="24"/>
              </w:rPr>
              <w:t xml:space="preserve"> a vulnerable individual in a rural Welsh community. The concerns were regarding a friendship between the adult at risk and a neighbour, of which were </w:t>
            </w:r>
            <w:proofErr w:type="gramStart"/>
            <w:r w:rsidRPr="008365A4">
              <w:rPr>
                <w:sz w:val="24"/>
                <w:szCs w:val="24"/>
              </w:rPr>
              <w:t>sufficient enough</w:t>
            </w:r>
            <w:proofErr w:type="gramEnd"/>
            <w:r w:rsidRPr="008365A4">
              <w:rPr>
                <w:sz w:val="24"/>
                <w:szCs w:val="24"/>
              </w:rPr>
              <w:t xml:space="preserve"> to prompt the medical professional to </w:t>
            </w:r>
            <w:proofErr w:type="gramStart"/>
            <w:r w:rsidRPr="008365A4">
              <w:rPr>
                <w:sz w:val="24"/>
                <w:szCs w:val="24"/>
              </w:rPr>
              <w:t>take action</w:t>
            </w:r>
            <w:proofErr w:type="gramEnd"/>
            <w:r w:rsidRPr="008365A4">
              <w:rPr>
                <w:sz w:val="24"/>
                <w:szCs w:val="24"/>
              </w:rPr>
              <w:t xml:space="preserve"> in the form of a formal safeguarding referral to the local authority to consider implementation of any relevant safety measures. As a result of the concerns raised, Section 126 enquiries were prompted from myself as per the Social Services and Well-being (Wales) Act 2014, which meant exploring the information at hand and carrying out further investigative work due to having reasonable cause to suspect that the adult concerned was at risk of experiencing significant  harm and abuse. Undertaking Section 126 enquiries also helped me establish the facts of the concern, what the adult’s wishes and desired outcomes were and to determine what protective measures were required in safeguarding the individual.</w:t>
            </w:r>
          </w:p>
          <w:p w14:paraId="18C37906" w14:textId="77777777" w:rsidR="00656BD1" w:rsidRPr="008365A4" w:rsidRDefault="00656BD1" w:rsidP="00656BD1">
            <w:pPr>
              <w:spacing w:line="360" w:lineRule="auto"/>
              <w:rPr>
                <w:sz w:val="24"/>
                <w:szCs w:val="24"/>
              </w:rPr>
            </w:pPr>
          </w:p>
          <w:p w14:paraId="41DE2C23" w14:textId="77777777" w:rsidR="00656BD1" w:rsidRPr="008365A4" w:rsidRDefault="00656BD1" w:rsidP="00656BD1">
            <w:pPr>
              <w:spacing w:line="360" w:lineRule="auto"/>
              <w:rPr>
                <w:sz w:val="24"/>
                <w:szCs w:val="24"/>
              </w:rPr>
            </w:pPr>
            <w:r w:rsidRPr="008365A4">
              <w:rPr>
                <w:sz w:val="24"/>
                <w:szCs w:val="24"/>
              </w:rPr>
              <w:t xml:space="preserve">In elaborating on any reflective considerations as per Kolb’s model, I draw upon my feelings during the practice, which was a strong sense of responsibility to ensure I was advocating on person 5’s behalf given her vulnerability and learning difficulties. I feel that my practice of placing the adult at risk at the forefront of the enquiry by listening to her voice, her experiences and her concerns had a profound effect on the outcome of the enquiry and her level of satisfaction with what had been proposed as a result. This is evidenced in 5’s gratitude towards </w:t>
            </w:r>
            <w:proofErr w:type="gramStart"/>
            <w:r w:rsidRPr="008365A4">
              <w:rPr>
                <w:sz w:val="24"/>
                <w:szCs w:val="24"/>
              </w:rPr>
              <w:t>myself</w:t>
            </w:r>
            <w:proofErr w:type="gramEnd"/>
            <w:r w:rsidRPr="008365A4">
              <w:rPr>
                <w:sz w:val="24"/>
                <w:szCs w:val="24"/>
              </w:rPr>
              <w:t xml:space="preserve"> and the </w:t>
            </w:r>
            <w:proofErr w:type="gramStart"/>
            <w:r w:rsidRPr="008365A4">
              <w:rPr>
                <w:sz w:val="24"/>
                <w:szCs w:val="24"/>
              </w:rPr>
              <w:t>service as a whole, as</w:t>
            </w:r>
            <w:proofErr w:type="gramEnd"/>
            <w:r w:rsidRPr="008365A4">
              <w:rPr>
                <w:sz w:val="24"/>
                <w:szCs w:val="24"/>
              </w:rPr>
              <w:t xml:space="preserve"> she reported feeling listened to and valued, having felt overlooked by other services that she had </w:t>
            </w:r>
            <w:proofErr w:type="gramStart"/>
            <w:r w:rsidRPr="008365A4">
              <w:rPr>
                <w:sz w:val="24"/>
                <w:szCs w:val="24"/>
              </w:rPr>
              <w:t>come into contact with</w:t>
            </w:r>
            <w:proofErr w:type="gramEnd"/>
            <w:r w:rsidRPr="008365A4">
              <w:rPr>
                <w:sz w:val="24"/>
                <w:szCs w:val="24"/>
              </w:rPr>
              <w:t xml:space="preserve"> previously regarding the matter. </w:t>
            </w:r>
          </w:p>
          <w:p w14:paraId="21D58A49" w14:textId="77777777" w:rsidR="00656BD1" w:rsidRPr="008365A4" w:rsidRDefault="00656BD1" w:rsidP="00656BD1">
            <w:pPr>
              <w:spacing w:line="360" w:lineRule="auto"/>
              <w:rPr>
                <w:sz w:val="24"/>
                <w:szCs w:val="24"/>
              </w:rPr>
            </w:pPr>
          </w:p>
          <w:p w14:paraId="035011B6" w14:textId="05BB6B27" w:rsidR="00656BD1" w:rsidRPr="008365A4" w:rsidRDefault="00656BD1" w:rsidP="00656BD1">
            <w:pPr>
              <w:spacing w:line="360" w:lineRule="auto"/>
              <w:rPr>
                <w:sz w:val="24"/>
                <w:szCs w:val="24"/>
              </w:rPr>
            </w:pPr>
            <w:r w:rsidRPr="008365A4">
              <w:rPr>
                <w:sz w:val="24"/>
                <w:szCs w:val="24"/>
              </w:rPr>
              <w:lastRenderedPageBreak/>
              <w:t xml:space="preserve">As this intervention with 5 evidenced strong use of the person-centred approach, which underpins Welsh social work legislation with use of the Social Services and Well-being (Wales) Act 2014, it ensured that the individual's voice, wishes, and desired outcomes remained at the centre of decision-making throughout the intervention. In conceptualising this further as per Kolb’s experiential learning cycle, the approach of prioritising person 5’s ability to exercise voice and control can be understood through the lens of the empowerment theory (Rappaport, 1981). The empowerment theory was originally coined by Barbara Solomon (1976) and introduced to social work academia due to her work with oppressed groups in society. Rappaport (1981) later developed the broader theoretical framework of empowerment as we know it today. Rappaport emphasised the need for individuals to gain greater control over the decisions affecting their lives. Thus, eliminating any existence of power imbalances by working with the individual to share decision-making to create a feeling of autonomy, empowerment and inclusivity. </w:t>
            </w:r>
          </w:p>
          <w:p w14:paraId="2C058B56" w14:textId="77777777" w:rsidR="00656BD1" w:rsidRPr="008365A4" w:rsidRDefault="00656BD1" w:rsidP="00656BD1">
            <w:pPr>
              <w:spacing w:line="360" w:lineRule="auto"/>
              <w:rPr>
                <w:sz w:val="24"/>
                <w:szCs w:val="24"/>
              </w:rPr>
            </w:pPr>
          </w:p>
          <w:p w14:paraId="31C4222C" w14:textId="77777777" w:rsidR="00656BD1" w:rsidRPr="008365A4" w:rsidRDefault="00656BD1" w:rsidP="00656BD1">
            <w:pPr>
              <w:spacing w:line="360" w:lineRule="auto"/>
              <w:rPr>
                <w:sz w:val="24"/>
                <w:szCs w:val="24"/>
              </w:rPr>
            </w:pPr>
            <w:r w:rsidRPr="008365A4">
              <w:rPr>
                <w:sz w:val="24"/>
                <w:szCs w:val="24"/>
              </w:rPr>
              <w:t>In critical reflection of this intervention and in applying the empowerment theory through working collaboratively with person 5, I recognise that my professional role and my access to resources may have impacted the decisions that were made. Although empowerment theory promotes individuals to exercise autonomy and to achieve their desired outcomes, complete empowerment can be difficult to achieve given the statutory framework that we operate within as professionals. In this sense, organisational constraints and resource availability might have impacted the choices 5 was able to make, which was a limitation of my practice. This is also reflected in Manthorpe and Stevens work (2008) who researched the impact of service personalisation, to find that the reality was influenced by the availability of already limited resources and eligibility criteria can restrict the extent to which individuals experience genuine empowerment. When comparing approaches undertaken by other countries, Nordic regions such as Norway and Sweden are comparatively more successful due to the nature of their social welfare model, which offers better support in the form of healthcare availability, good community support and strong financial welfare systems. This is not to say that there is less of a risk present in Nordic countries, however the existence of preventative strategies in the form of better service availability increases the sense of community safeguarding in these regions (Morgan, 2018).</w:t>
            </w:r>
          </w:p>
          <w:p w14:paraId="3C0BE7C7" w14:textId="77777777" w:rsidR="00656BD1" w:rsidRPr="008365A4" w:rsidRDefault="00656BD1" w:rsidP="00656BD1">
            <w:pPr>
              <w:spacing w:line="360" w:lineRule="auto"/>
              <w:rPr>
                <w:sz w:val="24"/>
                <w:szCs w:val="24"/>
              </w:rPr>
            </w:pPr>
          </w:p>
          <w:p w14:paraId="4C5FCE86" w14:textId="18FFDD6C" w:rsidR="00656BD1" w:rsidRDefault="00656BD1" w:rsidP="00656BD1">
            <w:pPr>
              <w:spacing w:line="360" w:lineRule="auto"/>
              <w:rPr>
                <w:color w:val="000000" w:themeColor="text1"/>
                <w:sz w:val="24"/>
                <w:szCs w:val="24"/>
              </w:rPr>
            </w:pPr>
            <w:r w:rsidRPr="008365A4">
              <w:rPr>
                <w:sz w:val="24"/>
                <w:szCs w:val="24"/>
              </w:rPr>
              <w:t xml:space="preserve">Lastly, in consideration of Kolb’s reflective model the active experimentation stage prompts practitioners to consider what they have learned and how their future practice will develop as a result. Moving forward I will continue to critically evaluate how my own professional position, organisational influences and resource availability may impact an individual's ability to exercise genuine voice, choice and control during safeguarding procedures. Having an awareness of this will also encourage me to professionally challenge the organisation in which I operate and to feedback to my line manager when I feel that existing policies or certain processes are inadvertently hindering person centred outcomes. For escalation of this I will utilise supervision and reflective </w:t>
            </w:r>
            <w:r w:rsidRPr="008365A4">
              <w:rPr>
                <w:color w:val="000000" w:themeColor="text1"/>
                <w:sz w:val="24"/>
                <w:szCs w:val="24"/>
              </w:rPr>
              <w:t>discussions to their full capacity in exploring these issues for future practice.</w:t>
            </w:r>
          </w:p>
          <w:p w14:paraId="4807CC94" w14:textId="77777777" w:rsidR="008365A4" w:rsidRPr="008365A4" w:rsidRDefault="008365A4" w:rsidP="00656BD1">
            <w:pPr>
              <w:spacing w:line="360" w:lineRule="auto"/>
              <w:rPr>
                <w:color w:val="000000" w:themeColor="text1"/>
                <w:sz w:val="24"/>
                <w:szCs w:val="24"/>
              </w:rPr>
            </w:pPr>
          </w:p>
          <w:p w14:paraId="1282C1AD" w14:textId="37E74775" w:rsidR="00656BD1" w:rsidRPr="008365A4" w:rsidRDefault="00656BD1" w:rsidP="00656BD1">
            <w:pPr>
              <w:spacing w:line="360" w:lineRule="auto"/>
              <w:rPr>
                <w:color w:val="000000" w:themeColor="text1"/>
                <w:sz w:val="24"/>
                <w:szCs w:val="24"/>
              </w:rPr>
            </w:pPr>
            <w:r w:rsidRPr="008365A4">
              <w:rPr>
                <w:color w:val="000000" w:themeColor="text1"/>
                <w:sz w:val="24"/>
                <w:szCs w:val="24"/>
              </w:rPr>
              <w:t xml:space="preserve">As part of my reflective evaluation of the practice, I reflect on the way in which the safeguarding enquiries were carried out, how I communicated with person 5 and the principles which underpin my practice as a social worker in Wales. This includes consideration of the subtle difference between </w:t>
            </w:r>
            <w:proofErr w:type="spellStart"/>
            <w:r w:rsidRPr="008365A4">
              <w:rPr>
                <w:color w:val="000000" w:themeColor="text1"/>
                <w:sz w:val="24"/>
                <w:szCs w:val="24"/>
              </w:rPr>
              <w:t>Wales’</w:t>
            </w:r>
            <w:proofErr w:type="spellEnd"/>
            <w:r w:rsidRPr="008365A4">
              <w:rPr>
                <w:color w:val="000000" w:themeColor="text1"/>
                <w:sz w:val="24"/>
                <w:szCs w:val="24"/>
              </w:rPr>
              <w:t xml:space="preserve"> Social Services and Well-being (Wales) Act 2014 and its’ English counterpart the Care Act 2014. As I reflect on the initial stages of the Section 126 enquiries, it was due to the prompt action of a medical professional that the referral came to our attention, adhering to the statutory requirement of relevant partners to report concerns under Section 126 (4) of the Social Services and Well-Being (Wales) Act 2014. This multi-agency approach is emphasised more in the Welsh legislation whereas the Care Act 2014 does not place a duty upon related agencies to report. </w:t>
            </w:r>
          </w:p>
          <w:p w14:paraId="51441301" w14:textId="77777777" w:rsidR="00656BD1" w:rsidRPr="008365A4" w:rsidRDefault="00656BD1" w:rsidP="00656BD1">
            <w:pPr>
              <w:spacing w:line="360" w:lineRule="auto"/>
              <w:rPr>
                <w:color w:val="000000" w:themeColor="text1"/>
                <w:sz w:val="24"/>
                <w:szCs w:val="24"/>
              </w:rPr>
            </w:pPr>
          </w:p>
          <w:p w14:paraId="3D4CB8E7" w14:textId="03581092" w:rsidR="00656BD1" w:rsidRPr="008365A4" w:rsidRDefault="00656BD1" w:rsidP="00656BD1">
            <w:pPr>
              <w:spacing w:line="360" w:lineRule="auto"/>
              <w:rPr>
                <w:color w:val="000000" w:themeColor="text1"/>
                <w:sz w:val="24"/>
                <w:szCs w:val="24"/>
              </w:rPr>
            </w:pPr>
            <w:r w:rsidRPr="008365A4">
              <w:rPr>
                <w:color w:val="000000" w:themeColor="text1"/>
                <w:sz w:val="24"/>
                <w:szCs w:val="24"/>
              </w:rPr>
              <w:t xml:space="preserve">Another key difference I have reflected upon during this practice is the approach taken towards the wishes and feelings of the adult at risk. A person-centred approach is naturally embedded in the way in which we practice in Wales, with this being further supported by Section 6 of the Social Services and Well-being (Wales) Act 2014, whereby a practitioner must have regard to the fact that the adult at risk is best placed to judge their own well-being, with the local authority also having regard to their views, wishes and feelings. In contrast, there is no equivalent requirement within the Care Act 2014 to perform in the same </w:t>
            </w:r>
            <w:r w:rsidRPr="008365A4">
              <w:rPr>
                <w:color w:val="000000" w:themeColor="text1"/>
                <w:sz w:val="24"/>
                <w:szCs w:val="24"/>
              </w:rPr>
              <w:lastRenderedPageBreak/>
              <w:t>manner Rather, practitioners are required to have regard to the individual's views, wishes, feelings and beliefs but are not compelled to act upon their desired outcomes if there are risks surrounding this. Having said this, the English Act promotes the Making Safeguarding Personal approach (2013), which encourages practitioners to adopt a person-centred approach. However, it continues to lack the legislative requirement that is so naturally embedded within the way social workers in Wales are educated and subsequently practice. These differences could be attributed to devolution between English and Welsh Governments, which grant Wales the powers to situate separate laws independently from England (Williams, 2018).</w:t>
            </w:r>
          </w:p>
          <w:p w14:paraId="557DDED5" w14:textId="77777777" w:rsidR="00656BD1" w:rsidRPr="008365A4" w:rsidRDefault="00656BD1" w:rsidP="00656BD1">
            <w:pPr>
              <w:spacing w:line="360" w:lineRule="auto"/>
              <w:rPr>
                <w:color w:val="000000" w:themeColor="text1"/>
                <w:sz w:val="24"/>
                <w:szCs w:val="24"/>
              </w:rPr>
            </w:pPr>
          </w:p>
          <w:p w14:paraId="435E5274" w14:textId="77777777" w:rsidR="00656BD1" w:rsidRPr="008365A4" w:rsidRDefault="00656BD1" w:rsidP="00656BD1">
            <w:pPr>
              <w:spacing w:line="360" w:lineRule="auto"/>
              <w:rPr>
                <w:sz w:val="24"/>
                <w:szCs w:val="24"/>
              </w:rPr>
            </w:pPr>
            <w:r w:rsidRPr="008365A4">
              <w:rPr>
                <w:sz w:val="24"/>
                <w:szCs w:val="24"/>
              </w:rPr>
              <w:t xml:space="preserve">To conclude, this task has critically examined my role as a newly qualified social worker undertaking a Section 126 safeguarding enquiry under the Social Services and Well-being (Wales) Act 2014 with person 5. The nature of which the safeguarding enquiries were carried out were </w:t>
            </w:r>
            <w:proofErr w:type="spellStart"/>
            <w:r w:rsidRPr="008365A4">
              <w:rPr>
                <w:sz w:val="24"/>
                <w:szCs w:val="24"/>
              </w:rPr>
              <w:t>centered</w:t>
            </w:r>
            <w:proofErr w:type="spellEnd"/>
            <w:r w:rsidRPr="008365A4">
              <w:rPr>
                <w:sz w:val="24"/>
                <w:szCs w:val="24"/>
              </w:rPr>
              <w:t xml:space="preserve"> around 5’s wishes, feelings and desired outcomes which included a referral to a specialist domestic abuse service. Through the application of systems theory, empowerment theory and Kolb's experiential learning cycle, I was able to critically evaluate both the safeguarding process and my own professional practice. Personal reflection on this experience has reinforced the value of multi-agency working, professional curiosity and strengths-based practice, whilst also highlighting the need to remain aware of how organisational and statutory influences can impact empowerment. Towards the end of the discussion, comparison with the Care Act 2014 has demonstrated how Welsh legislation places a strong emphasis on wellbeing, participation, voice and control, principles which will continue to inform my future safeguarding practice as I progress in my role as a social worker in Wales.</w:t>
            </w:r>
          </w:p>
          <w:p w14:paraId="148E127F" w14:textId="77777777" w:rsidR="00656BD1" w:rsidRPr="008365A4" w:rsidRDefault="00656BD1" w:rsidP="00656BD1">
            <w:pPr>
              <w:spacing w:line="360" w:lineRule="auto"/>
              <w:rPr>
                <w:b/>
                <w:bCs/>
                <w:sz w:val="24"/>
                <w:szCs w:val="24"/>
              </w:rPr>
            </w:pPr>
          </w:p>
          <w:p w14:paraId="29684A42" w14:textId="22F4D402" w:rsidR="00656BD1" w:rsidRPr="008365A4" w:rsidRDefault="00656BD1" w:rsidP="00656BD1">
            <w:pPr>
              <w:spacing w:line="360" w:lineRule="auto"/>
              <w:rPr>
                <w:b/>
                <w:bCs/>
                <w:sz w:val="24"/>
                <w:szCs w:val="24"/>
              </w:rPr>
            </w:pPr>
            <w:r w:rsidRPr="008365A4">
              <w:rPr>
                <w:b/>
                <w:bCs/>
                <w:sz w:val="24"/>
                <w:szCs w:val="24"/>
              </w:rPr>
              <w:t xml:space="preserve">Total word count </w:t>
            </w:r>
            <w:proofErr w:type="gramStart"/>
            <w:r w:rsidRPr="008365A4">
              <w:rPr>
                <w:b/>
                <w:bCs/>
                <w:sz w:val="24"/>
                <w:szCs w:val="24"/>
              </w:rPr>
              <w:t>-  4,2</w:t>
            </w:r>
            <w:r w:rsidR="007A224D">
              <w:rPr>
                <w:b/>
                <w:bCs/>
                <w:sz w:val="24"/>
                <w:szCs w:val="24"/>
              </w:rPr>
              <w:t>50</w:t>
            </w:r>
            <w:proofErr w:type="gramEnd"/>
            <w:r w:rsidRPr="008365A4">
              <w:rPr>
                <w:b/>
                <w:bCs/>
                <w:sz w:val="24"/>
                <w:szCs w:val="24"/>
              </w:rPr>
              <w:t xml:space="preserve"> words </w:t>
            </w:r>
          </w:p>
          <w:p w14:paraId="20F5A1B1" w14:textId="77777777" w:rsidR="00656BD1" w:rsidRPr="008365A4" w:rsidRDefault="00656BD1" w:rsidP="00656BD1">
            <w:pPr>
              <w:rPr>
                <w:b/>
                <w:bCs/>
                <w:sz w:val="24"/>
                <w:szCs w:val="24"/>
              </w:rPr>
            </w:pPr>
          </w:p>
          <w:p w14:paraId="0A48C35E" w14:textId="77777777" w:rsidR="00656BD1" w:rsidRPr="008365A4" w:rsidRDefault="00656BD1" w:rsidP="00656BD1">
            <w:pPr>
              <w:rPr>
                <w:sz w:val="24"/>
                <w:szCs w:val="24"/>
              </w:rPr>
            </w:pPr>
          </w:p>
          <w:p w14:paraId="247BAC3D" w14:textId="77777777" w:rsidR="00656BD1" w:rsidRPr="008365A4" w:rsidRDefault="00656BD1" w:rsidP="00656BD1">
            <w:pPr>
              <w:rPr>
                <w:sz w:val="24"/>
                <w:szCs w:val="24"/>
              </w:rPr>
            </w:pPr>
          </w:p>
          <w:p w14:paraId="378B77C1" w14:textId="77777777" w:rsidR="00656BD1" w:rsidRPr="008365A4" w:rsidRDefault="00656BD1" w:rsidP="00656BD1"/>
          <w:p w14:paraId="7C7DE78C" w14:textId="77777777" w:rsidR="00656BD1" w:rsidRPr="008365A4" w:rsidRDefault="00656BD1" w:rsidP="00656BD1"/>
          <w:p w14:paraId="0528EE28" w14:textId="77777777" w:rsidR="00656BD1" w:rsidRPr="008365A4" w:rsidRDefault="00656BD1" w:rsidP="00656BD1"/>
          <w:p w14:paraId="0E453798" w14:textId="77777777" w:rsidR="00656BD1" w:rsidRPr="008365A4" w:rsidRDefault="00656BD1" w:rsidP="00656BD1"/>
          <w:p w14:paraId="10728B80" w14:textId="77777777" w:rsidR="00656BD1" w:rsidRPr="008365A4" w:rsidRDefault="00656BD1" w:rsidP="00656BD1"/>
          <w:p w14:paraId="155E79B4" w14:textId="77777777" w:rsidR="00656BD1" w:rsidRPr="008365A4" w:rsidRDefault="00656BD1" w:rsidP="00656BD1"/>
          <w:p w14:paraId="646FBDD0" w14:textId="77777777" w:rsidR="00656BD1" w:rsidRPr="008365A4" w:rsidRDefault="00656BD1" w:rsidP="00656BD1"/>
          <w:p w14:paraId="2DD1C315" w14:textId="77777777" w:rsidR="00656BD1" w:rsidRPr="008365A4" w:rsidRDefault="00656BD1" w:rsidP="00656BD1"/>
          <w:p w14:paraId="6335D365" w14:textId="77777777" w:rsidR="00656BD1" w:rsidRPr="008365A4" w:rsidRDefault="00656BD1" w:rsidP="00656BD1"/>
          <w:p w14:paraId="22FBB092" w14:textId="77777777" w:rsidR="00656BD1" w:rsidRPr="008365A4" w:rsidRDefault="00656BD1" w:rsidP="00656BD1"/>
          <w:p w14:paraId="12DC2F24" w14:textId="24094196" w:rsidR="00D3203C" w:rsidRPr="008365A4" w:rsidRDefault="00D3203C" w:rsidP="00FF7EBB">
            <w:pPr>
              <w:jc w:val="both"/>
              <w:rPr>
                <w:i/>
                <w:sz w:val="24"/>
                <w:szCs w:val="24"/>
              </w:rPr>
            </w:pPr>
          </w:p>
          <w:p w14:paraId="1225D23D" w14:textId="4FFF3138" w:rsidR="00D3203C" w:rsidRPr="008365A4" w:rsidRDefault="00D3203C" w:rsidP="00FF7EBB">
            <w:pPr>
              <w:jc w:val="both"/>
              <w:rPr>
                <w:i/>
                <w:sz w:val="24"/>
                <w:szCs w:val="24"/>
              </w:rPr>
            </w:pPr>
          </w:p>
          <w:p w14:paraId="0C1020FE" w14:textId="61CE561C" w:rsidR="00D3203C" w:rsidRPr="008365A4" w:rsidRDefault="00D3203C" w:rsidP="00FF7EBB">
            <w:pPr>
              <w:jc w:val="both"/>
              <w:rPr>
                <w:i/>
                <w:sz w:val="24"/>
                <w:szCs w:val="24"/>
              </w:rPr>
            </w:pPr>
          </w:p>
          <w:p w14:paraId="43CA65F6" w14:textId="46B65686" w:rsidR="00D3203C" w:rsidRPr="008365A4" w:rsidRDefault="00D3203C" w:rsidP="00FF7EBB">
            <w:pPr>
              <w:jc w:val="both"/>
              <w:rPr>
                <w:i/>
                <w:sz w:val="24"/>
                <w:szCs w:val="24"/>
              </w:rPr>
            </w:pPr>
          </w:p>
          <w:p w14:paraId="5C222972" w14:textId="259CE14B" w:rsidR="00D3203C" w:rsidRPr="008365A4" w:rsidRDefault="00D3203C" w:rsidP="00FF7EBB">
            <w:pPr>
              <w:jc w:val="both"/>
              <w:rPr>
                <w:i/>
                <w:sz w:val="24"/>
                <w:szCs w:val="24"/>
              </w:rPr>
            </w:pPr>
          </w:p>
          <w:p w14:paraId="0E7BBCC9" w14:textId="77777777" w:rsidR="00D3203C" w:rsidRPr="008365A4" w:rsidRDefault="00D3203C" w:rsidP="00FF7EBB">
            <w:pPr>
              <w:jc w:val="both"/>
              <w:rPr>
                <w:i/>
                <w:sz w:val="24"/>
                <w:szCs w:val="24"/>
              </w:rPr>
            </w:pPr>
          </w:p>
          <w:p w14:paraId="47F21B6A" w14:textId="007FFCCE" w:rsidR="007A628F" w:rsidRPr="008365A4"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74128" w14:textId="77777777" w:rsidR="00F830FA" w:rsidRDefault="00F830FA">
      <w:r>
        <w:separator/>
      </w:r>
    </w:p>
  </w:endnote>
  <w:endnote w:type="continuationSeparator" w:id="0">
    <w:p w14:paraId="51FEB07A" w14:textId="77777777" w:rsidR="00F830FA" w:rsidRDefault="00F83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E086E" w14:textId="77777777" w:rsidR="00F830FA" w:rsidRDefault="00F830FA">
      <w:r>
        <w:separator/>
      </w:r>
    </w:p>
  </w:footnote>
  <w:footnote w:type="continuationSeparator" w:id="0">
    <w:p w14:paraId="7D604225" w14:textId="77777777" w:rsidR="00F830FA" w:rsidRDefault="00F830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proofErr w:type="spellStart"/>
    <w:r w:rsidR="00DC2924">
      <w:t>1_Cohort</w:t>
    </w:r>
    <w:proofErr w:type="spellEnd"/>
    <w:r w:rsidR="00DC2924">
      <w:t xml:space="preserve">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341"/>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45DF"/>
    <w:rsid w:val="002B5B35"/>
    <w:rsid w:val="002B7AEE"/>
    <w:rsid w:val="002C15F3"/>
    <w:rsid w:val="002C2536"/>
    <w:rsid w:val="002C256A"/>
    <w:rsid w:val="002C3031"/>
    <w:rsid w:val="002C4233"/>
    <w:rsid w:val="002C496D"/>
    <w:rsid w:val="002D05EB"/>
    <w:rsid w:val="002D11A8"/>
    <w:rsid w:val="002D2F29"/>
    <w:rsid w:val="002D4130"/>
    <w:rsid w:val="002D46C0"/>
    <w:rsid w:val="002D5A92"/>
    <w:rsid w:val="002D65D2"/>
    <w:rsid w:val="002D6B31"/>
    <w:rsid w:val="002E6D17"/>
    <w:rsid w:val="002E7017"/>
    <w:rsid w:val="002E7F2C"/>
    <w:rsid w:val="002F1FC7"/>
    <w:rsid w:val="002F2185"/>
    <w:rsid w:val="002F4F6E"/>
    <w:rsid w:val="003015C3"/>
    <w:rsid w:val="00301B62"/>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5EDB"/>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2F23"/>
    <w:rsid w:val="005C6CE5"/>
    <w:rsid w:val="005D28B0"/>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BD1"/>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7036"/>
    <w:rsid w:val="00700249"/>
    <w:rsid w:val="00706256"/>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24D"/>
    <w:rsid w:val="007A5D45"/>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5A4"/>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96F"/>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A6F"/>
    <w:rsid w:val="00BD30B1"/>
    <w:rsid w:val="00BD3BD9"/>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855"/>
    <w:rsid w:val="00CA3593"/>
    <w:rsid w:val="00CA5726"/>
    <w:rsid w:val="00CA7E6A"/>
    <w:rsid w:val="00CB258E"/>
    <w:rsid w:val="00CB3C8F"/>
    <w:rsid w:val="00CC02F1"/>
    <w:rsid w:val="00CC1122"/>
    <w:rsid w:val="00CC11A6"/>
    <w:rsid w:val="00CC135E"/>
    <w:rsid w:val="00CC7226"/>
    <w:rsid w:val="00CD0735"/>
    <w:rsid w:val="00CD156C"/>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4682"/>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6755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0FA"/>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4366</Words>
  <Characters>24888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Elin Williams (OEDOLION)</cp:lastModifiedBy>
  <cp:revision>8</cp:revision>
  <cp:lastPrinted>2020-02-11T19:20:00Z</cp:lastPrinted>
  <dcterms:created xsi:type="dcterms:W3CDTF">2026-09-28T10:31:00Z</dcterms:created>
  <dcterms:modified xsi:type="dcterms:W3CDTF">2026-10-04T09:38:00Z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