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A9AE0" w14:textId="5BCB2340" w:rsidR="76516BC2" w:rsidRDefault="3D07AB0C" w:rsidP="00543121">
      <w:pPr>
        <w:spacing w:line="360" w:lineRule="auto"/>
        <w:rPr>
          <w:sz w:val="24"/>
          <w:szCs w:val="24"/>
        </w:rPr>
      </w:pPr>
      <w:r w:rsidRPr="3D07AB0C">
        <w:rPr>
          <w:sz w:val="24"/>
          <w:szCs w:val="24"/>
        </w:rPr>
        <w:t>Peter Hyett         Submission Date 18</w:t>
      </w:r>
      <w:r w:rsidRPr="3D07AB0C">
        <w:rPr>
          <w:sz w:val="24"/>
          <w:szCs w:val="24"/>
          <w:vertAlign w:val="superscript"/>
        </w:rPr>
        <w:t>th</w:t>
      </w:r>
      <w:r w:rsidRPr="3D07AB0C">
        <w:rPr>
          <w:sz w:val="24"/>
          <w:szCs w:val="24"/>
        </w:rPr>
        <w:t xml:space="preserve"> Oct 2019</w:t>
      </w:r>
    </w:p>
    <w:p w14:paraId="01536537" w14:textId="54FDBCA9" w:rsidR="76516BC2" w:rsidRDefault="3D07AB0C" w:rsidP="00543121">
      <w:pPr>
        <w:spacing w:line="360" w:lineRule="auto"/>
        <w:rPr>
          <w:sz w:val="36"/>
          <w:szCs w:val="36"/>
        </w:rPr>
      </w:pPr>
      <w:r w:rsidRPr="3D07AB0C">
        <w:rPr>
          <w:sz w:val="36"/>
          <w:szCs w:val="36"/>
        </w:rPr>
        <w:t>Evaluate the legislation regarding the age of criminal liability and discuss whether 10 years the correct age?</w:t>
      </w:r>
    </w:p>
    <w:p w14:paraId="52E6100B" w14:textId="32EC5968" w:rsidR="0035B4EE" w:rsidRDefault="0035B4EE" w:rsidP="00543121">
      <w:pPr>
        <w:spacing w:line="360" w:lineRule="auto"/>
        <w:jc w:val="center"/>
        <w:rPr>
          <w:sz w:val="36"/>
          <w:szCs w:val="36"/>
        </w:rPr>
      </w:pPr>
    </w:p>
    <w:p w14:paraId="53A7C8FA" w14:textId="19CB827C" w:rsidR="76516BC2" w:rsidRDefault="3D07AB0C" w:rsidP="00543121">
      <w:pPr>
        <w:spacing w:line="360" w:lineRule="auto"/>
        <w:jc w:val="both"/>
        <w:rPr>
          <w:b/>
          <w:bCs/>
          <w:sz w:val="28"/>
          <w:szCs w:val="28"/>
        </w:rPr>
      </w:pPr>
      <w:r w:rsidRPr="3D07AB0C">
        <w:rPr>
          <w:b/>
          <w:bCs/>
          <w:sz w:val="28"/>
          <w:szCs w:val="28"/>
        </w:rPr>
        <w:t>Executive Summary</w:t>
      </w:r>
    </w:p>
    <w:p w14:paraId="41C47B0D" w14:textId="56A3AC44" w:rsidR="22A70F4C" w:rsidRDefault="3D07AB0C" w:rsidP="00543121">
      <w:pPr>
        <w:spacing w:line="360" w:lineRule="auto"/>
        <w:jc w:val="both"/>
        <w:rPr>
          <w:sz w:val="24"/>
          <w:szCs w:val="24"/>
        </w:rPr>
      </w:pPr>
      <w:r w:rsidRPr="3D07AB0C">
        <w:rPr>
          <w:sz w:val="24"/>
          <w:szCs w:val="24"/>
        </w:rPr>
        <w:t xml:space="preserve">This report discusses and evaluates whether 10 years of age is the correct age that a child can be prosecuted and punished by the law for an offence. These findings were identified by rigorous and extensive research into government legislation, and the behavioral development in children. Evaluation of these findings show that the cognitive development in children at age 10, “are at the cusp of adolescence and have language skills and cognitive ability to gather and formulate well organized opinions and thoughts” says Morin, (2019). Whereas in other research it argues that “10-year-old children are immature in terms of moral and brain development and criminalizing children adversely effects their future prospects and makes them more likely to reoffend as adults” says the Parliamentary Office of Science &amp; Technology (2018). In conclusion evaluating whether 10 years is the correct age for a child to be prosecuted, and punished by the law. The age of criminal liability should be raised to 12, in order to support children's development mentally and emotionally at a younger age, safeguarding strategies can have more of a positive effect on children, who are at risk of offending as evidence shows, “Early intervention is seen as key to reducing child crime. Examples include Parenting, Youth Inclusion and safer schools' programs” says the Parliamentary Office of Science &amp; Technology (2018).      </w:t>
      </w:r>
    </w:p>
    <w:p w14:paraId="14F5A0F0" w14:textId="75B8544B" w:rsidR="22A70F4C" w:rsidRDefault="22A70F4C" w:rsidP="00543121">
      <w:pPr>
        <w:spacing w:line="360" w:lineRule="auto"/>
        <w:jc w:val="both"/>
        <w:rPr>
          <w:sz w:val="24"/>
          <w:szCs w:val="24"/>
        </w:rPr>
      </w:pPr>
    </w:p>
    <w:p w14:paraId="0BEBF3E6" w14:textId="77777777" w:rsidR="00543121" w:rsidRDefault="00543121" w:rsidP="00543121">
      <w:pPr>
        <w:spacing w:line="360" w:lineRule="auto"/>
        <w:jc w:val="both"/>
        <w:rPr>
          <w:b/>
          <w:bCs/>
          <w:sz w:val="28"/>
          <w:szCs w:val="28"/>
        </w:rPr>
      </w:pPr>
    </w:p>
    <w:p w14:paraId="109615AC" w14:textId="77777777" w:rsidR="00543121" w:rsidRDefault="00543121" w:rsidP="00543121">
      <w:pPr>
        <w:spacing w:line="360" w:lineRule="auto"/>
        <w:jc w:val="both"/>
        <w:rPr>
          <w:b/>
          <w:bCs/>
          <w:sz w:val="28"/>
          <w:szCs w:val="28"/>
        </w:rPr>
      </w:pPr>
    </w:p>
    <w:p w14:paraId="2C11A5B2" w14:textId="77777777" w:rsidR="00543121" w:rsidRDefault="00543121" w:rsidP="00543121">
      <w:pPr>
        <w:spacing w:line="360" w:lineRule="auto"/>
        <w:jc w:val="both"/>
        <w:rPr>
          <w:b/>
          <w:bCs/>
          <w:sz w:val="28"/>
          <w:szCs w:val="28"/>
        </w:rPr>
      </w:pPr>
    </w:p>
    <w:p w14:paraId="325FF059" w14:textId="68CA1843" w:rsidR="0035B4EE" w:rsidRDefault="3D07AB0C" w:rsidP="00543121">
      <w:pPr>
        <w:spacing w:line="360" w:lineRule="auto"/>
        <w:jc w:val="both"/>
        <w:rPr>
          <w:b/>
          <w:bCs/>
          <w:sz w:val="28"/>
          <w:szCs w:val="28"/>
          <w:highlight w:val="yellow"/>
        </w:rPr>
      </w:pPr>
      <w:r w:rsidRPr="3D07AB0C">
        <w:rPr>
          <w:b/>
          <w:bCs/>
          <w:sz w:val="28"/>
          <w:szCs w:val="28"/>
        </w:rPr>
        <w:lastRenderedPageBreak/>
        <w:t>Introduction</w:t>
      </w:r>
    </w:p>
    <w:p w14:paraId="0C19CEC9" w14:textId="10F2FE62" w:rsidR="0035B4EE" w:rsidRDefault="3D07AB0C" w:rsidP="00543121">
      <w:pPr>
        <w:spacing w:line="360" w:lineRule="auto"/>
        <w:jc w:val="both"/>
        <w:rPr>
          <w:rFonts w:ascii="Calibri" w:eastAsia="Calibri" w:hAnsi="Calibri" w:cs="Calibri"/>
          <w:sz w:val="24"/>
          <w:szCs w:val="24"/>
        </w:rPr>
      </w:pPr>
      <w:r w:rsidRPr="3D07AB0C">
        <w:rPr>
          <w:rFonts w:ascii="Calibri" w:eastAsia="Calibri" w:hAnsi="Calibri" w:cs="Calibri"/>
          <w:sz w:val="24"/>
          <w:szCs w:val="24"/>
        </w:rPr>
        <w:t>“</w:t>
      </w:r>
      <w:r w:rsidRPr="3D07AB0C">
        <w:rPr>
          <w:rFonts w:ascii="Calibri" w:eastAsia="Calibri" w:hAnsi="Calibri" w:cs="Calibri"/>
          <w:i/>
          <w:iCs/>
          <w:sz w:val="24"/>
          <w:szCs w:val="24"/>
        </w:rPr>
        <w:t>The MACR in England and Wales was raised from eight to ten years in 1963. By all accounts, that decision was reached on a somewhat arbitrary basis. There is no evidence, for example, to indicate that a ten-year-old is substantially more developmentally mature, thus more able to participate in criminal proceedings, than a nine-year-old".</w:t>
      </w:r>
      <w:r w:rsidRPr="3D07AB0C">
        <w:rPr>
          <w:rFonts w:ascii="Calibri" w:eastAsia="Calibri" w:hAnsi="Calibri" w:cs="Calibri"/>
          <w:sz w:val="24"/>
          <w:szCs w:val="24"/>
        </w:rPr>
        <w:t xml:space="preserve"> </w:t>
      </w:r>
    </w:p>
    <w:p w14:paraId="64892E31" w14:textId="6924E077" w:rsidR="0035B4EE" w:rsidRDefault="4BFA2E28" w:rsidP="00543121">
      <w:pPr>
        <w:spacing w:line="360" w:lineRule="auto"/>
        <w:jc w:val="right"/>
        <w:rPr>
          <w:rFonts w:ascii="sans-serif" w:eastAsia="sans-serif" w:hAnsi="sans-serif" w:cs="sans-serif"/>
          <w:u w:val="single"/>
        </w:rPr>
      </w:pPr>
      <w:r w:rsidRPr="4BFA2E28">
        <w:rPr>
          <w:rFonts w:ascii="sans-serif" w:eastAsia="sans-serif" w:hAnsi="sans-serif" w:cs="sans-serif"/>
          <w:u w:val="single"/>
        </w:rPr>
        <w:t>Vizard E, (2009)</w:t>
      </w:r>
    </w:p>
    <w:p w14:paraId="3839DE71" w14:textId="21C79CD7" w:rsidR="0035B4EE" w:rsidRDefault="3D07AB0C" w:rsidP="00543121">
      <w:pPr>
        <w:spacing w:line="360" w:lineRule="auto"/>
        <w:jc w:val="both"/>
      </w:pPr>
      <w:r w:rsidRPr="3D07AB0C">
        <w:rPr>
          <w:sz w:val="24"/>
          <w:szCs w:val="24"/>
        </w:rPr>
        <w:t>This report looks into whether at 10 years old a child can be prosecuted and punished by law for partaking in a criminal offence. As well as looking at this, the report will also look at factors that contribute to the evidence in moving the age such as mental development, background information and other external factors. This report will also give suggestions of a more positive approach on how to deal with child crime, using early intervention programs as a key tactic to prevent reoffending.</w:t>
      </w:r>
    </w:p>
    <w:p w14:paraId="63313B9B" w14:textId="77777777" w:rsidR="00543121" w:rsidRDefault="00543121" w:rsidP="00543121">
      <w:pPr>
        <w:spacing w:line="360" w:lineRule="auto"/>
        <w:jc w:val="both"/>
        <w:rPr>
          <w:b/>
          <w:bCs/>
          <w:sz w:val="28"/>
          <w:szCs w:val="28"/>
        </w:rPr>
      </w:pPr>
    </w:p>
    <w:p w14:paraId="16117CFF" w14:textId="44B4B284" w:rsidR="0035B4EE" w:rsidRDefault="3D07AB0C" w:rsidP="00543121">
      <w:pPr>
        <w:spacing w:line="360" w:lineRule="auto"/>
        <w:jc w:val="both"/>
        <w:rPr>
          <w:b/>
          <w:bCs/>
          <w:sz w:val="28"/>
          <w:szCs w:val="28"/>
        </w:rPr>
      </w:pPr>
      <w:r w:rsidRPr="3D07AB0C">
        <w:rPr>
          <w:b/>
          <w:bCs/>
          <w:sz w:val="28"/>
          <w:szCs w:val="28"/>
        </w:rPr>
        <w:t xml:space="preserve">Main Body: </w:t>
      </w:r>
    </w:p>
    <w:p w14:paraId="4302FBA3" w14:textId="0D9B467D" w:rsidR="0035B4EE" w:rsidRDefault="3D07AB0C" w:rsidP="00543121">
      <w:pPr>
        <w:spacing w:line="360" w:lineRule="auto"/>
        <w:jc w:val="both"/>
        <w:rPr>
          <w:sz w:val="24"/>
          <w:szCs w:val="24"/>
        </w:rPr>
      </w:pPr>
      <w:r w:rsidRPr="3D07AB0C">
        <w:rPr>
          <w:sz w:val="24"/>
          <w:szCs w:val="24"/>
        </w:rPr>
        <w:t xml:space="preserve">Research shows that children at the age of 10 fundamentally still going through important changes and the brain is developmentally immature, and within these changes it is linked to regulating one's own behavior according to Neuroscience and the law (2011) </w:t>
      </w:r>
    </w:p>
    <w:p w14:paraId="0FFE8C29" w14:textId="3BDB95A8" w:rsidR="4BFA2E28" w:rsidRDefault="4BFA2E28" w:rsidP="00543121">
      <w:pPr>
        <w:pStyle w:val="Heading2"/>
        <w:spacing w:line="360" w:lineRule="auto"/>
        <w:rPr>
          <w:rFonts w:asciiTheme="minorHAnsi" w:eastAsiaTheme="minorEastAsia" w:hAnsiTheme="minorHAnsi" w:cstheme="minorBidi"/>
          <w:color w:val="auto"/>
          <w:sz w:val="24"/>
          <w:szCs w:val="24"/>
        </w:rPr>
      </w:pPr>
      <w:r w:rsidRPr="4BFA2E28">
        <w:rPr>
          <w:rFonts w:asciiTheme="minorHAnsi" w:eastAsiaTheme="minorEastAsia" w:hAnsiTheme="minorHAnsi" w:cstheme="minorBidi"/>
          <w:color w:val="auto"/>
          <w:sz w:val="24"/>
          <w:szCs w:val="24"/>
        </w:rPr>
        <w:t xml:space="preserve">Similar evidence shows that children of a young age have a lower capability to understand their own actions, and </w:t>
      </w:r>
      <w:r w:rsidRPr="4BFA2E28">
        <w:rPr>
          <w:rFonts w:asciiTheme="minorHAnsi" w:eastAsiaTheme="minorEastAsia" w:hAnsiTheme="minorHAnsi" w:cstheme="minorBidi"/>
          <w:color w:val="auto"/>
          <w:sz w:val="24"/>
          <w:szCs w:val="24"/>
          <w:lang w:val="en-GB"/>
        </w:rPr>
        <w:t xml:space="preserve">realise the gravity and consequence of their own doing, from this they also have a lower capability to identify other people’s emotional state, and inability to </w:t>
      </w:r>
      <w:proofErr w:type="spellStart"/>
      <w:r w:rsidRPr="4BFA2E28">
        <w:rPr>
          <w:rFonts w:asciiTheme="minorHAnsi" w:eastAsiaTheme="minorEastAsia" w:hAnsiTheme="minorHAnsi" w:cstheme="minorBidi"/>
          <w:color w:val="auto"/>
          <w:sz w:val="24"/>
          <w:szCs w:val="24"/>
          <w:lang w:val="en-GB"/>
        </w:rPr>
        <w:t>self control</w:t>
      </w:r>
      <w:proofErr w:type="spellEnd"/>
      <w:r w:rsidRPr="4BFA2E28">
        <w:rPr>
          <w:rFonts w:asciiTheme="minorHAnsi" w:eastAsiaTheme="minorEastAsia" w:hAnsiTheme="minorHAnsi" w:cstheme="minorBidi"/>
          <w:color w:val="auto"/>
          <w:sz w:val="24"/>
          <w:szCs w:val="24"/>
          <w:lang w:val="en-GB"/>
        </w:rPr>
        <w:t xml:space="preserve"> impetuous behaviour. A 10-year-old may know right from wrong, and know for example stealing is wrong, but their ability to apply logical understanding of their actions would differ from a much older person. </w:t>
      </w:r>
      <w:hyperlink r:id="rId5">
        <w:r w:rsidRPr="4BFA2E28">
          <w:rPr>
            <w:rStyle w:val="Hyperlink"/>
            <w:rFonts w:asciiTheme="minorHAnsi" w:eastAsiaTheme="minorEastAsia" w:hAnsiTheme="minorHAnsi" w:cstheme="minorBidi"/>
            <w:color w:val="auto"/>
            <w:sz w:val="24"/>
            <w:szCs w:val="24"/>
          </w:rPr>
          <w:t>Dholakia</w:t>
        </w:r>
      </w:hyperlink>
      <w:r w:rsidRPr="4BFA2E28">
        <w:rPr>
          <w:rFonts w:asciiTheme="minorHAnsi" w:eastAsiaTheme="minorEastAsia" w:hAnsiTheme="minorHAnsi" w:cstheme="minorBidi"/>
          <w:color w:val="auto"/>
          <w:sz w:val="24"/>
          <w:szCs w:val="24"/>
        </w:rPr>
        <w:t xml:space="preserve"> (2017)</w:t>
      </w:r>
    </w:p>
    <w:p w14:paraId="7EF3D18A" w14:textId="12F645AF" w:rsidR="4BFA2E28" w:rsidRDefault="4BFA2E28" w:rsidP="00543121">
      <w:pPr>
        <w:spacing w:line="360" w:lineRule="auto"/>
        <w:jc w:val="both"/>
        <w:rPr>
          <w:rFonts w:eastAsiaTheme="minorEastAsia"/>
          <w:sz w:val="24"/>
          <w:szCs w:val="24"/>
          <w:lang w:val="en-GB"/>
        </w:rPr>
      </w:pPr>
    </w:p>
    <w:p w14:paraId="5B4EEBD1" w14:textId="170D43F2" w:rsidR="001402E8" w:rsidRDefault="4BFA2E28" w:rsidP="00543121">
      <w:pPr>
        <w:pStyle w:val="Heading2"/>
        <w:spacing w:after="160" w:line="360" w:lineRule="auto"/>
        <w:rPr>
          <w:rFonts w:asciiTheme="minorHAnsi" w:eastAsiaTheme="minorEastAsia" w:hAnsiTheme="minorHAnsi" w:cstheme="minorBidi"/>
          <w:color w:val="auto"/>
          <w:sz w:val="24"/>
          <w:szCs w:val="24"/>
        </w:rPr>
      </w:pPr>
      <w:r w:rsidRPr="4BFA2E28">
        <w:rPr>
          <w:rFonts w:asciiTheme="minorHAnsi" w:eastAsiaTheme="minorEastAsia" w:hAnsiTheme="minorHAnsi" w:cstheme="minorBidi"/>
          <w:color w:val="auto"/>
          <w:sz w:val="24"/>
          <w:szCs w:val="24"/>
          <w:lang w:val="en-GB"/>
        </w:rPr>
        <w:lastRenderedPageBreak/>
        <w:t xml:space="preserve">If children were dealt with in a non-criminal procedure, and through more of a welfare lens approach, the outcome of this would have more of a positive effect and impact than using the criminal justice process. Evidence shows that children who are labelled as offenders will try to live up to the title “offender” and potentially would more likely reoffend in trying to do so, acting increasingly delinquent to achieve status in an audience of their friends. Children like this would fit a criteria that would have their victims status and welfare needs assessed, more than often evidence shows that children's welfare backgrounds are often neglected , those who are diverted from the criminal justice process are less likely to reoffend and dealt with in other ways such as youth offending schemes. </w:t>
      </w:r>
      <w:hyperlink r:id="rId6">
        <w:r w:rsidRPr="4BFA2E28">
          <w:rPr>
            <w:rStyle w:val="Hyperlink"/>
            <w:rFonts w:asciiTheme="minorHAnsi" w:eastAsiaTheme="minorEastAsia" w:hAnsiTheme="minorHAnsi" w:cstheme="minorBidi"/>
            <w:color w:val="auto"/>
            <w:sz w:val="24"/>
            <w:szCs w:val="24"/>
          </w:rPr>
          <w:t>Dholakia</w:t>
        </w:r>
      </w:hyperlink>
      <w:r w:rsidRPr="4BFA2E28">
        <w:rPr>
          <w:rFonts w:asciiTheme="minorHAnsi" w:eastAsiaTheme="minorEastAsia" w:hAnsiTheme="minorHAnsi" w:cstheme="minorBidi"/>
          <w:color w:val="auto"/>
          <w:sz w:val="24"/>
          <w:szCs w:val="24"/>
        </w:rPr>
        <w:t xml:space="preserve"> (2017)</w:t>
      </w:r>
    </w:p>
    <w:p w14:paraId="3D1BEB60" w14:textId="49588E16" w:rsidR="001402E8" w:rsidRDefault="4BFA2E28" w:rsidP="00543121">
      <w:pPr>
        <w:spacing w:line="360" w:lineRule="auto"/>
        <w:jc w:val="both"/>
        <w:rPr>
          <w:rFonts w:eastAsiaTheme="minorEastAsia"/>
          <w:sz w:val="24"/>
          <w:szCs w:val="24"/>
          <w:lang w:val="en-GB"/>
        </w:rPr>
      </w:pPr>
      <w:r w:rsidRPr="4BFA2E28">
        <w:rPr>
          <w:rFonts w:eastAsiaTheme="minorEastAsia"/>
          <w:sz w:val="24"/>
          <w:szCs w:val="24"/>
          <w:lang w:val="en-GB"/>
        </w:rPr>
        <w:t xml:space="preserve"> </w:t>
      </w:r>
    </w:p>
    <w:p w14:paraId="6FE9DA82" w14:textId="7EA73985" w:rsidR="4BFA2E28" w:rsidRDefault="4BFA2E28" w:rsidP="00543121">
      <w:pPr>
        <w:pStyle w:val="Heading2"/>
        <w:spacing w:line="360" w:lineRule="auto"/>
        <w:rPr>
          <w:rFonts w:asciiTheme="minorHAnsi" w:eastAsiaTheme="minorEastAsia" w:hAnsiTheme="minorHAnsi" w:cstheme="minorBidi"/>
          <w:color w:val="auto"/>
          <w:sz w:val="24"/>
          <w:szCs w:val="24"/>
        </w:rPr>
      </w:pPr>
      <w:r w:rsidRPr="4BFA2E28">
        <w:rPr>
          <w:rFonts w:asciiTheme="minorHAnsi" w:eastAsiaTheme="minorEastAsia" w:hAnsiTheme="minorHAnsi" w:cstheme="minorBidi"/>
          <w:color w:val="auto"/>
          <w:sz w:val="24"/>
          <w:szCs w:val="24"/>
          <w:lang w:val="en-GB"/>
        </w:rPr>
        <w:t xml:space="preserve">Children that do go through the criminal process at an adolescent age, research shows that statistically they come from defective and chaotic backgrounds, that can range from not only poor parenting but also physical, emotional and sexual abuse, neglect, substance misuse stemming to mental health disorders. By diverting the child from offending the prospects would be far greater if it was intercepted by a welfare intervention approach, thus in turn would then </w:t>
      </w:r>
      <w:proofErr w:type="spellStart"/>
      <w:r w:rsidRPr="4BFA2E28">
        <w:rPr>
          <w:rFonts w:asciiTheme="minorHAnsi" w:eastAsiaTheme="minorEastAsia" w:hAnsiTheme="minorHAnsi" w:cstheme="minorBidi"/>
          <w:color w:val="auto"/>
          <w:sz w:val="24"/>
          <w:szCs w:val="24"/>
          <w:lang w:val="en-GB"/>
        </w:rPr>
        <w:t>preemptively</w:t>
      </w:r>
      <w:proofErr w:type="spellEnd"/>
      <w:r w:rsidRPr="4BFA2E28">
        <w:rPr>
          <w:rFonts w:asciiTheme="minorHAnsi" w:eastAsiaTheme="minorEastAsia" w:hAnsiTheme="minorHAnsi" w:cstheme="minorBidi"/>
          <w:color w:val="auto"/>
          <w:sz w:val="24"/>
          <w:szCs w:val="24"/>
          <w:lang w:val="en-GB"/>
        </w:rPr>
        <w:t xml:space="preserve"> avoid issuing children with criminal records unnecessarily. Which evidently can make it much more of a difficult process, when later on in life they reach the legal working age and would be ineligible to gain employment. From dealing with a welfare-based approach in a secure centre that can care for their additional welfare needs, it can help them face their emotional traumatic experiences in a safe and neutral environment, aiding for it to develop and mature emotionally, thus being able to reach an appropriate level of sense of their guilt and learn to overcome their impulses of aggression and emotional state.  </w:t>
      </w:r>
      <w:hyperlink r:id="rId7">
        <w:r w:rsidRPr="4BFA2E28">
          <w:rPr>
            <w:rStyle w:val="Hyperlink"/>
            <w:rFonts w:asciiTheme="minorHAnsi" w:eastAsiaTheme="minorEastAsia" w:hAnsiTheme="minorHAnsi" w:cstheme="minorBidi"/>
            <w:color w:val="auto"/>
            <w:sz w:val="24"/>
            <w:szCs w:val="24"/>
          </w:rPr>
          <w:t>Dholakia</w:t>
        </w:r>
      </w:hyperlink>
      <w:r w:rsidRPr="4BFA2E28">
        <w:rPr>
          <w:rFonts w:asciiTheme="minorHAnsi" w:eastAsiaTheme="minorEastAsia" w:hAnsiTheme="minorHAnsi" w:cstheme="minorBidi"/>
          <w:color w:val="auto"/>
          <w:sz w:val="24"/>
          <w:szCs w:val="24"/>
        </w:rPr>
        <w:t xml:space="preserve"> (2017)</w:t>
      </w:r>
    </w:p>
    <w:p w14:paraId="28EBA696" w14:textId="74B4B79F" w:rsidR="4BFA2E28" w:rsidRDefault="4BFA2E28" w:rsidP="00543121">
      <w:pPr>
        <w:spacing w:line="360" w:lineRule="auto"/>
        <w:jc w:val="both"/>
        <w:rPr>
          <w:rFonts w:eastAsiaTheme="minorEastAsia"/>
          <w:sz w:val="24"/>
          <w:szCs w:val="24"/>
          <w:lang w:val="en-GB"/>
        </w:rPr>
      </w:pPr>
    </w:p>
    <w:p w14:paraId="43E17614" w14:textId="4199AEFA" w:rsidR="4BFA2E28" w:rsidRDefault="4BFA2E28" w:rsidP="00543121">
      <w:pPr>
        <w:spacing w:line="360" w:lineRule="auto"/>
        <w:jc w:val="both"/>
        <w:rPr>
          <w:sz w:val="24"/>
          <w:szCs w:val="24"/>
          <w:lang w:val="en-GB"/>
        </w:rPr>
      </w:pPr>
    </w:p>
    <w:p w14:paraId="1EA1EC7F" w14:textId="77777777" w:rsidR="00063617" w:rsidRPr="00B51555" w:rsidRDefault="00063617" w:rsidP="00543121">
      <w:pPr>
        <w:spacing w:line="360" w:lineRule="auto"/>
        <w:jc w:val="both"/>
        <w:rPr>
          <w:sz w:val="24"/>
          <w:szCs w:val="24"/>
          <w:lang w:val="en-GB"/>
        </w:rPr>
      </w:pPr>
    </w:p>
    <w:p w14:paraId="1979816A" w14:textId="3C0E71F5" w:rsidR="0035B4EE" w:rsidRDefault="0035B4EE" w:rsidP="00543121">
      <w:pPr>
        <w:spacing w:line="360" w:lineRule="auto"/>
        <w:jc w:val="both"/>
        <w:rPr>
          <w:sz w:val="24"/>
          <w:szCs w:val="24"/>
        </w:rPr>
      </w:pPr>
    </w:p>
    <w:p w14:paraId="1136AB1C" w14:textId="77777777" w:rsidR="00543121" w:rsidRDefault="00543121" w:rsidP="00543121">
      <w:pPr>
        <w:spacing w:line="360" w:lineRule="auto"/>
        <w:jc w:val="both"/>
        <w:rPr>
          <w:sz w:val="24"/>
          <w:szCs w:val="24"/>
        </w:rPr>
      </w:pPr>
    </w:p>
    <w:p w14:paraId="74FECFD1" w14:textId="756EA887" w:rsidR="22A70F4C" w:rsidRDefault="4BFA2E28" w:rsidP="00543121">
      <w:pPr>
        <w:spacing w:line="360" w:lineRule="auto"/>
        <w:jc w:val="both"/>
        <w:rPr>
          <w:b/>
          <w:bCs/>
          <w:sz w:val="28"/>
          <w:szCs w:val="28"/>
        </w:rPr>
      </w:pPr>
      <w:r w:rsidRPr="4BFA2E28">
        <w:rPr>
          <w:b/>
          <w:bCs/>
          <w:sz w:val="28"/>
          <w:szCs w:val="28"/>
        </w:rPr>
        <w:lastRenderedPageBreak/>
        <w:t>Conclusion:</w:t>
      </w:r>
    </w:p>
    <w:p w14:paraId="2562AA96" w14:textId="3C628D5D" w:rsidR="4BFA2E28" w:rsidRPr="00543121" w:rsidRDefault="4BFA2E28" w:rsidP="00543121">
      <w:pPr>
        <w:spacing w:line="360" w:lineRule="auto"/>
        <w:jc w:val="both"/>
        <w:rPr>
          <w:rFonts w:eastAsia="Calibri" w:cstheme="minorHAnsi"/>
          <w:sz w:val="24"/>
          <w:szCs w:val="24"/>
        </w:rPr>
      </w:pPr>
      <w:r w:rsidRPr="00543121">
        <w:rPr>
          <w:rFonts w:eastAsia="Calibri" w:cstheme="minorHAnsi"/>
          <w:i/>
          <w:iCs/>
          <w:sz w:val="24"/>
          <w:szCs w:val="24"/>
        </w:rPr>
        <w:t xml:space="preserve">“The evidence indicates strongly that the current low MACR in England and Wales is unsafe, unjust and harmful to wider society. Yet it can also be argued that preoccupation with the MACR is a red herring. Raising it would do little to alter some of the fundamental flaws in the system; it would merely shield a group of vulnerable children from some aspects of the system. It is evident that radical, long term reform of the youth justice system is necessary to achieve significant improvement in outcomes for the children.” </w:t>
      </w:r>
    </w:p>
    <w:p w14:paraId="79D3A433" w14:textId="240804B4" w:rsidR="4BFA2E28" w:rsidRDefault="4BFA2E28" w:rsidP="00543121">
      <w:pPr>
        <w:spacing w:line="360" w:lineRule="auto"/>
        <w:jc w:val="right"/>
        <w:rPr>
          <w:rFonts w:ascii="Calibri" w:eastAsia="Calibri" w:hAnsi="Calibri" w:cs="Calibri"/>
          <w:sz w:val="24"/>
          <w:szCs w:val="24"/>
          <w:u w:val="single"/>
        </w:rPr>
      </w:pPr>
      <w:r w:rsidRPr="4BFA2E28">
        <w:rPr>
          <w:rFonts w:ascii="Calibri" w:eastAsia="Calibri" w:hAnsi="Calibri" w:cs="Calibri"/>
          <w:sz w:val="24"/>
          <w:szCs w:val="24"/>
          <w:u w:val="single"/>
        </w:rPr>
        <w:t>Youth justice working group (2012)</w:t>
      </w:r>
    </w:p>
    <w:p w14:paraId="1AD3899E" w14:textId="56A783B2" w:rsidR="4BFA2E28" w:rsidRDefault="4BFA2E28" w:rsidP="00543121">
      <w:pPr>
        <w:spacing w:line="360" w:lineRule="auto"/>
        <w:jc w:val="both"/>
        <w:rPr>
          <w:sz w:val="24"/>
          <w:szCs w:val="24"/>
        </w:rPr>
      </w:pPr>
    </w:p>
    <w:p w14:paraId="15E02259" w14:textId="19BE21B3" w:rsidR="4BFA2E28" w:rsidRDefault="4BFA2E28" w:rsidP="00543121">
      <w:pPr>
        <w:spacing w:line="360" w:lineRule="auto"/>
        <w:jc w:val="both"/>
        <w:rPr>
          <w:sz w:val="24"/>
          <w:szCs w:val="24"/>
        </w:rPr>
      </w:pPr>
      <w:r w:rsidRPr="4BFA2E28">
        <w:rPr>
          <w:sz w:val="24"/>
          <w:szCs w:val="24"/>
        </w:rPr>
        <w:t>Children aged below 12 years would best be dealt with outside of the criminal justice system, utilizing a whole family approach that in turn would be more appropriate and effective mentally and emotionally, restorative justice alongside with group family conferencing and interventions would be a key response to less serious offending, local support services would also in turn play a vital role such as CAMHS and child services. Parenting supervision and implementing care orders would widely be available for more serious offending, for the most serious offenders who would be deemed too violent or dangerous for society and members of the public would require protection, detention in a secure accommodation would be available for these who are deemed the most serious offenders (under section 25 of the children act 1989)</w:t>
      </w:r>
    </w:p>
    <w:p w14:paraId="05006004" w14:textId="240804B4" w:rsidR="4BFA2E28" w:rsidRDefault="4BFA2E28" w:rsidP="00543121">
      <w:pPr>
        <w:spacing w:line="360" w:lineRule="auto"/>
        <w:jc w:val="right"/>
        <w:rPr>
          <w:rFonts w:ascii="Calibri" w:eastAsia="Calibri" w:hAnsi="Calibri" w:cs="Calibri"/>
          <w:sz w:val="24"/>
          <w:szCs w:val="24"/>
          <w:u w:val="single"/>
        </w:rPr>
      </w:pPr>
      <w:r w:rsidRPr="4BFA2E28">
        <w:rPr>
          <w:rFonts w:ascii="Calibri" w:eastAsia="Calibri" w:hAnsi="Calibri" w:cs="Calibri"/>
          <w:sz w:val="24"/>
          <w:szCs w:val="24"/>
          <w:u w:val="single"/>
        </w:rPr>
        <w:t>Youth justice working group (2012)</w:t>
      </w:r>
    </w:p>
    <w:p w14:paraId="73FAC179" w14:textId="3A842076" w:rsidR="4BFA2E28" w:rsidRDefault="4BFA2E28" w:rsidP="4BFA2E28">
      <w:pPr>
        <w:jc w:val="both"/>
        <w:rPr>
          <w:sz w:val="24"/>
          <w:szCs w:val="24"/>
        </w:rPr>
      </w:pPr>
    </w:p>
    <w:p w14:paraId="55893E83" w14:textId="7F1FEE0D" w:rsidR="22A70F4C" w:rsidRDefault="22A70F4C" w:rsidP="4BFA2E28">
      <w:pPr>
        <w:jc w:val="both"/>
        <w:rPr>
          <w:sz w:val="24"/>
          <w:szCs w:val="24"/>
        </w:rPr>
      </w:pPr>
    </w:p>
    <w:p w14:paraId="3A061991" w14:textId="42C1EE09" w:rsidR="22A70F4C" w:rsidRDefault="22A70F4C" w:rsidP="22A70F4C">
      <w:pPr>
        <w:jc w:val="both"/>
        <w:rPr>
          <w:sz w:val="24"/>
          <w:szCs w:val="24"/>
        </w:rPr>
      </w:pPr>
    </w:p>
    <w:p w14:paraId="120250C2" w14:textId="561DFBAE" w:rsidR="22A70F4C" w:rsidRDefault="22A70F4C" w:rsidP="22A70F4C">
      <w:pPr>
        <w:jc w:val="both"/>
        <w:rPr>
          <w:sz w:val="24"/>
          <w:szCs w:val="24"/>
        </w:rPr>
      </w:pPr>
    </w:p>
    <w:p w14:paraId="783DEE3C" w14:textId="798CC7C7" w:rsidR="22A70F4C" w:rsidRDefault="22A70F4C" w:rsidP="22A70F4C">
      <w:pPr>
        <w:jc w:val="both"/>
        <w:rPr>
          <w:sz w:val="24"/>
          <w:szCs w:val="24"/>
        </w:rPr>
      </w:pPr>
    </w:p>
    <w:p w14:paraId="013F3B89" w14:textId="0185D2AB" w:rsidR="22A70F4C" w:rsidRDefault="22A70F4C" w:rsidP="22A70F4C">
      <w:pPr>
        <w:jc w:val="both"/>
        <w:rPr>
          <w:sz w:val="24"/>
          <w:szCs w:val="24"/>
        </w:rPr>
      </w:pPr>
    </w:p>
    <w:p w14:paraId="0520512B" w14:textId="36AE8D08" w:rsidR="0035B4EE" w:rsidRDefault="0035B4EE" w:rsidP="4BFA2E28">
      <w:pPr>
        <w:jc w:val="both"/>
        <w:rPr>
          <w:sz w:val="24"/>
          <w:szCs w:val="24"/>
        </w:rPr>
      </w:pPr>
    </w:p>
    <w:p w14:paraId="70608E81" w14:textId="27BAFD79" w:rsidR="22A70F4C" w:rsidRDefault="4BFA2E28" w:rsidP="4BFA2E28">
      <w:pPr>
        <w:jc w:val="both"/>
        <w:rPr>
          <w:rFonts w:eastAsiaTheme="minorEastAsia"/>
          <w:b/>
          <w:bCs/>
          <w:sz w:val="28"/>
          <w:szCs w:val="28"/>
        </w:rPr>
      </w:pPr>
      <w:r w:rsidRPr="00543121">
        <w:rPr>
          <w:rFonts w:eastAsiaTheme="minorEastAsia"/>
          <w:b/>
          <w:bCs/>
          <w:sz w:val="28"/>
          <w:szCs w:val="28"/>
        </w:rPr>
        <w:lastRenderedPageBreak/>
        <w:t>References</w:t>
      </w:r>
      <w:r w:rsidR="00543121">
        <w:rPr>
          <w:rFonts w:eastAsiaTheme="minorEastAsia"/>
          <w:b/>
          <w:bCs/>
          <w:sz w:val="28"/>
          <w:szCs w:val="28"/>
        </w:rPr>
        <w:t>:</w:t>
      </w:r>
      <w:bookmarkStart w:id="0" w:name="_GoBack"/>
      <w:bookmarkEnd w:id="0"/>
    </w:p>
    <w:p w14:paraId="0706B784" w14:textId="77777777" w:rsidR="00543121" w:rsidRPr="00543121" w:rsidRDefault="00543121" w:rsidP="4BFA2E28">
      <w:pPr>
        <w:jc w:val="both"/>
        <w:rPr>
          <w:rFonts w:eastAsiaTheme="minorEastAsia"/>
          <w:b/>
          <w:bCs/>
          <w:sz w:val="28"/>
          <w:szCs w:val="28"/>
        </w:rPr>
      </w:pPr>
    </w:p>
    <w:p w14:paraId="494B93B5" w14:textId="55873F5B" w:rsidR="4BFA2E28" w:rsidRDefault="4BFA2E28" w:rsidP="4BFA2E28">
      <w:pPr>
        <w:pStyle w:val="Heading2"/>
        <w:rPr>
          <w:rFonts w:asciiTheme="minorHAnsi" w:eastAsiaTheme="minorEastAsia" w:hAnsiTheme="minorHAnsi" w:cstheme="minorBidi"/>
          <w:color w:val="auto"/>
          <w:sz w:val="24"/>
          <w:szCs w:val="24"/>
        </w:rPr>
      </w:pPr>
      <w:r w:rsidRPr="4BFA2E28">
        <w:rPr>
          <w:rFonts w:asciiTheme="minorHAnsi" w:eastAsiaTheme="minorEastAsia" w:hAnsiTheme="minorHAnsi" w:cstheme="minorBidi"/>
          <w:sz w:val="24"/>
          <w:szCs w:val="24"/>
        </w:rPr>
        <w:t xml:space="preserve"> </w:t>
      </w:r>
      <w:hyperlink r:id="rId8">
        <w:r w:rsidRPr="4BFA2E28">
          <w:rPr>
            <w:rStyle w:val="Hyperlink"/>
            <w:rFonts w:asciiTheme="minorHAnsi" w:eastAsiaTheme="minorEastAsia" w:hAnsiTheme="minorHAnsi" w:cstheme="minorBidi"/>
            <w:color w:val="auto"/>
            <w:sz w:val="24"/>
            <w:szCs w:val="24"/>
            <w:u w:val="none"/>
          </w:rPr>
          <w:t>Lord Dholakia,</w:t>
        </w:r>
      </w:hyperlink>
      <w:r w:rsidRPr="4BFA2E28">
        <w:rPr>
          <w:rFonts w:asciiTheme="minorHAnsi" w:eastAsiaTheme="minorEastAsia" w:hAnsiTheme="minorHAnsi" w:cstheme="minorBidi"/>
          <w:color w:val="auto"/>
          <w:sz w:val="24"/>
          <w:szCs w:val="24"/>
        </w:rPr>
        <w:t xml:space="preserve"> Age of Criminal Responsibility Bill [HL], Volume 783, (September 2017)</w:t>
      </w:r>
    </w:p>
    <w:p w14:paraId="5E58D60B" w14:textId="51A0633E" w:rsidR="4BFA2E28" w:rsidRDefault="4BFA2E28" w:rsidP="4BFA2E28">
      <w:pPr>
        <w:rPr>
          <w:rFonts w:eastAsiaTheme="minorEastAsia"/>
          <w:sz w:val="24"/>
          <w:szCs w:val="24"/>
        </w:rPr>
      </w:pPr>
    </w:p>
    <w:p w14:paraId="7839D8C1" w14:textId="35E9F697" w:rsidR="4BFA2E28" w:rsidRDefault="4BFA2E28" w:rsidP="4BFA2E28">
      <w:pPr>
        <w:rPr>
          <w:rFonts w:eastAsiaTheme="minorEastAsia"/>
          <w:sz w:val="24"/>
          <w:szCs w:val="24"/>
        </w:rPr>
      </w:pPr>
      <w:r w:rsidRPr="4BFA2E28">
        <w:rPr>
          <w:rFonts w:eastAsiaTheme="minorEastAsia"/>
          <w:sz w:val="24"/>
          <w:szCs w:val="24"/>
        </w:rPr>
        <w:t>https://hansard.parliament.uk/Lords/2017-09-08/debates/D3E4D198-43BB-4B60-9FF0-CFF5B0EA1CB6/AgeOfCriminalResponsibilityBill(HL)</w:t>
      </w:r>
    </w:p>
    <w:p w14:paraId="75D803EF" w14:textId="1A0E0088" w:rsidR="4BFA2E28" w:rsidRDefault="4BFA2E28" w:rsidP="4BFA2E28">
      <w:pPr>
        <w:rPr>
          <w:rFonts w:eastAsiaTheme="minorEastAsia"/>
          <w:sz w:val="24"/>
          <w:szCs w:val="24"/>
        </w:rPr>
      </w:pPr>
      <w:r w:rsidRPr="4BFA2E28">
        <w:rPr>
          <w:rFonts w:eastAsiaTheme="minorEastAsia"/>
          <w:sz w:val="24"/>
          <w:szCs w:val="24"/>
        </w:rPr>
        <w:t>(Accessed: 02</w:t>
      </w:r>
      <w:r w:rsidRPr="4BFA2E28">
        <w:rPr>
          <w:rFonts w:eastAsiaTheme="minorEastAsia"/>
          <w:sz w:val="24"/>
          <w:szCs w:val="24"/>
          <w:vertAlign w:val="superscript"/>
        </w:rPr>
        <w:t>nd</w:t>
      </w:r>
      <w:r w:rsidRPr="4BFA2E28">
        <w:rPr>
          <w:rFonts w:eastAsiaTheme="minorEastAsia"/>
          <w:sz w:val="24"/>
          <w:szCs w:val="24"/>
        </w:rPr>
        <w:t xml:space="preserve"> Oct 2019)</w:t>
      </w:r>
    </w:p>
    <w:p w14:paraId="62FF1CD7" w14:textId="5E0ADE53" w:rsidR="4BFA2E28" w:rsidRDefault="4BFA2E28" w:rsidP="4BFA2E28">
      <w:pPr>
        <w:rPr>
          <w:rFonts w:eastAsiaTheme="minorEastAsia"/>
          <w:sz w:val="24"/>
          <w:szCs w:val="24"/>
        </w:rPr>
      </w:pPr>
    </w:p>
    <w:p w14:paraId="118383EB" w14:textId="6B0F6238" w:rsidR="0035B4EE" w:rsidRDefault="4BFA2E28" w:rsidP="4BFA2E28">
      <w:pPr>
        <w:jc w:val="both"/>
        <w:rPr>
          <w:rFonts w:eastAsiaTheme="minorEastAsia"/>
          <w:sz w:val="24"/>
          <w:szCs w:val="24"/>
        </w:rPr>
      </w:pPr>
      <w:proofErr w:type="spellStart"/>
      <w:r w:rsidRPr="4BFA2E28">
        <w:rPr>
          <w:rFonts w:eastAsiaTheme="minorEastAsia"/>
          <w:sz w:val="24"/>
          <w:szCs w:val="24"/>
        </w:rPr>
        <w:t>Mortin</w:t>
      </w:r>
      <w:proofErr w:type="spellEnd"/>
      <w:r w:rsidRPr="4BFA2E28">
        <w:rPr>
          <w:rFonts w:eastAsiaTheme="minorEastAsia"/>
          <w:sz w:val="24"/>
          <w:szCs w:val="24"/>
        </w:rPr>
        <w:t>, A. (2019) 10-Year-Old Child Development Milestones</w:t>
      </w:r>
    </w:p>
    <w:p w14:paraId="4679CC7F" w14:textId="45823616" w:rsidR="0035B4EE" w:rsidRDefault="4BFA2E28" w:rsidP="4BFA2E28">
      <w:pPr>
        <w:jc w:val="both"/>
        <w:rPr>
          <w:rFonts w:eastAsiaTheme="minorEastAsia"/>
          <w:sz w:val="24"/>
          <w:szCs w:val="24"/>
        </w:rPr>
      </w:pPr>
      <w:r w:rsidRPr="4BFA2E28">
        <w:rPr>
          <w:rFonts w:eastAsiaTheme="minorEastAsia"/>
          <w:sz w:val="24"/>
          <w:szCs w:val="24"/>
        </w:rPr>
        <w:t xml:space="preserve">Available at: </w:t>
      </w:r>
      <w:hyperlink r:id="rId9">
        <w:r w:rsidRPr="4BFA2E28">
          <w:rPr>
            <w:rStyle w:val="Hyperlink"/>
            <w:rFonts w:eastAsiaTheme="minorEastAsia"/>
            <w:sz w:val="24"/>
            <w:szCs w:val="24"/>
          </w:rPr>
          <w:t>https://www.verywellfamily.com/10-year-old-developmental-milestones-620710</w:t>
        </w:r>
      </w:hyperlink>
    </w:p>
    <w:p w14:paraId="51C6ADC5" w14:textId="503512E3" w:rsidR="0035B4EE" w:rsidRDefault="4BFA2E28" w:rsidP="4BFA2E28">
      <w:pPr>
        <w:jc w:val="both"/>
        <w:rPr>
          <w:rFonts w:eastAsiaTheme="minorEastAsia"/>
          <w:sz w:val="24"/>
          <w:szCs w:val="24"/>
        </w:rPr>
      </w:pPr>
      <w:r w:rsidRPr="4BFA2E28">
        <w:rPr>
          <w:rFonts w:eastAsiaTheme="minorEastAsia"/>
          <w:sz w:val="24"/>
          <w:szCs w:val="24"/>
        </w:rPr>
        <w:t>(Accessed: 30th Sept 2019)</w:t>
      </w:r>
    </w:p>
    <w:p w14:paraId="4C6050F8" w14:textId="77E624E2" w:rsidR="0035B4EE" w:rsidRDefault="0035B4EE" w:rsidP="4BFA2E28">
      <w:pPr>
        <w:jc w:val="both"/>
        <w:rPr>
          <w:rFonts w:eastAsiaTheme="minorEastAsia"/>
          <w:sz w:val="24"/>
          <w:szCs w:val="24"/>
        </w:rPr>
      </w:pPr>
    </w:p>
    <w:p w14:paraId="5B4A9C5F" w14:textId="51CFBFB8" w:rsidR="0035B4EE" w:rsidRDefault="4BFA2E28" w:rsidP="4BFA2E28">
      <w:pPr>
        <w:jc w:val="both"/>
        <w:rPr>
          <w:rFonts w:eastAsiaTheme="minorEastAsia"/>
          <w:sz w:val="24"/>
          <w:szCs w:val="24"/>
        </w:rPr>
      </w:pPr>
      <w:r w:rsidRPr="4BFA2E28">
        <w:rPr>
          <w:rFonts w:eastAsiaTheme="minorEastAsia"/>
          <w:sz w:val="24"/>
          <w:szCs w:val="24"/>
        </w:rPr>
        <w:t>Parliamentary Office of Science and Technology, POSTNOTE 577 (June 2018) Age of Criminal Responsibility</w:t>
      </w:r>
    </w:p>
    <w:p w14:paraId="059C7384" w14:textId="2A9E41B8" w:rsidR="0035B4EE" w:rsidRDefault="4BFA2E28" w:rsidP="4BFA2E28">
      <w:pPr>
        <w:jc w:val="both"/>
        <w:rPr>
          <w:rFonts w:eastAsiaTheme="minorEastAsia"/>
          <w:sz w:val="24"/>
          <w:szCs w:val="24"/>
        </w:rPr>
      </w:pPr>
      <w:r w:rsidRPr="4BFA2E28">
        <w:rPr>
          <w:rFonts w:eastAsiaTheme="minorEastAsia"/>
          <w:sz w:val="24"/>
          <w:szCs w:val="24"/>
        </w:rPr>
        <w:t xml:space="preserve">Available at: </w:t>
      </w:r>
      <w:hyperlink r:id="rId10">
        <w:r w:rsidRPr="4BFA2E28">
          <w:rPr>
            <w:rStyle w:val="Hyperlink"/>
            <w:rFonts w:eastAsiaTheme="minorEastAsia"/>
            <w:sz w:val="24"/>
            <w:szCs w:val="24"/>
            <w:u w:val="none"/>
          </w:rPr>
          <w:t>https://yjlc.uk/wp-content/uploads/2018/06/ACR.pdf</w:t>
        </w:r>
      </w:hyperlink>
    </w:p>
    <w:p w14:paraId="0002F63A" w14:textId="64E21964" w:rsidR="0035B4EE" w:rsidRDefault="4BFA2E28" w:rsidP="4BFA2E28">
      <w:pPr>
        <w:jc w:val="both"/>
        <w:rPr>
          <w:rFonts w:eastAsiaTheme="minorEastAsia"/>
          <w:sz w:val="24"/>
          <w:szCs w:val="24"/>
        </w:rPr>
      </w:pPr>
      <w:r w:rsidRPr="4BFA2E28">
        <w:rPr>
          <w:rFonts w:eastAsiaTheme="minorEastAsia"/>
          <w:sz w:val="24"/>
          <w:szCs w:val="24"/>
        </w:rPr>
        <w:t>(Accessed: 30</w:t>
      </w:r>
      <w:r w:rsidRPr="4BFA2E28">
        <w:rPr>
          <w:rFonts w:eastAsiaTheme="minorEastAsia"/>
          <w:sz w:val="24"/>
          <w:szCs w:val="24"/>
          <w:vertAlign w:val="superscript"/>
        </w:rPr>
        <w:t>th</w:t>
      </w:r>
      <w:r w:rsidRPr="4BFA2E28">
        <w:rPr>
          <w:rFonts w:eastAsiaTheme="minorEastAsia"/>
          <w:sz w:val="24"/>
          <w:szCs w:val="24"/>
        </w:rPr>
        <w:t xml:space="preserve"> Sept 2019)</w:t>
      </w:r>
    </w:p>
    <w:p w14:paraId="6ADEFD90" w14:textId="2DB68033" w:rsidR="4BFA2E28" w:rsidRDefault="4BFA2E28" w:rsidP="4BFA2E28">
      <w:pPr>
        <w:jc w:val="both"/>
        <w:rPr>
          <w:rFonts w:eastAsiaTheme="minorEastAsia"/>
          <w:sz w:val="24"/>
          <w:szCs w:val="24"/>
        </w:rPr>
      </w:pPr>
    </w:p>
    <w:p w14:paraId="5B3DA666" w14:textId="34F3ADA7" w:rsidR="4BFA2E28" w:rsidRDefault="4BFA2E28" w:rsidP="4BFA2E28">
      <w:pPr>
        <w:rPr>
          <w:rFonts w:eastAsiaTheme="minorEastAsia"/>
          <w:sz w:val="24"/>
          <w:szCs w:val="24"/>
        </w:rPr>
      </w:pPr>
      <w:r w:rsidRPr="4BFA2E28">
        <w:rPr>
          <w:rFonts w:eastAsiaTheme="minorEastAsia"/>
          <w:sz w:val="24"/>
          <w:szCs w:val="24"/>
        </w:rPr>
        <w:t xml:space="preserve">Rules of </w:t>
      </w:r>
      <w:proofErr w:type="spellStart"/>
      <w:r w:rsidRPr="4BFA2E28">
        <w:rPr>
          <w:rFonts w:eastAsiaTheme="minorEastAsia"/>
          <w:sz w:val="24"/>
          <w:szCs w:val="24"/>
        </w:rPr>
        <w:t>Engagment</w:t>
      </w:r>
      <w:proofErr w:type="spellEnd"/>
      <w:r w:rsidRPr="4BFA2E28">
        <w:rPr>
          <w:rFonts w:eastAsiaTheme="minorEastAsia"/>
          <w:sz w:val="24"/>
          <w:szCs w:val="24"/>
        </w:rPr>
        <w:t>, changing the heart of the youth justice, p210 (January 2012)</w:t>
      </w:r>
    </w:p>
    <w:p w14:paraId="2F6014D4" w14:textId="603F7107" w:rsidR="4BFA2E28" w:rsidRDefault="4BFA2E28" w:rsidP="4BFA2E28">
      <w:pPr>
        <w:rPr>
          <w:rFonts w:eastAsiaTheme="minorEastAsia"/>
          <w:sz w:val="24"/>
          <w:szCs w:val="24"/>
        </w:rPr>
      </w:pPr>
      <w:r w:rsidRPr="4BFA2E28">
        <w:rPr>
          <w:rFonts w:eastAsiaTheme="minorEastAsia"/>
          <w:sz w:val="24"/>
          <w:szCs w:val="24"/>
        </w:rPr>
        <w:t>Youth Justice working group</w:t>
      </w:r>
    </w:p>
    <w:p w14:paraId="19BF8E5C" w14:textId="2E821A7A" w:rsidR="4BFA2E28" w:rsidRDefault="00543121" w:rsidP="4BFA2E28">
      <w:pPr>
        <w:rPr>
          <w:rFonts w:eastAsiaTheme="minorEastAsia"/>
          <w:sz w:val="24"/>
          <w:szCs w:val="24"/>
        </w:rPr>
      </w:pPr>
      <w:hyperlink r:id="rId11">
        <w:r w:rsidR="4BFA2E28" w:rsidRPr="4BFA2E28">
          <w:rPr>
            <w:rStyle w:val="Hyperlink"/>
            <w:rFonts w:eastAsiaTheme="minorEastAsia"/>
            <w:sz w:val="24"/>
            <w:szCs w:val="24"/>
          </w:rPr>
          <w:t>https://www.centreforsocialjustice.org.uk/core/wp-content/uploads/2016/08/CSJ_Youth_Justice_Full_Report.pdf</w:t>
        </w:r>
      </w:hyperlink>
      <w:r w:rsidR="4BFA2E28" w:rsidRPr="4BFA2E28">
        <w:rPr>
          <w:rFonts w:eastAsiaTheme="minorEastAsia"/>
          <w:sz w:val="24"/>
          <w:szCs w:val="24"/>
        </w:rPr>
        <w:t xml:space="preserve"> </w:t>
      </w:r>
    </w:p>
    <w:p w14:paraId="58AC0410" w14:textId="5AA34B11" w:rsidR="4BFA2E28" w:rsidRDefault="4BFA2E28" w:rsidP="4BFA2E28">
      <w:pPr>
        <w:rPr>
          <w:rFonts w:eastAsiaTheme="minorEastAsia"/>
          <w:sz w:val="24"/>
          <w:szCs w:val="24"/>
        </w:rPr>
      </w:pPr>
      <w:r w:rsidRPr="4BFA2E28">
        <w:rPr>
          <w:rFonts w:eastAsiaTheme="minorEastAsia"/>
          <w:sz w:val="24"/>
          <w:szCs w:val="24"/>
        </w:rPr>
        <w:t>(Accessed: 02</w:t>
      </w:r>
      <w:r w:rsidRPr="4BFA2E28">
        <w:rPr>
          <w:rFonts w:eastAsiaTheme="minorEastAsia"/>
          <w:sz w:val="24"/>
          <w:szCs w:val="24"/>
          <w:vertAlign w:val="superscript"/>
        </w:rPr>
        <w:t>nd</w:t>
      </w:r>
      <w:r w:rsidRPr="4BFA2E28">
        <w:rPr>
          <w:rFonts w:eastAsiaTheme="minorEastAsia"/>
          <w:sz w:val="24"/>
          <w:szCs w:val="24"/>
        </w:rPr>
        <w:t xml:space="preserve"> Oct 2019)</w:t>
      </w:r>
    </w:p>
    <w:p w14:paraId="7C168730" w14:textId="48058B3F" w:rsidR="4BFA2E28" w:rsidRDefault="4BFA2E28" w:rsidP="4BFA2E28">
      <w:pPr>
        <w:jc w:val="both"/>
        <w:rPr>
          <w:rFonts w:eastAsiaTheme="minorEastAsia"/>
          <w:sz w:val="24"/>
          <w:szCs w:val="24"/>
        </w:rPr>
      </w:pPr>
    </w:p>
    <w:p w14:paraId="6B3CEFC5" w14:textId="013E2FED" w:rsidR="0035B4EE" w:rsidRDefault="4BFA2E28" w:rsidP="4BFA2E28">
      <w:pPr>
        <w:jc w:val="both"/>
        <w:rPr>
          <w:rFonts w:eastAsiaTheme="minorEastAsia"/>
          <w:sz w:val="24"/>
          <w:szCs w:val="24"/>
        </w:rPr>
      </w:pPr>
      <w:r w:rsidRPr="4BFA2E28">
        <w:rPr>
          <w:rFonts w:eastAsiaTheme="minorEastAsia"/>
          <w:sz w:val="24"/>
          <w:szCs w:val="24"/>
        </w:rPr>
        <w:t>The Royal Society Brain Waves Module 4: Neuroscience and the law (December 2011)</w:t>
      </w:r>
    </w:p>
    <w:p w14:paraId="34F1D22B" w14:textId="09F1473F" w:rsidR="0035B4EE" w:rsidRDefault="4BFA2E28" w:rsidP="4BFA2E28">
      <w:pPr>
        <w:jc w:val="both"/>
        <w:rPr>
          <w:rFonts w:eastAsiaTheme="minorEastAsia"/>
          <w:sz w:val="24"/>
          <w:szCs w:val="24"/>
        </w:rPr>
      </w:pPr>
      <w:r w:rsidRPr="4BFA2E28">
        <w:rPr>
          <w:rFonts w:eastAsiaTheme="minorEastAsia"/>
          <w:sz w:val="24"/>
          <w:szCs w:val="24"/>
        </w:rPr>
        <w:t xml:space="preserve">Available at: </w:t>
      </w:r>
      <w:hyperlink r:id="rId12">
        <w:r w:rsidRPr="4BFA2E28">
          <w:rPr>
            <w:rStyle w:val="Hyperlink"/>
            <w:rFonts w:eastAsiaTheme="minorEastAsia"/>
            <w:sz w:val="24"/>
            <w:szCs w:val="24"/>
            <w:u w:val="none"/>
          </w:rPr>
          <w:t>https://royalsociety.org/~/media/Royal_Society_Content/policy/projects/brain-waves/Brain-Waves-4.pdf</w:t>
        </w:r>
      </w:hyperlink>
    </w:p>
    <w:p w14:paraId="167FB7B4" w14:textId="6C856080" w:rsidR="0035B4EE" w:rsidRDefault="4BFA2E28" w:rsidP="4BFA2E28">
      <w:pPr>
        <w:jc w:val="both"/>
        <w:rPr>
          <w:rFonts w:eastAsiaTheme="minorEastAsia"/>
          <w:sz w:val="24"/>
          <w:szCs w:val="24"/>
        </w:rPr>
      </w:pPr>
      <w:r w:rsidRPr="4BFA2E28">
        <w:rPr>
          <w:rFonts w:eastAsiaTheme="minorEastAsia"/>
          <w:sz w:val="24"/>
          <w:szCs w:val="24"/>
        </w:rPr>
        <w:t>(Accessed: 30</w:t>
      </w:r>
      <w:r w:rsidRPr="4BFA2E28">
        <w:rPr>
          <w:rFonts w:eastAsiaTheme="minorEastAsia"/>
          <w:sz w:val="24"/>
          <w:szCs w:val="24"/>
          <w:vertAlign w:val="superscript"/>
        </w:rPr>
        <w:t>th</w:t>
      </w:r>
      <w:r w:rsidRPr="4BFA2E28">
        <w:rPr>
          <w:rFonts w:eastAsiaTheme="minorEastAsia"/>
          <w:sz w:val="24"/>
          <w:szCs w:val="24"/>
        </w:rPr>
        <w:t xml:space="preserve"> Sept 2019)</w:t>
      </w:r>
    </w:p>
    <w:p w14:paraId="4F5CFBD9" w14:textId="0A7F7220" w:rsidR="4BFA2E28" w:rsidRDefault="4BFA2E28" w:rsidP="4BFA2E28">
      <w:pPr>
        <w:jc w:val="both"/>
        <w:rPr>
          <w:rFonts w:eastAsiaTheme="minorEastAsia"/>
          <w:sz w:val="24"/>
          <w:szCs w:val="24"/>
        </w:rPr>
      </w:pPr>
    </w:p>
    <w:p w14:paraId="5C15EB50" w14:textId="043FA7AA" w:rsidR="4BFA2E28" w:rsidRDefault="4BFA2E28" w:rsidP="4BFA2E28">
      <w:pPr>
        <w:jc w:val="both"/>
        <w:rPr>
          <w:rFonts w:eastAsiaTheme="minorEastAsia"/>
          <w:sz w:val="24"/>
          <w:szCs w:val="24"/>
        </w:rPr>
      </w:pPr>
    </w:p>
    <w:p w14:paraId="47C62415" w14:textId="34D9C2D9" w:rsidR="3D07AB0C" w:rsidRDefault="3D07AB0C" w:rsidP="4BFA2E28">
      <w:pPr>
        <w:jc w:val="both"/>
        <w:rPr>
          <w:rFonts w:eastAsiaTheme="minorEastAsia"/>
          <w:sz w:val="24"/>
          <w:szCs w:val="24"/>
        </w:rPr>
      </w:pPr>
    </w:p>
    <w:p w14:paraId="1248698B" w14:textId="664967F0" w:rsidR="3D07AB0C" w:rsidRDefault="4BFA2E28" w:rsidP="4BFA2E28">
      <w:pPr>
        <w:jc w:val="both"/>
        <w:rPr>
          <w:rFonts w:eastAsiaTheme="minorEastAsia"/>
          <w:sz w:val="24"/>
          <w:szCs w:val="24"/>
        </w:rPr>
      </w:pPr>
      <w:r w:rsidRPr="4BFA2E28">
        <w:rPr>
          <w:rFonts w:eastAsiaTheme="minorEastAsia"/>
          <w:sz w:val="24"/>
          <w:szCs w:val="24"/>
        </w:rPr>
        <w:t xml:space="preserve">Vizard E, Presentation on how do we know if young defendants are developmentally fit to plead to criminal charges – the evidence base, Report on the Young Defendants Conference (2009), London: Michael </w:t>
      </w:r>
      <w:proofErr w:type="spellStart"/>
      <w:r w:rsidRPr="4BFA2E28">
        <w:rPr>
          <w:rFonts w:eastAsiaTheme="minorEastAsia"/>
          <w:sz w:val="24"/>
          <w:szCs w:val="24"/>
        </w:rPr>
        <w:t>Sieff</w:t>
      </w:r>
      <w:proofErr w:type="spellEnd"/>
      <w:r w:rsidRPr="4BFA2E28">
        <w:rPr>
          <w:rFonts w:eastAsiaTheme="minorEastAsia"/>
          <w:sz w:val="24"/>
          <w:szCs w:val="24"/>
        </w:rPr>
        <w:t xml:space="preserve"> Foundation, (2009) Downes D and Morgan R, op. cit., p5 Vizard E, op. cit., p8</w:t>
      </w:r>
    </w:p>
    <w:p w14:paraId="7C4A9EFC" w14:textId="0E8077F0" w:rsidR="3D07AB0C" w:rsidRDefault="4BFA2E28" w:rsidP="4BFA2E28">
      <w:pPr>
        <w:jc w:val="both"/>
        <w:rPr>
          <w:rFonts w:eastAsiaTheme="minorEastAsia"/>
          <w:sz w:val="24"/>
          <w:szCs w:val="24"/>
        </w:rPr>
      </w:pPr>
      <w:r w:rsidRPr="4BFA2E28">
        <w:rPr>
          <w:rFonts w:eastAsiaTheme="minorEastAsia"/>
          <w:sz w:val="24"/>
          <w:szCs w:val="24"/>
        </w:rPr>
        <w:t xml:space="preserve">Available at http://www.michaelsieff-foundation.org.uk/content/Report%204%20-%20Eileen%20Vizard%27s%20presentation.pdf </w:t>
      </w:r>
    </w:p>
    <w:p w14:paraId="79D96090" w14:textId="0D15A32D" w:rsidR="3D07AB0C" w:rsidRDefault="4BFA2E28" w:rsidP="4BFA2E28">
      <w:pPr>
        <w:jc w:val="both"/>
        <w:rPr>
          <w:rFonts w:eastAsiaTheme="minorEastAsia"/>
          <w:sz w:val="24"/>
          <w:szCs w:val="24"/>
        </w:rPr>
      </w:pPr>
      <w:r w:rsidRPr="4BFA2E28">
        <w:rPr>
          <w:rFonts w:eastAsiaTheme="minorEastAsia"/>
          <w:sz w:val="24"/>
          <w:szCs w:val="24"/>
        </w:rPr>
        <w:t>(Accessed:01</w:t>
      </w:r>
      <w:r w:rsidRPr="4BFA2E28">
        <w:rPr>
          <w:rFonts w:eastAsiaTheme="minorEastAsia"/>
          <w:sz w:val="24"/>
          <w:szCs w:val="24"/>
          <w:vertAlign w:val="superscript"/>
        </w:rPr>
        <w:t>st</w:t>
      </w:r>
      <w:r w:rsidRPr="4BFA2E28">
        <w:rPr>
          <w:rFonts w:eastAsiaTheme="minorEastAsia"/>
          <w:sz w:val="24"/>
          <w:szCs w:val="24"/>
        </w:rPr>
        <w:t xml:space="preserve"> Oct 2019)</w:t>
      </w:r>
    </w:p>
    <w:p w14:paraId="4E1ADB7A" w14:textId="4B35A937" w:rsidR="4BFA2E28" w:rsidRDefault="4BFA2E28" w:rsidP="4BFA2E28">
      <w:pPr>
        <w:jc w:val="both"/>
        <w:rPr>
          <w:rFonts w:eastAsiaTheme="minorEastAsia"/>
          <w:sz w:val="24"/>
          <w:szCs w:val="24"/>
        </w:rPr>
      </w:pPr>
    </w:p>
    <w:p w14:paraId="30054CD1" w14:textId="5E42A30E" w:rsidR="4BFA2E28" w:rsidRDefault="4BFA2E28" w:rsidP="4BFA2E28">
      <w:pPr>
        <w:jc w:val="both"/>
        <w:rPr>
          <w:rFonts w:eastAsiaTheme="minorEastAsia"/>
          <w:sz w:val="24"/>
          <w:szCs w:val="24"/>
        </w:rPr>
      </w:pPr>
    </w:p>
    <w:p w14:paraId="276DC834" w14:textId="70B20383" w:rsidR="4BFA2E28" w:rsidRDefault="4BFA2E28" w:rsidP="4BFA2E28">
      <w:pPr>
        <w:jc w:val="both"/>
        <w:rPr>
          <w:rFonts w:eastAsiaTheme="minorEastAsia"/>
          <w:sz w:val="24"/>
          <w:szCs w:val="24"/>
        </w:rPr>
      </w:pPr>
    </w:p>
    <w:p w14:paraId="533C5824" w14:textId="4F76AC0A" w:rsidR="4BFA2E28" w:rsidRDefault="4BFA2E28" w:rsidP="4BFA2E28">
      <w:pPr>
        <w:jc w:val="both"/>
        <w:rPr>
          <w:rFonts w:eastAsiaTheme="minorEastAsia"/>
          <w:sz w:val="24"/>
          <w:szCs w:val="24"/>
        </w:rPr>
      </w:pPr>
    </w:p>
    <w:p w14:paraId="68A3B9DF" w14:textId="1478C897" w:rsidR="4BFA2E28" w:rsidRDefault="4BFA2E28" w:rsidP="4BFA2E28">
      <w:pPr>
        <w:jc w:val="both"/>
        <w:rPr>
          <w:rFonts w:eastAsiaTheme="minorEastAsia"/>
          <w:sz w:val="24"/>
          <w:szCs w:val="24"/>
        </w:rPr>
      </w:pPr>
    </w:p>
    <w:p w14:paraId="02F8A32B" w14:textId="09A2897D" w:rsidR="4BFA2E28" w:rsidRDefault="4BFA2E28" w:rsidP="4BFA2E28">
      <w:pPr>
        <w:jc w:val="both"/>
        <w:rPr>
          <w:rFonts w:eastAsiaTheme="minorEastAsia"/>
          <w:sz w:val="24"/>
          <w:szCs w:val="24"/>
        </w:rPr>
      </w:pPr>
    </w:p>
    <w:p w14:paraId="366C3513" w14:textId="1C6A072F" w:rsidR="4BFA2E28" w:rsidRDefault="4BFA2E28" w:rsidP="4BFA2E28"/>
    <w:p w14:paraId="68AC80AA" w14:textId="0F973A57" w:rsidR="4BFA2E28" w:rsidRDefault="4BFA2E28" w:rsidP="4BFA2E28"/>
    <w:p w14:paraId="606E3703" w14:textId="5B5C3610" w:rsidR="4BFA2E28" w:rsidRDefault="4BFA2E28" w:rsidP="4BFA2E28">
      <w:pPr>
        <w:jc w:val="both"/>
        <w:rPr>
          <w:rFonts w:ascii="sans-serif" w:eastAsia="sans-serif" w:hAnsi="sans-serif" w:cs="sans-serif"/>
        </w:rPr>
      </w:pPr>
    </w:p>
    <w:sectPr w:rsidR="4BFA2E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ns-serif">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87D40"/>
    <w:multiLevelType w:val="hybridMultilevel"/>
    <w:tmpl w:val="FFFFFFFF"/>
    <w:lvl w:ilvl="0" w:tplc="81DEB016">
      <w:start w:val="1"/>
      <w:numFmt w:val="decimal"/>
      <w:lvlText w:val="%1."/>
      <w:lvlJc w:val="left"/>
      <w:pPr>
        <w:ind w:left="720" w:hanging="360"/>
      </w:pPr>
    </w:lvl>
    <w:lvl w:ilvl="1" w:tplc="BFC0D4BE">
      <w:start w:val="1"/>
      <w:numFmt w:val="lowerLetter"/>
      <w:lvlText w:val="%2."/>
      <w:lvlJc w:val="left"/>
      <w:pPr>
        <w:ind w:left="1440" w:hanging="360"/>
      </w:pPr>
    </w:lvl>
    <w:lvl w:ilvl="2" w:tplc="34F4DE5C">
      <w:start w:val="1"/>
      <w:numFmt w:val="lowerRoman"/>
      <w:lvlText w:val="%3."/>
      <w:lvlJc w:val="right"/>
      <w:pPr>
        <w:ind w:left="2160" w:hanging="180"/>
      </w:pPr>
    </w:lvl>
    <w:lvl w:ilvl="3" w:tplc="2ABCEE6E">
      <w:start w:val="1"/>
      <w:numFmt w:val="decimal"/>
      <w:lvlText w:val="%4."/>
      <w:lvlJc w:val="left"/>
      <w:pPr>
        <w:ind w:left="2880" w:hanging="360"/>
      </w:pPr>
    </w:lvl>
    <w:lvl w:ilvl="4" w:tplc="A4DE4A1A">
      <w:start w:val="1"/>
      <w:numFmt w:val="lowerLetter"/>
      <w:lvlText w:val="%5."/>
      <w:lvlJc w:val="left"/>
      <w:pPr>
        <w:ind w:left="3600" w:hanging="360"/>
      </w:pPr>
    </w:lvl>
    <w:lvl w:ilvl="5" w:tplc="2DBAC652">
      <w:start w:val="1"/>
      <w:numFmt w:val="lowerRoman"/>
      <w:lvlText w:val="%6."/>
      <w:lvlJc w:val="right"/>
      <w:pPr>
        <w:ind w:left="4320" w:hanging="180"/>
      </w:pPr>
    </w:lvl>
    <w:lvl w:ilvl="6" w:tplc="BEAA30EE">
      <w:start w:val="1"/>
      <w:numFmt w:val="decimal"/>
      <w:lvlText w:val="%7."/>
      <w:lvlJc w:val="left"/>
      <w:pPr>
        <w:ind w:left="5040" w:hanging="360"/>
      </w:pPr>
    </w:lvl>
    <w:lvl w:ilvl="7" w:tplc="A9107558">
      <w:start w:val="1"/>
      <w:numFmt w:val="lowerLetter"/>
      <w:lvlText w:val="%8."/>
      <w:lvlJc w:val="left"/>
      <w:pPr>
        <w:ind w:left="5760" w:hanging="360"/>
      </w:pPr>
    </w:lvl>
    <w:lvl w:ilvl="8" w:tplc="3724C0A2">
      <w:start w:val="1"/>
      <w:numFmt w:val="lowerRoman"/>
      <w:lvlText w:val="%9."/>
      <w:lvlJc w:val="right"/>
      <w:pPr>
        <w:ind w:left="6480" w:hanging="180"/>
      </w:pPr>
    </w:lvl>
  </w:abstractNum>
  <w:abstractNum w:abstractNumId="1" w15:restartNumberingAfterBreak="0">
    <w:nsid w:val="11D14069"/>
    <w:multiLevelType w:val="hybridMultilevel"/>
    <w:tmpl w:val="FFFFFFFF"/>
    <w:lvl w:ilvl="0" w:tplc="555883F4">
      <w:start w:val="1"/>
      <w:numFmt w:val="decimal"/>
      <w:lvlText w:val="%1."/>
      <w:lvlJc w:val="left"/>
      <w:pPr>
        <w:ind w:left="720" w:hanging="360"/>
      </w:pPr>
    </w:lvl>
    <w:lvl w:ilvl="1" w:tplc="91F4A436">
      <w:start w:val="1"/>
      <w:numFmt w:val="lowerLetter"/>
      <w:lvlText w:val="%2."/>
      <w:lvlJc w:val="left"/>
      <w:pPr>
        <w:ind w:left="1440" w:hanging="360"/>
      </w:pPr>
    </w:lvl>
    <w:lvl w:ilvl="2" w:tplc="171873A2">
      <w:start w:val="1"/>
      <w:numFmt w:val="lowerRoman"/>
      <w:lvlText w:val="%3."/>
      <w:lvlJc w:val="right"/>
      <w:pPr>
        <w:ind w:left="2160" w:hanging="180"/>
      </w:pPr>
    </w:lvl>
    <w:lvl w:ilvl="3" w:tplc="79D668B8">
      <w:start w:val="1"/>
      <w:numFmt w:val="decimal"/>
      <w:lvlText w:val="%4."/>
      <w:lvlJc w:val="left"/>
      <w:pPr>
        <w:ind w:left="2880" w:hanging="360"/>
      </w:pPr>
    </w:lvl>
    <w:lvl w:ilvl="4" w:tplc="D8C20820">
      <w:start w:val="1"/>
      <w:numFmt w:val="lowerLetter"/>
      <w:lvlText w:val="%5."/>
      <w:lvlJc w:val="left"/>
      <w:pPr>
        <w:ind w:left="3600" w:hanging="360"/>
      </w:pPr>
    </w:lvl>
    <w:lvl w:ilvl="5" w:tplc="2F1C8F5E">
      <w:start w:val="1"/>
      <w:numFmt w:val="lowerRoman"/>
      <w:lvlText w:val="%6."/>
      <w:lvlJc w:val="right"/>
      <w:pPr>
        <w:ind w:left="4320" w:hanging="180"/>
      </w:pPr>
    </w:lvl>
    <w:lvl w:ilvl="6" w:tplc="6D0017E2">
      <w:start w:val="1"/>
      <w:numFmt w:val="decimal"/>
      <w:lvlText w:val="%7."/>
      <w:lvlJc w:val="left"/>
      <w:pPr>
        <w:ind w:left="5040" w:hanging="360"/>
      </w:pPr>
    </w:lvl>
    <w:lvl w:ilvl="7" w:tplc="85FC9F42">
      <w:start w:val="1"/>
      <w:numFmt w:val="lowerLetter"/>
      <w:lvlText w:val="%8."/>
      <w:lvlJc w:val="left"/>
      <w:pPr>
        <w:ind w:left="5760" w:hanging="360"/>
      </w:pPr>
    </w:lvl>
    <w:lvl w:ilvl="8" w:tplc="39AE54A6">
      <w:start w:val="1"/>
      <w:numFmt w:val="lowerRoman"/>
      <w:lvlText w:val="%9."/>
      <w:lvlJc w:val="right"/>
      <w:pPr>
        <w:ind w:left="6480" w:hanging="180"/>
      </w:pPr>
    </w:lvl>
  </w:abstractNum>
  <w:abstractNum w:abstractNumId="2" w15:restartNumberingAfterBreak="0">
    <w:nsid w:val="3D6C1FDB"/>
    <w:multiLevelType w:val="hybridMultilevel"/>
    <w:tmpl w:val="FFFFFFFF"/>
    <w:lvl w:ilvl="0" w:tplc="A41425FA">
      <w:start w:val="1"/>
      <w:numFmt w:val="decimal"/>
      <w:lvlText w:val="%1."/>
      <w:lvlJc w:val="left"/>
      <w:pPr>
        <w:ind w:left="720" w:hanging="360"/>
      </w:pPr>
    </w:lvl>
    <w:lvl w:ilvl="1" w:tplc="693EC9AC">
      <w:start w:val="1"/>
      <w:numFmt w:val="lowerLetter"/>
      <w:lvlText w:val="%2."/>
      <w:lvlJc w:val="left"/>
      <w:pPr>
        <w:ind w:left="1440" w:hanging="360"/>
      </w:pPr>
    </w:lvl>
    <w:lvl w:ilvl="2" w:tplc="7CCAEEF6">
      <w:start w:val="1"/>
      <w:numFmt w:val="lowerRoman"/>
      <w:lvlText w:val="%3."/>
      <w:lvlJc w:val="right"/>
      <w:pPr>
        <w:ind w:left="2160" w:hanging="180"/>
      </w:pPr>
    </w:lvl>
    <w:lvl w:ilvl="3" w:tplc="E696C1C8">
      <w:start w:val="1"/>
      <w:numFmt w:val="decimal"/>
      <w:lvlText w:val="%4."/>
      <w:lvlJc w:val="left"/>
      <w:pPr>
        <w:ind w:left="2880" w:hanging="360"/>
      </w:pPr>
    </w:lvl>
    <w:lvl w:ilvl="4" w:tplc="A3E88EBA">
      <w:start w:val="1"/>
      <w:numFmt w:val="lowerLetter"/>
      <w:lvlText w:val="%5."/>
      <w:lvlJc w:val="left"/>
      <w:pPr>
        <w:ind w:left="3600" w:hanging="360"/>
      </w:pPr>
    </w:lvl>
    <w:lvl w:ilvl="5" w:tplc="00AABA20">
      <w:start w:val="1"/>
      <w:numFmt w:val="lowerRoman"/>
      <w:lvlText w:val="%6."/>
      <w:lvlJc w:val="right"/>
      <w:pPr>
        <w:ind w:left="4320" w:hanging="180"/>
      </w:pPr>
    </w:lvl>
    <w:lvl w:ilvl="6" w:tplc="E2A690A6">
      <w:start w:val="1"/>
      <w:numFmt w:val="decimal"/>
      <w:lvlText w:val="%7."/>
      <w:lvlJc w:val="left"/>
      <w:pPr>
        <w:ind w:left="5040" w:hanging="360"/>
      </w:pPr>
    </w:lvl>
    <w:lvl w:ilvl="7" w:tplc="B3101446">
      <w:start w:val="1"/>
      <w:numFmt w:val="lowerLetter"/>
      <w:lvlText w:val="%8."/>
      <w:lvlJc w:val="left"/>
      <w:pPr>
        <w:ind w:left="5760" w:hanging="360"/>
      </w:pPr>
    </w:lvl>
    <w:lvl w:ilvl="8" w:tplc="254EA562">
      <w:start w:val="1"/>
      <w:numFmt w:val="lowerRoman"/>
      <w:lvlText w:val="%9."/>
      <w:lvlJc w:val="right"/>
      <w:pPr>
        <w:ind w:left="6480" w:hanging="180"/>
      </w:pPr>
    </w:lvl>
  </w:abstractNum>
  <w:abstractNum w:abstractNumId="3" w15:restartNumberingAfterBreak="0">
    <w:nsid w:val="3E685D0B"/>
    <w:multiLevelType w:val="hybridMultilevel"/>
    <w:tmpl w:val="FFFFFFFF"/>
    <w:lvl w:ilvl="0" w:tplc="92C4FB84">
      <w:start w:val="1"/>
      <w:numFmt w:val="decimal"/>
      <w:lvlText w:val="%1."/>
      <w:lvlJc w:val="left"/>
      <w:pPr>
        <w:ind w:left="720" w:hanging="360"/>
      </w:pPr>
    </w:lvl>
    <w:lvl w:ilvl="1" w:tplc="A0289F7E">
      <w:start w:val="1"/>
      <w:numFmt w:val="lowerLetter"/>
      <w:lvlText w:val="%2."/>
      <w:lvlJc w:val="left"/>
      <w:pPr>
        <w:ind w:left="1440" w:hanging="360"/>
      </w:pPr>
    </w:lvl>
    <w:lvl w:ilvl="2" w:tplc="1B54A91A">
      <w:start w:val="1"/>
      <w:numFmt w:val="lowerRoman"/>
      <w:lvlText w:val="%3."/>
      <w:lvlJc w:val="right"/>
      <w:pPr>
        <w:ind w:left="2160" w:hanging="180"/>
      </w:pPr>
    </w:lvl>
    <w:lvl w:ilvl="3" w:tplc="CB32C8D8">
      <w:start w:val="1"/>
      <w:numFmt w:val="decimal"/>
      <w:lvlText w:val="%4."/>
      <w:lvlJc w:val="left"/>
      <w:pPr>
        <w:ind w:left="2880" w:hanging="360"/>
      </w:pPr>
    </w:lvl>
    <w:lvl w:ilvl="4" w:tplc="BD40CFC0">
      <w:start w:val="1"/>
      <w:numFmt w:val="lowerLetter"/>
      <w:lvlText w:val="%5."/>
      <w:lvlJc w:val="left"/>
      <w:pPr>
        <w:ind w:left="3600" w:hanging="360"/>
      </w:pPr>
    </w:lvl>
    <w:lvl w:ilvl="5" w:tplc="97041A30">
      <w:start w:val="1"/>
      <w:numFmt w:val="lowerRoman"/>
      <w:lvlText w:val="%6."/>
      <w:lvlJc w:val="right"/>
      <w:pPr>
        <w:ind w:left="4320" w:hanging="180"/>
      </w:pPr>
    </w:lvl>
    <w:lvl w:ilvl="6" w:tplc="15748754">
      <w:start w:val="1"/>
      <w:numFmt w:val="decimal"/>
      <w:lvlText w:val="%7."/>
      <w:lvlJc w:val="left"/>
      <w:pPr>
        <w:ind w:left="5040" w:hanging="360"/>
      </w:pPr>
    </w:lvl>
    <w:lvl w:ilvl="7" w:tplc="3D203E60">
      <w:start w:val="1"/>
      <w:numFmt w:val="lowerLetter"/>
      <w:lvlText w:val="%8."/>
      <w:lvlJc w:val="left"/>
      <w:pPr>
        <w:ind w:left="5760" w:hanging="360"/>
      </w:pPr>
    </w:lvl>
    <w:lvl w:ilvl="8" w:tplc="7A2A07C8">
      <w:start w:val="1"/>
      <w:numFmt w:val="lowerRoman"/>
      <w:lvlText w:val="%9."/>
      <w:lvlJc w:val="right"/>
      <w:pPr>
        <w:ind w:left="6480" w:hanging="180"/>
      </w:pPr>
    </w:lvl>
  </w:abstractNum>
  <w:abstractNum w:abstractNumId="4" w15:restartNumberingAfterBreak="0">
    <w:nsid w:val="40E13186"/>
    <w:multiLevelType w:val="hybridMultilevel"/>
    <w:tmpl w:val="FFFFFFFF"/>
    <w:lvl w:ilvl="0" w:tplc="1B2A9B0A">
      <w:start w:val="1"/>
      <w:numFmt w:val="decimal"/>
      <w:lvlText w:val="%1."/>
      <w:lvlJc w:val="left"/>
      <w:pPr>
        <w:ind w:left="720" w:hanging="360"/>
      </w:pPr>
    </w:lvl>
    <w:lvl w:ilvl="1" w:tplc="470600C8">
      <w:start w:val="1"/>
      <w:numFmt w:val="lowerLetter"/>
      <w:lvlText w:val="%2."/>
      <w:lvlJc w:val="left"/>
      <w:pPr>
        <w:ind w:left="1440" w:hanging="360"/>
      </w:pPr>
    </w:lvl>
    <w:lvl w:ilvl="2" w:tplc="5C5220C2">
      <w:start w:val="1"/>
      <w:numFmt w:val="lowerRoman"/>
      <w:lvlText w:val="%3."/>
      <w:lvlJc w:val="right"/>
      <w:pPr>
        <w:ind w:left="2160" w:hanging="180"/>
      </w:pPr>
    </w:lvl>
    <w:lvl w:ilvl="3" w:tplc="257A3B46">
      <w:start w:val="1"/>
      <w:numFmt w:val="decimal"/>
      <w:lvlText w:val="%4."/>
      <w:lvlJc w:val="left"/>
      <w:pPr>
        <w:ind w:left="2880" w:hanging="360"/>
      </w:pPr>
    </w:lvl>
    <w:lvl w:ilvl="4" w:tplc="676C0040">
      <w:start w:val="1"/>
      <w:numFmt w:val="lowerLetter"/>
      <w:lvlText w:val="%5."/>
      <w:lvlJc w:val="left"/>
      <w:pPr>
        <w:ind w:left="3600" w:hanging="360"/>
      </w:pPr>
    </w:lvl>
    <w:lvl w:ilvl="5" w:tplc="FA18F370">
      <w:start w:val="1"/>
      <w:numFmt w:val="lowerRoman"/>
      <w:lvlText w:val="%6."/>
      <w:lvlJc w:val="right"/>
      <w:pPr>
        <w:ind w:left="4320" w:hanging="180"/>
      </w:pPr>
    </w:lvl>
    <w:lvl w:ilvl="6" w:tplc="C0D8B482">
      <w:start w:val="1"/>
      <w:numFmt w:val="decimal"/>
      <w:lvlText w:val="%7."/>
      <w:lvlJc w:val="left"/>
      <w:pPr>
        <w:ind w:left="5040" w:hanging="360"/>
      </w:pPr>
    </w:lvl>
    <w:lvl w:ilvl="7" w:tplc="8C704ADC">
      <w:start w:val="1"/>
      <w:numFmt w:val="lowerLetter"/>
      <w:lvlText w:val="%8."/>
      <w:lvlJc w:val="left"/>
      <w:pPr>
        <w:ind w:left="5760" w:hanging="360"/>
      </w:pPr>
    </w:lvl>
    <w:lvl w:ilvl="8" w:tplc="584CE4E0">
      <w:start w:val="1"/>
      <w:numFmt w:val="lowerRoman"/>
      <w:lvlText w:val="%9."/>
      <w:lvlJc w:val="right"/>
      <w:pPr>
        <w:ind w:left="6480" w:hanging="180"/>
      </w:pPr>
    </w:lvl>
  </w:abstractNum>
  <w:abstractNum w:abstractNumId="5" w15:restartNumberingAfterBreak="0">
    <w:nsid w:val="66215544"/>
    <w:multiLevelType w:val="hybridMultilevel"/>
    <w:tmpl w:val="FFFFFFFF"/>
    <w:lvl w:ilvl="0" w:tplc="B66CE9DC">
      <w:start w:val="1"/>
      <w:numFmt w:val="decimal"/>
      <w:lvlText w:val="%1."/>
      <w:lvlJc w:val="left"/>
      <w:pPr>
        <w:ind w:left="720" w:hanging="360"/>
      </w:pPr>
    </w:lvl>
    <w:lvl w:ilvl="1" w:tplc="2CB8F3A0">
      <w:start w:val="1"/>
      <w:numFmt w:val="lowerLetter"/>
      <w:lvlText w:val="%2."/>
      <w:lvlJc w:val="left"/>
      <w:pPr>
        <w:ind w:left="1440" w:hanging="360"/>
      </w:pPr>
    </w:lvl>
    <w:lvl w:ilvl="2" w:tplc="D9D6957A">
      <w:start w:val="1"/>
      <w:numFmt w:val="lowerRoman"/>
      <w:lvlText w:val="%3."/>
      <w:lvlJc w:val="right"/>
      <w:pPr>
        <w:ind w:left="2160" w:hanging="180"/>
      </w:pPr>
    </w:lvl>
    <w:lvl w:ilvl="3" w:tplc="ED0A306C">
      <w:start w:val="1"/>
      <w:numFmt w:val="decimal"/>
      <w:lvlText w:val="%4."/>
      <w:lvlJc w:val="left"/>
      <w:pPr>
        <w:ind w:left="2880" w:hanging="360"/>
      </w:pPr>
    </w:lvl>
    <w:lvl w:ilvl="4" w:tplc="075805A2">
      <w:start w:val="1"/>
      <w:numFmt w:val="lowerLetter"/>
      <w:lvlText w:val="%5."/>
      <w:lvlJc w:val="left"/>
      <w:pPr>
        <w:ind w:left="3600" w:hanging="360"/>
      </w:pPr>
    </w:lvl>
    <w:lvl w:ilvl="5" w:tplc="7878137A">
      <w:start w:val="1"/>
      <w:numFmt w:val="lowerRoman"/>
      <w:lvlText w:val="%6."/>
      <w:lvlJc w:val="right"/>
      <w:pPr>
        <w:ind w:left="4320" w:hanging="180"/>
      </w:pPr>
    </w:lvl>
    <w:lvl w:ilvl="6" w:tplc="7F3ED918">
      <w:start w:val="1"/>
      <w:numFmt w:val="decimal"/>
      <w:lvlText w:val="%7."/>
      <w:lvlJc w:val="left"/>
      <w:pPr>
        <w:ind w:left="5040" w:hanging="360"/>
      </w:pPr>
    </w:lvl>
    <w:lvl w:ilvl="7" w:tplc="20223000">
      <w:start w:val="1"/>
      <w:numFmt w:val="lowerLetter"/>
      <w:lvlText w:val="%8."/>
      <w:lvlJc w:val="left"/>
      <w:pPr>
        <w:ind w:left="5760" w:hanging="360"/>
      </w:pPr>
    </w:lvl>
    <w:lvl w:ilvl="8" w:tplc="CA9A076A">
      <w:start w:val="1"/>
      <w:numFmt w:val="lowerRoman"/>
      <w:lvlText w:val="%9."/>
      <w:lvlJc w:val="right"/>
      <w:pPr>
        <w:ind w:left="6480" w:hanging="180"/>
      </w:pPr>
    </w:lvl>
  </w:abstractNum>
  <w:abstractNum w:abstractNumId="6" w15:restartNumberingAfterBreak="0">
    <w:nsid w:val="67FB556F"/>
    <w:multiLevelType w:val="hybridMultilevel"/>
    <w:tmpl w:val="FFFFFFFF"/>
    <w:lvl w:ilvl="0" w:tplc="BBD0CC74">
      <w:start w:val="1"/>
      <w:numFmt w:val="decimal"/>
      <w:lvlText w:val="%1."/>
      <w:lvlJc w:val="left"/>
      <w:pPr>
        <w:ind w:left="720" w:hanging="360"/>
      </w:pPr>
    </w:lvl>
    <w:lvl w:ilvl="1" w:tplc="00369176">
      <w:start w:val="1"/>
      <w:numFmt w:val="lowerLetter"/>
      <w:lvlText w:val="%2."/>
      <w:lvlJc w:val="left"/>
      <w:pPr>
        <w:ind w:left="1440" w:hanging="360"/>
      </w:pPr>
    </w:lvl>
    <w:lvl w:ilvl="2" w:tplc="DF7C1252">
      <w:start w:val="1"/>
      <w:numFmt w:val="lowerRoman"/>
      <w:lvlText w:val="%3."/>
      <w:lvlJc w:val="right"/>
      <w:pPr>
        <w:ind w:left="2160" w:hanging="180"/>
      </w:pPr>
    </w:lvl>
    <w:lvl w:ilvl="3" w:tplc="5B343FD4">
      <w:start w:val="1"/>
      <w:numFmt w:val="decimal"/>
      <w:lvlText w:val="%4."/>
      <w:lvlJc w:val="left"/>
      <w:pPr>
        <w:ind w:left="2880" w:hanging="360"/>
      </w:pPr>
    </w:lvl>
    <w:lvl w:ilvl="4" w:tplc="FB127CB0">
      <w:start w:val="1"/>
      <w:numFmt w:val="lowerLetter"/>
      <w:lvlText w:val="%5."/>
      <w:lvlJc w:val="left"/>
      <w:pPr>
        <w:ind w:left="3600" w:hanging="360"/>
      </w:pPr>
    </w:lvl>
    <w:lvl w:ilvl="5" w:tplc="CC509CE8">
      <w:start w:val="1"/>
      <w:numFmt w:val="lowerRoman"/>
      <w:lvlText w:val="%6."/>
      <w:lvlJc w:val="right"/>
      <w:pPr>
        <w:ind w:left="4320" w:hanging="180"/>
      </w:pPr>
    </w:lvl>
    <w:lvl w:ilvl="6" w:tplc="F35829E6">
      <w:start w:val="1"/>
      <w:numFmt w:val="decimal"/>
      <w:lvlText w:val="%7."/>
      <w:lvlJc w:val="left"/>
      <w:pPr>
        <w:ind w:left="5040" w:hanging="360"/>
      </w:pPr>
    </w:lvl>
    <w:lvl w:ilvl="7" w:tplc="A7BEAB76">
      <w:start w:val="1"/>
      <w:numFmt w:val="lowerLetter"/>
      <w:lvlText w:val="%8."/>
      <w:lvlJc w:val="left"/>
      <w:pPr>
        <w:ind w:left="5760" w:hanging="360"/>
      </w:pPr>
    </w:lvl>
    <w:lvl w:ilvl="8" w:tplc="695EA0C6">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9E46F1"/>
    <w:rsid w:val="000029DF"/>
    <w:rsid w:val="000439F3"/>
    <w:rsid w:val="00063617"/>
    <w:rsid w:val="000E6C20"/>
    <w:rsid w:val="00103F65"/>
    <w:rsid w:val="0013670B"/>
    <w:rsid w:val="001402E8"/>
    <w:rsid w:val="001617D4"/>
    <w:rsid w:val="00171EB3"/>
    <w:rsid w:val="002105AB"/>
    <w:rsid w:val="00222180"/>
    <w:rsid w:val="0024348D"/>
    <w:rsid w:val="002519A6"/>
    <w:rsid w:val="00282848"/>
    <w:rsid w:val="002D4E0E"/>
    <w:rsid w:val="002F4313"/>
    <w:rsid w:val="0030030A"/>
    <w:rsid w:val="00302E43"/>
    <w:rsid w:val="0035B4EE"/>
    <w:rsid w:val="0036768F"/>
    <w:rsid w:val="003A14BC"/>
    <w:rsid w:val="003E3847"/>
    <w:rsid w:val="004370C8"/>
    <w:rsid w:val="004D4D8D"/>
    <w:rsid w:val="00543121"/>
    <w:rsid w:val="005B0B39"/>
    <w:rsid w:val="005D59B7"/>
    <w:rsid w:val="005F2184"/>
    <w:rsid w:val="006058C0"/>
    <w:rsid w:val="00607427"/>
    <w:rsid w:val="006214ED"/>
    <w:rsid w:val="00645FDD"/>
    <w:rsid w:val="0066525B"/>
    <w:rsid w:val="006911B6"/>
    <w:rsid w:val="006C6411"/>
    <w:rsid w:val="006E4A88"/>
    <w:rsid w:val="006F254E"/>
    <w:rsid w:val="00751CC0"/>
    <w:rsid w:val="00770AED"/>
    <w:rsid w:val="0078636E"/>
    <w:rsid w:val="007961BE"/>
    <w:rsid w:val="007C3B9E"/>
    <w:rsid w:val="007D6906"/>
    <w:rsid w:val="007F009A"/>
    <w:rsid w:val="00833D31"/>
    <w:rsid w:val="0085309B"/>
    <w:rsid w:val="00856473"/>
    <w:rsid w:val="008870BF"/>
    <w:rsid w:val="00894D38"/>
    <w:rsid w:val="00904846"/>
    <w:rsid w:val="009146A4"/>
    <w:rsid w:val="00931C18"/>
    <w:rsid w:val="009B5534"/>
    <w:rsid w:val="00A017C2"/>
    <w:rsid w:val="00A1415A"/>
    <w:rsid w:val="00AC2E20"/>
    <w:rsid w:val="00B0443A"/>
    <w:rsid w:val="00B10DD7"/>
    <w:rsid w:val="00B1120C"/>
    <w:rsid w:val="00B45F02"/>
    <w:rsid w:val="00B466CC"/>
    <w:rsid w:val="00B51555"/>
    <w:rsid w:val="00BB50EF"/>
    <w:rsid w:val="00BF312E"/>
    <w:rsid w:val="00C368CE"/>
    <w:rsid w:val="00C65A85"/>
    <w:rsid w:val="00CA3829"/>
    <w:rsid w:val="00CF53DB"/>
    <w:rsid w:val="00D45A60"/>
    <w:rsid w:val="00D46337"/>
    <w:rsid w:val="00DA42AF"/>
    <w:rsid w:val="00DE4C5F"/>
    <w:rsid w:val="00DE6058"/>
    <w:rsid w:val="00E260F2"/>
    <w:rsid w:val="00E31ED8"/>
    <w:rsid w:val="00E6707C"/>
    <w:rsid w:val="00E7066A"/>
    <w:rsid w:val="00E711E5"/>
    <w:rsid w:val="00E847BD"/>
    <w:rsid w:val="00EE31AF"/>
    <w:rsid w:val="00F4184C"/>
    <w:rsid w:val="00F530D4"/>
    <w:rsid w:val="00F76C8F"/>
    <w:rsid w:val="00FA2AB2"/>
    <w:rsid w:val="00FE7627"/>
    <w:rsid w:val="149E46F1"/>
    <w:rsid w:val="1E0DCB7B"/>
    <w:rsid w:val="22A70F4C"/>
    <w:rsid w:val="3A2580F1"/>
    <w:rsid w:val="3D07AB0C"/>
    <w:rsid w:val="4BFA2E28"/>
    <w:rsid w:val="76516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DCB7B"/>
  <w15:chartTrackingRefBased/>
  <w15:docId w15:val="{006254C4-41B7-40E2-9B90-C8081363B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nsard.parliament.uk/search/MemberContributions?house=Lords&amp;memberId=268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ansard.parliament.uk/search/MemberContributions?house=Lords&amp;memberId=2685" TargetMode="External"/><Relationship Id="rId12" Type="http://schemas.openxmlformats.org/officeDocument/2006/relationships/hyperlink" Target="https://royalsociety.org/~/media/Royal_Society_Content/policy/projects/brain-waves/Brain-Waves-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ansard.parliament.uk/search/MemberContributions?house=Lords&amp;memberId=2685" TargetMode="External"/><Relationship Id="rId11" Type="http://schemas.openxmlformats.org/officeDocument/2006/relationships/hyperlink" Target="https://www.centreforsocialjustice.org.uk/core/wp-content/uploads/2016/08/CSJ_Youth_Justice_Full_Report.pdf" TargetMode="External"/><Relationship Id="rId5" Type="http://schemas.openxmlformats.org/officeDocument/2006/relationships/hyperlink" Target="https://hansard.parliament.uk/search/MemberContributions?house=Lords&amp;memberId=2685" TargetMode="External"/><Relationship Id="rId10" Type="http://schemas.openxmlformats.org/officeDocument/2006/relationships/hyperlink" Target="https://yjlc.uk/wp-content/uploads/2018/06/ACR.pdf" TargetMode="External"/><Relationship Id="rId4" Type="http://schemas.openxmlformats.org/officeDocument/2006/relationships/webSettings" Target="webSettings.xml"/><Relationship Id="rId9" Type="http://schemas.openxmlformats.org/officeDocument/2006/relationships/hyperlink" Target="https://www.verywellfamily.com/10-year-old-developmental-milestones-62071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1340</Words>
  <Characters>7643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hyett</dc:creator>
  <cp:keywords/>
  <dc:description/>
  <cp:lastModifiedBy>peter hyett</cp:lastModifiedBy>
  <cp:revision>88</cp:revision>
  <dcterms:created xsi:type="dcterms:W3CDTF">2019-09-28T20:51:00Z</dcterms:created>
  <dcterms:modified xsi:type="dcterms:W3CDTF">2019-10-14T19:35:00Z</dcterms:modified>
</cp:coreProperties>
</file>