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4697C" w14:textId="38973826" w:rsidR="00E11501" w:rsidRPr="00EE76F9" w:rsidRDefault="00E11501" w:rsidP="00C5229F">
      <w:pPr>
        <w:rPr>
          <w:rFonts w:asciiTheme="majorHAnsi" w:hAnsiTheme="majorHAnsi" w:cstheme="majorHAnsi"/>
          <w:b/>
          <w:bCs/>
          <w:sz w:val="24"/>
          <w:szCs w:val="24"/>
        </w:rPr>
      </w:pPr>
      <w:r w:rsidRPr="00EE76F9">
        <w:rPr>
          <w:rFonts w:asciiTheme="majorHAnsi" w:hAnsiTheme="majorHAnsi" w:cstheme="majorHAnsi"/>
          <w:b/>
          <w:bCs/>
          <w:sz w:val="24"/>
          <w:szCs w:val="24"/>
        </w:rPr>
        <w:t>Student number :</w:t>
      </w:r>
      <w:r w:rsidR="00954458" w:rsidRPr="00EE76F9">
        <w:rPr>
          <w:rFonts w:asciiTheme="majorHAnsi" w:hAnsiTheme="majorHAnsi" w:cstheme="majorHAnsi"/>
          <w:b/>
          <w:bCs/>
          <w:sz w:val="24"/>
          <w:szCs w:val="24"/>
        </w:rPr>
        <w:t xml:space="preserve"> </w:t>
      </w:r>
      <w:r w:rsidR="00EE76F9" w:rsidRPr="00EE76F9">
        <w:rPr>
          <w:rFonts w:asciiTheme="majorHAnsi" w:hAnsiTheme="majorHAnsi" w:cstheme="majorHAnsi"/>
          <w:color w:val="333333"/>
          <w:sz w:val="24"/>
          <w:szCs w:val="24"/>
          <w:shd w:val="clear" w:color="auto" w:fill="FFFFFF"/>
        </w:rPr>
        <w:t>2210589</w:t>
      </w:r>
    </w:p>
    <w:p w14:paraId="54E07670" w14:textId="0022F8B3" w:rsidR="00E11501" w:rsidRPr="00EE76F9" w:rsidRDefault="00E11501" w:rsidP="00C5229F">
      <w:pPr>
        <w:rPr>
          <w:rFonts w:asciiTheme="majorHAnsi" w:hAnsiTheme="majorHAnsi" w:cstheme="majorHAnsi"/>
          <w:b/>
          <w:bCs/>
          <w:sz w:val="24"/>
          <w:szCs w:val="24"/>
        </w:rPr>
      </w:pPr>
      <w:r w:rsidRPr="00EE76F9">
        <w:rPr>
          <w:rFonts w:asciiTheme="majorHAnsi" w:hAnsiTheme="majorHAnsi" w:cstheme="majorHAnsi"/>
          <w:b/>
          <w:bCs/>
          <w:sz w:val="24"/>
          <w:szCs w:val="24"/>
        </w:rPr>
        <w:t>Student name :</w:t>
      </w:r>
      <w:r w:rsidR="00954458" w:rsidRPr="00EE76F9">
        <w:rPr>
          <w:rFonts w:asciiTheme="majorHAnsi" w:hAnsiTheme="majorHAnsi" w:cstheme="majorHAnsi"/>
          <w:b/>
          <w:bCs/>
          <w:sz w:val="24"/>
          <w:szCs w:val="24"/>
        </w:rPr>
        <w:t xml:space="preserve"> Damian Golina</w:t>
      </w:r>
    </w:p>
    <w:p w14:paraId="2F56B44A" w14:textId="77777777" w:rsidR="00E11501" w:rsidRDefault="00E11501" w:rsidP="00D27BE6">
      <w:pPr>
        <w:jc w:val="center"/>
        <w:rPr>
          <w:rFonts w:ascii="Arial" w:hAnsi="Arial" w:cs="Arial"/>
          <w:b/>
          <w:bCs/>
          <w:sz w:val="24"/>
          <w:szCs w:val="24"/>
        </w:rPr>
      </w:pPr>
    </w:p>
    <w:p w14:paraId="75F162BC" w14:textId="77777777" w:rsidR="00E11501" w:rsidRPr="001A10E2" w:rsidRDefault="00E11501" w:rsidP="001A10E2">
      <w:pPr>
        <w:rPr>
          <w:sz w:val="24"/>
          <w:szCs w:val="24"/>
        </w:rPr>
      </w:pPr>
    </w:p>
    <w:p w14:paraId="46E3DBA8" w14:textId="21904E92" w:rsidR="00F3459C" w:rsidRPr="001A10E2" w:rsidRDefault="00024160" w:rsidP="001A10E2">
      <w:pPr>
        <w:rPr>
          <w:color w:val="374151"/>
          <w:sz w:val="24"/>
          <w:szCs w:val="24"/>
          <w:shd w:val="clear" w:color="auto" w:fill="F7F7F8"/>
        </w:rPr>
      </w:pPr>
      <w:r w:rsidRPr="001A10E2">
        <w:rPr>
          <w:sz w:val="24"/>
          <w:szCs w:val="24"/>
        </w:rPr>
        <w:t xml:space="preserve">The purpose of this essay is to explain what modifications were made to the defence of diminished responsibility by the Coroners and Justice Act of 2009? And </w:t>
      </w:r>
      <w:r w:rsidR="00DC65DA" w:rsidRPr="001A10E2">
        <w:rPr>
          <w:sz w:val="24"/>
          <w:szCs w:val="24"/>
        </w:rPr>
        <w:t>if these amendments change the law in its area for the better.</w:t>
      </w:r>
      <w:r w:rsidR="00BE77C6" w:rsidRPr="001A10E2">
        <w:rPr>
          <w:sz w:val="24"/>
          <w:szCs w:val="24"/>
        </w:rPr>
        <w:t xml:space="preserve"> The 2009 Act's defences are partial, which means that if successful, the conviction will be for manslaughter rather than murder, giving the judge discretion in sentencing. In the absence of such a defence, the judge is forced to impose a mandatory sentence.</w:t>
      </w:r>
      <w:r w:rsidR="00C40CE7" w:rsidRPr="001A10E2">
        <w:rPr>
          <w:sz w:val="24"/>
          <w:szCs w:val="24"/>
        </w:rPr>
        <w:t xml:space="preserve"> The 2009 Act reformed the defences that were originally enacted under the Homicide Act 1957.</w:t>
      </w:r>
      <w:r w:rsidR="00FC3BCE" w:rsidRPr="001A10E2">
        <w:rPr>
          <w:sz w:val="24"/>
          <w:szCs w:val="24"/>
        </w:rPr>
        <w:t xml:space="preserve"> The Coroners and Justice Act (2009) made significant changes to the English law defence of diminished responsibility. Prior to this act, the diminished responsibility defence was available under the Homicide Act (1957), which required the defendant to demonstrate that they suffered from a mental abnormality that significantly impaired their ability to understand the nature of their conduct, form a rational judgement, or exercise self-control.</w:t>
      </w:r>
      <w:r w:rsidR="00CD33B5" w:rsidRPr="001A10E2">
        <w:rPr>
          <w:sz w:val="24"/>
          <w:szCs w:val="24"/>
        </w:rPr>
        <w:t xml:space="preserve"> The defence of diminished responsibility was superseded by the defence of abnormal mental functioning by the Coroners and Justice Act of 2009. The new defence calls for the defendant to prove that they had a mental disorder that resulted from a recognised medical condition or an innate cause, had a significant impact on their capacity to comprehend the nature of their behaviour, develop a reasonable judgement, or exercise self-control.</w:t>
      </w:r>
      <w:r w:rsidR="00335612" w:rsidRPr="001A10E2">
        <w:rPr>
          <w:sz w:val="24"/>
          <w:szCs w:val="24"/>
        </w:rPr>
        <w:t xml:space="preserve"> The new defence also demands that the defendant's actions in committing the crime can be explained by an aberration in mental functioning. This implies that the accused must demonstrate that their abnormal mental functioning played a major role in motivating them to commit the crime.</w:t>
      </w:r>
      <w:r w:rsidR="00920F81" w:rsidRPr="001A10E2">
        <w:rPr>
          <w:sz w:val="24"/>
          <w:szCs w:val="24"/>
        </w:rPr>
        <w:t xml:space="preserve"> To clarify the law and make it easier for jurors to understand the requirements for the defence, the Coroners and Justice Act of 2009 made changes to the defence of diminished responsibility. The requirement for using medical information to determine the defendant's mental state is also emphasised by the new defence.</w:t>
      </w:r>
      <w:r w:rsidR="00D340D0" w:rsidRPr="001A10E2">
        <w:rPr>
          <w:sz w:val="24"/>
          <w:szCs w:val="24"/>
        </w:rPr>
        <w:t xml:space="preserve"> Whether or not these changes have improved the law in this area is up for debate. While some critics suggest that the new defence has made it more difficult for defendants to successfully assert diminished responsibility, others believe that the changes have made the law clearer and more in line with the most recent research on mental illnesses. The courts' actual use of the new defence and whether it will lead to more just rulings in cases where mental illness is a factor remain to be seen</w:t>
      </w:r>
      <w:r w:rsidR="000C77E7" w:rsidRPr="001A10E2">
        <w:rPr>
          <w:sz w:val="24"/>
          <w:szCs w:val="24"/>
        </w:rPr>
        <w:t xml:space="preserve"> , for example </w:t>
      </w:r>
      <w:r w:rsidR="00102B57" w:rsidRPr="001A10E2">
        <w:rPr>
          <w:sz w:val="24"/>
          <w:szCs w:val="24"/>
        </w:rPr>
        <w:t xml:space="preserve">in </w:t>
      </w:r>
      <w:r w:rsidR="00102B57" w:rsidRPr="001A10E2">
        <w:rPr>
          <w:color w:val="374151"/>
          <w:sz w:val="24"/>
          <w:szCs w:val="24"/>
          <w:shd w:val="clear" w:color="auto" w:fill="F7F7F8"/>
        </w:rPr>
        <w:t>the Homicide Act 1957 established the partial defence of diminished responsibility in cases of murder. To successfully rely on this defence, the defendant must prove</w:t>
      </w:r>
      <w:r w:rsidR="00253A1B" w:rsidRPr="001A10E2">
        <w:rPr>
          <w:color w:val="374151"/>
          <w:sz w:val="24"/>
          <w:szCs w:val="24"/>
          <w:shd w:val="clear" w:color="auto" w:fill="F7F7F8"/>
        </w:rPr>
        <w:t xml:space="preserve"> that </w:t>
      </w:r>
      <w:r w:rsidR="00BB3942" w:rsidRPr="001A10E2">
        <w:rPr>
          <w:color w:val="374151"/>
          <w:sz w:val="24"/>
          <w:szCs w:val="24"/>
          <w:shd w:val="clear" w:color="auto" w:fill="F7F7F8"/>
        </w:rPr>
        <w:t>he suffer m</w:t>
      </w:r>
      <w:r w:rsidR="004A66D1" w:rsidRPr="001A10E2">
        <w:rPr>
          <w:color w:val="374151"/>
          <w:sz w:val="24"/>
          <w:szCs w:val="24"/>
          <w:shd w:val="clear" w:color="auto" w:fill="F7F7F8"/>
        </w:rPr>
        <w:t>ental dysfunction  ,the defendant must show that their mental condition was unbalanced at the time of the murder. This aberration may be caused by a diagnosable medical disease, such as schizophrenia or bipolar disorder, or by other elements that gravely undermine the defendant's capacity for responsible behaviour.</w:t>
      </w:r>
      <w:r w:rsidR="00065B7F" w:rsidRPr="001A10E2">
        <w:rPr>
          <w:sz w:val="24"/>
          <w:szCs w:val="24"/>
        </w:rPr>
        <w:t xml:space="preserve"> </w:t>
      </w:r>
      <w:r w:rsidR="00065B7F" w:rsidRPr="001A10E2">
        <w:rPr>
          <w:color w:val="374151"/>
          <w:sz w:val="24"/>
          <w:szCs w:val="24"/>
          <w:shd w:val="clear" w:color="auto" w:fill="F7F7F8"/>
        </w:rPr>
        <w:t>The defendant's behaviour in committing the murder must have been significantly influenced by the defendant's abnormal mental functioning. In other words, the abnormality had to be a significant factor in the defendant's actions</w:t>
      </w:r>
      <w:r w:rsidR="009B02D6" w:rsidRPr="001A10E2">
        <w:rPr>
          <w:color w:val="374151"/>
          <w:sz w:val="24"/>
          <w:szCs w:val="24"/>
          <w:shd w:val="clear" w:color="auto" w:fill="F7F7F8"/>
        </w:rPr>
        <w:t xml:space="preserve"> , or either </w:t>
      </w:r>
      <w:r w:rsidR="00417739" w:rsidRPr="001A10E2">
        <w:rPr>
          <w:color w:val="374151"/>
          <w:sz w:val="24"/>
          <w:szCs w:val="24"/>
          <w:shd w:val="clear" w:color="auto" w:fill="F7F7F8"/>
        </w:rPr>
        <w:t>prove that the defendant's abnormal mental state must have had a major impact on the defendant's actions during the murder. To put it another way, the anomaly had to play a big part in the defendant's behaviour.</w:t>
      </w:r>
      <w:r w:rsidR="00BE7425" w:rsidRPr="001A10E2">
        <w:rPr>
          <w:sz w:val="24"/>
          <w:szCs w:val="24"/>
        </w:rPr>
        <w:t xml:space="preserve"> </w:t>
      </w:r>
      <w:r w:rsidR="00BE7425" w:rsidRPr="001A10E2">
        <w:rPr>
          <w:color w:val="374151"/>
          <w:sz w:val="24"/>
          <w:szCs w:val="24"/>
          <w:shd w:val="clear" w:color="auto" w:fill="F7F7F8"/>
        </w:rPr>
        <w:t>These criteria must be proven by the defendant in order for the defence of diminished responsibility to be accepted, and the charge of murder may be changed to one of manslaughter.</w:t>
      </w:r>
      <w:r w:rsidR="00DC3B25" w:rsidRPr="001A10E2">
        <w:rPr>
          <w:sz w:val="24"/>
          <w:szCs w:val="24"/>
        </w:rPr>
        <w:t xml:space="preserve"> </w:t>
      </w:r>
      <w:r w:rsidR="00DC3B25" w:rsidRPr="001A10E2">
        <w:rPr>
          <w:color w:val="374151"/>
          <w:sz w:val="24"/>
          <w:szCs w:val="24"/>
          <w:shd w:val="clear" w:color="auto" w:fill="F7F7F8"/>
        </w:rPr>
        <w:t>A variety of issues with the former system for looking into deaths and holding inquests led to the UK's introduction of the Coroners and Justice Act (2009). Among the primary causes for the requirement for reform were the following things like ,</w:t>
      </w:r>
      <w:r w:rsidR="00F3459C" w:rsidRPr="001A10E2">
        <w:rPr>
          <w:sz w:val="24"/>
          <w:szCs w:val="24"/>
        </w:rPr>
        <w:t xml:space="preserve"> </w:t>
      </w:r>
      <w:r w:rsidR="00A50346" w:rsidRPr="001A10E2">
        <w:rPr>
          <w:color w:val="374151"/>
          <w:sz w:val="24"/>
          <w:szCs w:val="24"/>
          <w:shd w:val="clear" w:color="auto" w:fill="F7F7F8"/>
        </w:rPr>
        <w:t>l</w:t>
      </w:r>
      <w:r w:rsidR="00F3459C" w:rsidRPr="001A10E2">
        <w:rPr>
          <w:color w:val="374151"/>
          <w:sz w:val="24"/>
          <w:szCs w:val="24"/>
          <w:shd w:val="clear" w:color="auto" w:fill="F7F7F8"/>
        </w:rPr>
        <w:t xml:space="preserve">aws that were deemed to be out-of-date and no longer useful included the prior legislation controlling coroners, which was enacted in the 19th century. Practice that is inconsistent There were worries that there was </w:t>
      </w:r>
      <w:r w:rsidR="00F3459C" w:rsidRPr="001A10E2">
        <w:rPr>
          <w:color w:val="374151"/>
          <w:sz w:val="24"/>
          <w:szCs w:val="24"/>
          <w:shd w:val="clear" w:color="auto" w:fill="F7F7F8"/>
        </w:rPr>
        <w:lastRenderedPageBreak/>
        <w:t>variation in the manner in which inquests were conducted across the nation, with some regions having more exacting and transparent procedures than others.</w:t>
      </w:r>
    </w:p>
    <w:p w14:paraId="3A52AD39" w14:textId="195AA852" w:rsidR="001037A9" w:rsidRPr="001A10E2" w:rsidRDefault="00F3459C" w:rsidP="001A10E2">
      <w:pPr>
        <w:rPr>
          <w:color w:val="374151"/>
          <w:sz w:val="24"/>
          <w:szCs w:val="24"/>
          <w:shd w:val="clear" w:color="auto" w:fill="F7F7F8"/>
        </w:rPr>
      </w:pPr>
      <w:r w:rsidRPr="001A10E2">
        <w:rPr>
          <w:color w:val="374151"/>
          <w:sz w:val="24"/>
          <w:szCs w:val="24"/>
          <w:shd w:val="clear" w:color="auto" w:fill="F7F7F8"/>
        </w:rPr>
        <w:t>Lack of independence: There were worries that the old system did not give coroners enough independence, as many of them were nominated by local authorities rather than following a more independent procedure.</w:t>
      </w:r>
      <w:r w:rsidR="00C5229F" w:rsidRPr="001A10E2">
        <w:rPr>
          <w:sz w:val="24"/>
          <w:szCs w:val="24"/>
        </w:rPr>
        <w:t xml:space="preserve"> </w:t>
      </w:r>
      <w:r w:rsidR="00C5229F" w:rsidRPr="001A10E2">
        <w:rPr>
          <w:color w:val="374151"/>
          <w:sz w:val="24"/>
          <w:szCs w:val="24"/>
          <w:shd w:val="clear" w:color="auto" w:fill="F7F7F8"/>
        </w:rPr>
        <w:t>Concerns were raised about the previous system's failure to devote enough attention to the needs of bereaved families, with some families feeling as though they were not receiving enough help or information.</w:t>
      </w:r>
      <w:r w:rsidR="00DF6AA2" w:rsidRPr="001A10E2">
        <w:rPr>
          <w:sz w:val="24"/>
          <w:szCs w:val="24"/>
        </w:rPr>
        <w:t xml:space="preserve"> </w:t>
      </w:r>
      <w:r w:rsidR="00DF6AA2" w:rsidRPr="001A10E2">
        <w:rPr>
          <w:color w:val="374151"/>
          <w:sz w:val="24"/>
          <w:szCs w:val="24"/>
          <w:shd w:val="clear" w:color="auto" w:fill="F7F7F8"/>
        </w:rPr>
        <w:t>The Coroners and Justice Act (2009) aimed to address these concerns by introducing a number of system reforms, such as establishing a new framework for investigating deaths, increasing coroners' independence, and emphasising the needs of bereaved families.</w:t>
      </w:r>
      <w:r w:rsidR="00353013" w:rsidRPr="001A10E2">
        <w:rPr>
          <w:sz w:val="24"/>
          <w:szCs w:val="24"/>
        </w:rPr>
        <w:t xml:space="preserve"> </w:t>
      </w:r>
      <w:r w:rsidR="00353013" w:rsidRPr="001A10E2">
        <w:rPr>
          <w:color w:val="374151"/>
          <w:sz w:val="24"/>
          <w:szCs w:val="24"/>
          <w:shd w:val="clear" w:color="auto" w:fill="F7F7F8"/>
        </w:rPr>
        <w:t>The Coroners and Justice Act of 2009 replaced the common law offence of blasphemy with the new offence of "the publication of threatening, abusive, or insulting material intended to stir up religious hatred" under Section 52. Since Christianity was the focus of the prior offence of blasphemy, the new offence was created to safeguard all religions from hate speech.</w:t>
      </w:r>
      <w:r w:rsidR="0093651C" w:rsidRPr="001A10E2">
        <w:rPr>
          <w:sz w:val="24"/>
          <w:szCs w:val="24"/>
        </w:rPr>
        <w:t xml:space="preserve"> </w:t>
      </w:r>
      <w:r w:rsidR="0093651C" w:rsidRPr="001A10E2">
        <w:rPr>
          <w:color w:val="374151"/>
          <w:sz w:val="24"/>
          <w:szCs w:val="24"/>
          <w:shd w:val="clear" w:color="auto" w:fill="F7F7F8"/>
        </w:rPr>
        <w:t>Publishing or disseminating content meant to incite hatred against individuals based on their religious views or lack thereof is now banned under the new crime. Also, the content must be threatening, abusive, or insulting, and whoever published it must have wanted to incite hatred. The maximum sentence for this offence is seven years in jail.</w:t>
      </w:r>
      <w:r w:rsidR="00E86179" w:rsidRPr="001A10E2">
        <w:rPr>
          <w:sz w:val="24"/>
          <w:szCs w:val="24"/>
        </w:rPr>
        <w:t xml:space="preserve"> </w:t>
      </w:r>
      <w:r w:rsidR="00E86179" w:rsidRPr="001A10E2">
        <w:rPr>
          <w:color w:val="374151"/>
          <w:sz w:val="24"/>
          <w:szCs w:val="24"/>
          <w:shd w:val="clear" w:color="auto" w:fill="F7F7F8"/>
        </w:rPr>
        <w:t>The possession of extreme pornographic images, which are defined as pornographic photographs that are egregiously unpleasant, repulsive, or otherwise of an extreme character, was also made into a new crime by Section 52. The maximum sentence for possessing such photographs is three years in prison.</w:t>
      </w:r>
      <w:r w:rsidR="00B719ED" w:rsidRPr="001A10E2">
        <w:rPr>
          <w:sz w:val="24"/>
          <w:szCs w:val="24"/>
        </w:rPr>
        <w:t xml:space="preserve"> </w:t>
      </w:r>
      <w:r w:rsidR="00B719ED" w:rsidRPr="001A10E2">
        <w:rPr>
          <w:color w:val="374151"/>
          <w:sz w:val="24"/>
          <w:szCs w:val="24"/>
          <w:shd w:val="clear" w:color="auto" w:fill="F7F7F8"/>
        </w:rPr>
        <w:t>Overall, the Coroners and Justice Act of 2009's Section 52 amendments sought to modernise and update the legislation in regard to hate speech and offensive content while also guaranteeing that all religions were equally protected from incitement to hatred.</w:t>
      </w:r>
      <w:r w:rsidR="005753C4" w:rsidRPr="001A10E2">
        <w:rPr>
          <w:sz w:val="24"/>
          <w:szCs w:val="24"/>
        </w:rPr>
        <w:t xml:space="preserve"> </w:t>
      </w:r>
      <w:r w:rsidR="005753C4" w:rsidRPr="001A10E2">
        <w:rPr>
          <w:color w:val="374151"/>
          <w:sz w:val="24"/>
          <w:szCs w:val="24"/>
          <w:shd w:val="clear" w:color="auto" w:fill="F7F7F8"/>
        </w:rPr>
        <w:t>Among the advantages we can mention such as</w:t>
      </w:r>
      <w:r w:rsidR="00D44C13" w:rsidRPr="001A10E2">
        <w:rPr>
          <w:color w:val="374151"/>
          <w:sz w:val="24"/>
          <w:szCs w:val="24"/>
          <w:shd w:val="clear" w:color="auto" w:fill="F7F7F8"/>
        </w:rPr>
        <w:t xml:space="preserve"> </w:t>
      </w:r>
      <w:r w:rsidR="001037A9" w:rsidRPr="001A10E2">
        <w:rPr>
          <w:color w:val="374151"/>
          <w:sz w:val="24"/>
          <w:szCs w:val="24"/>
          <w:shd w:val="clear" w:color="auto" w:fill="F7F7F8"/>
        </w:rPr>
        <w:t>the elimination of the common law offence of blasphemy might be considered as a benefit since it encourages free speech and enables people to express their opinions without worrying about facing legal repercussions.</w:t>
      </w:r>
    </w:p>
    <w:p w14:paraId="03DBC9E8" w14:textId="725B74BD" w:rsidR="00E11501" w:rsidRPr="001A10E2" w:rsidRDefault="001037A9" w:rsidP="001A10E2">
      <w:pPr>
        <w:rPr>
          <w:sz w:val="24"/>
          <w:szCs w:val="24"/>
        </w:rPr>
      </w:pPr>
      <w:r w:rsidRPr="001A10E2">
        <w:rPr>
          <w:color w:val="374151"/>
          <w:sz w:val="24"/>
          <w:szCs w:val="24"/>
          <w:shd w:val="clear" w:color="auto" w:fill="F7F7F8"/>
        </w:rPr>
        <w:t>Protection of vulnerable groups: The new crime of inciting hatred based on sexual orientation can be considered as a benefit because it offers protection to groups who may be the target of discrimination or hate speech. The new crime of possessing extreme pornography might be considered as a reduction in harm because it lessens the potential harm that such material could cause, such as violence or sexual abuse.</w:t>
      </w:r>
      <w:r w:rsidR="00E33B16" w:rsidRPr="001A10E2">
        <w:rPr>
          <w:color w:val="374151"/>
          <w:sz w:val="24"/>
          <w:szCs w:val="24"/>
          <w:shd w:val="clear" w:color="auto" w:fill="F7F7F8"/>
        </w:rPr>
        <w:t xml:space="preserve"> It has its disadvantages as well like , </w:t>
      </w:r>
      <w:r w:rsidR="000610FF" w:rsidRPr="001A10E2">
        <w:rPr>
          <w:color w:val="374151"/>
          <w:sz w:val="24"/>
          <w:szCs w:val="24"/>
          <w:shd w:val="clear" w:color="auto" w:fill="F7F7F8"/>
        </w:rPr>
        <w:t>restriction of free speech, the new offence of inciting hatred on the basis of sexual orientation might be considered as a disadvantage as it may restrict people's freedom of expression and prevent them from expressing their opinions on particular issues. Subjectivity in defining what extreme material is: The new crime of possessing extreme pornography can be considered as a drawback because it may be difficult to define what extreme material is. Possibility for abuse: There is a chance that the new offences may be used improperly, either through the use of baseless accusations or zealous prosecutors.</w:t>
      </w:r>
      <w:r w:rsidR="009E264D" w:rsidRPr="001A10E2">
        <w:rPr>
          <w:sz w:val="24"/>
          <w:szCs w:val="24"/>
        </w:rPr>
        <w:t xml:space="preserve"> </w:t>
      </w:r>
      <w:r w:rsidR="009E264D" w:rsidRPr="001A10E2">
        <w:rPr>
          <w:color w:val="374151"/>
          <w:sz w:val="24"/>
          <w:szCs w:val="24"/>
          <w:shd w:val="clear" w:color="auto" w:fill="F7F7F8"/>
        </w:rPr>
        <w:t xml:space="preserve">There have been requests for more legal reform in this area, with some arguing that the existing regulations fall short in terms of safeguarding those who may be at risk of suicide. Some people have advocated for the legalisation of assisted suicide, contending that everyone should have the freedom to decide when and how they pass away. Others have proposed changing the legislation to better safeguard persons who could be in danger of being forced to commit suicide or under pressure to do so. </w:t>
      </w:r>
      <w:r w:rsidR="002F1F9E" w:rsidRPr="001A10E2">
        <w:rPr>
          <w:color w:val="374151"/>
          <w:sz w:val="24"/>
          <w:szCs w:val="24"/>
          <w:shd w:val="clear" w:color="auto" w:fill="F7F7F8"/>
        </w:rPr>
        <w:t xml:space="preserve">In conclusion, the criteria for diminished responsibility under the Murder Act of 1957 were specific and onerous, with an emphasis on known medical disorders and cognitive function impairment. Concerns about how fairly and accurately the legislation reflected the complex and diverse nature of mental health issues led to the need for adjustment. The s.52 Coroners and Justice Act of 2009 added various restrictions and complexity as well as broadened the list of situations that qualify for diminished culpability. </w:t>
      </w:r>
      <w:r w:rsidR="007B26EF" w:rsidRPr="001A10E2">
        <w:rPr>
          <w:rFonts w:ascii="Segoe UI" w:hAnsi="Segoe UI" w:cs="Segoe UI"/>
          <w:color w:val="374151"/>
          <w:sz w:val="24"/>
          <w:szCs w:val="24"/>
          <w:shd w:val="clear" w:color="auto" w:fill="F7F7F8"/>
        </w:rPr>
        <w:lastRenderedPageBreak/>
        <w:t>There are ongoing discussions and recommendations for further reform within this area of law, including the introduction of a new defence of mental capacity and considerations of the role of automatism in homicide cases. Overall, the law relating to diminished responsibility continues to evolve, as lawmakers strive to find a balance between protecting vulnerable defendants and ensuring justice for victims and their families.</w:t>
      </w:r>
      <w:r w:rsidR="002F1F9E" w:rsidRPr="001A10E2">
        <w:rPr>
          <w:color w:val="374151"/>
          <w:sz w:val="24"/>
          <w:szCs w:val="24"/>
          <w:shd w:val="clear" w:color="auto" w:fill="F7F7F8"/>
        </w:rPr>
        <w:t>The benefits of these adjustments include a more adaptable and thorough approach to mental health within the criminal justice system, while the drawbacks include potential for misunderstanding and inconsistent application.</w:t>
      </w:r>
      <w:r w:rsidR="00BF3213" w:rsidRPr="001A10E2">
        <w:rPr>
          <w:sz w:val="24"/>
          <w:szCs w:val="24"/>
        </w:rPr>
        <w:t xml:space="preserve"> </w:t>
      </w:r>
      <w:r w:rsidR="00BF3213" w:rsidRPr="001A10E2">
        <w:rPr>
          <w:color w:val="374151"/>
          <w:sz w:val="24"/>
          <w:szCs w:val="24"/>
          <w:shd w:val="clear" w:color="auto" w:fill="F7F7F8"/>
        </w:rPr>
        <w:t>Clarifying the legislation about the relationship between mental illness and voluntary intoxication is another reform suggestion, as is addressing the stigma and discrimination faced by mentally ill offenders.</w:t>
      </w:r>
      <w:r w:rsidR="00082EC6" w:rsidRPr="001A10E2">
        <w:rPr>
          <w:color w:val="374151"/>
          <w:sz w:val="24"/>
          <w:szCs w:val="24"/>
          <w:shd w:val="clear" w:color="auto" w:fill="F7F7F8"/>
        </w:rPr>
        <w:t xml:space="preserve"> Any proposed adjustments in this area, meanwhile, are quite likely to be divisive and unpopular.</w:t>
      </w:r>
    </w:p>
    <w:p w14:paraId="4B9472CB" w14:textId="77777777" w:rsidR="00E11501" w:rsidRPr="00C5229F" w:rsidRDefault="00E11501" w:rsidP="00C5229F">
      <w:pPr>
        <w:pStyle w:val="NoSpacing"/>
        <w:rPr>
          <w:rFonts w:asciiTheme="majorHAnsi" w:hAnsiTheme="majorHAnsi" w:cstheme="majorHAnsi"/>
        </w:rPr>
      </w:pPr>
    </w:p>
    <w:p w14:paraId="447B2C09" w14:textId="77777777" w:rsidR="00D27BE6" w:rsidRPr="00417739" w:rsidRDefault="00D27BE6" w:rsidP="00D27BE6">
      <w:pPr>
        <w:jc w:val="center"/>
        <w:rPr>
          <w:rFonts w:ascii="Arial" w:hAnsi="Arial" w:cs="Arial"/>
          <w:b/>
          <w:bCs/>
          <w:sz w:val="24"/>
          <w:szCs w:val="24"/>
        </w:rPr>
      </w:pPr>
    </w:p>
    <w:p w14:paraId="15785A44" w14:textId="77777777" w:rsidR="00D27BE6" w:rsidRPr="00417739" w:rsidRDefault="00D27BE6" w:rsidP="00D27BE6">
      <w:pPr>
        <w:jc w:val="center"/>
        <w:rPr>
          <w:rFonts w:ascii="Arial" w:hAnsi="Arial" w:cs="Arial"/>
          <w:b/>
          <w:bCs/>
          <w:sz w:val="24"/>
          <w:szCs w:val="24"/>
        </w:rPr>
      </w:pPr>
    </w:p>
    <w:p w14:paraId="359A43F6" w14:textId="77777777" w:rsidR="00D27BE6" w:rsidRDefault="00D27BE6" w:rsidP="00D27BE6">
      <w:pPr>
        <w:jc w:val="center"/>
        <w:rPr>
          <w:rFonts w:ascii="Arial" w:hAnsi="Arial" w:cs="Arial"/>
          <w:b/>
          <w:bCs/>
          <w:sz w:val="24"/>
          <w:szCs w:val="24"/>
        </w:rPr>
      </w:pPr>
    </w:p>
    <w:p w14:paraId="57F96D84" w14:textId="77777777" w:rsidR="00DC65DA" w:rsidRDefault="00DC65DA"/>
    <w:p w14:paraId="5C7A0A0B" w14:textId="77777777" w:rsidR="00DC65DA" w:rsidRDefault="00DC65DA"/>
    <w:p w14:paraId="412B842A" w14:textId="77777777" w:rsidR="00DC65DA" w:rsidRDefault="00DC65DA"/>
    <w:p w14:paraId="10B9FEE7" w14:textId="77777777" w:rsidR="00DC65DA" w:rsidRDefault="00DC65DA"/>
    <w:p w14:paraId="7792DBD5" w14:textId="77777777" w:rsidR="00DC65DA" w:rsidRDefault="00DC65DA"/>
    <w:p w14:paraId="56FD6730" w14:textId="77777777" w:rsidR="00DC65DA" w:rsidRDefault="00DC65DA"/>
    <w:p w14:paraId="2A71C062" w14:textId="77777777" w:rsidR="00DC65DA" w:rsidRDefault="00DC65DA"/>
    <w:p w14:paraId="15F7C315" w14:textId="77777777" w:rsidR="00DC65DA" w:rsidRDefault="00DC65DA"/>
    <w:p w14:paraId="73ACD4C7" w14:textId="77777777" w:rsidR="00DC65DA" w:rsidRDefault="00DC65DA"/>
    <w:p w14:paraId="69059ADB" w14:textId="77777777" w:rsidR="00DC65DA" w:rsidRDefault="00DC65DA"/>
    <w:p w14:paraId="40BFBD22" w14:textId="77777777" w:rsidR="00DC65DA" w:rsidRDefault="00DC65DA"/>
    <w:p w14:paraId="7FC7F8EE" w14:textId="77777777" w:rsidR="00DC65DA" w:rsidRDefault="00DC65DA"/>
    <w:p w14:paraId="32E1E8D0" w14:textId="77777777" w:rsidR="00DC65DA" w:rsidRDefault="00DC65DA"/>
    <w:p w14:paraId="56B5D7A2" w14:textId="77777777" w:rsidR="00DC65DA" w:rsidRDefault="00DC65DA"/>
    <w:p w14:paraId="37972A77" w14:textId="77777777" w:rsidR="00DC65DA" w:rsidRDefault="00DC65DA"/>
    <w:p w14:paraId="183D3896" w14:textId="77777777" w:rsidR="00DC65DA" w:rsidRDefault="00DC65DA"/>
    <w:p w14:paraId="32B42565" w14:textId="77777777" w:rsidR="00DC65DA" w:rsidRDefault="00DC65DA"/>
    <w:p w14:paraId="04B254E0" w14:textId="77777777" w:rsidR="00DC65DA" w:rsidRDefault="00DC65DA"/>
    <w:p w14:paraId="5ECB5177" w14:textId="77777777" w:rsidR="00DC65DA" w:rsidRDefault="00DC65DA"/>
    <w:p w14:paraId="7FA67645" w14:textId="77777777" w:rsidR="00DC65DA" w:rsidRDefault="00DC65DA"/>
    <w:p w14:paraId="118332DF" w14:textId="77777777" w:rsidR="00DC65DA" w:rsidRDefault="00DC65DA"/>
    <w:p w14:paraId="3B77A9A5" w14:textId="77777777" w:rsidR="00DC65DA" w:rsidRDefault="00DC65DA"/>
    <w:p w14:paraId="2BC35DAD" w14:textId="77777777" w:rsidR="00DC65DA" w:rsidRDefault="00DC65DA"/>
    <w:p w14:paraId="2FA65E8C" w14:textId="77777777" w:rsidR="00DC65DA" w:rsidRDefault="00DC65DA"/>
    <w:p w14:paraId="5B963AB3" w14:textId="77777777" w:rsidR="00DC65DA" w:rsidRDefault="00DC65DA"/>
    <w:p w14:paraId="74B2A31C" w14:textId="77777777" w:rsidR="00DC65DA" w:rsidRDefault="00DC65DA"/>
    <w:p w14:paraId="19EA0175" w14:textId="77777777" w:rsidR="00DC65DA" w:rsidRDefault="00DC65DA"/>
    <w:p w14:paraId="4DE035EA" w14:textId="77777777" w:rsidR="00DC65DA" w:rsidRDefault="00DC65DA"/>
    <w:p w14:paraId="4F005B10" w14:textId="77777777" w:rsidR="00DC65DA" w:rsidRDefault="00DC65DA"/>
    <w:p w14:paraId="65FE261E" w14:textId="77777777" w:rsidR="00DC65DA" w:rsidRDefault="00DC65DA"/>
    <w:p w14:paraId="1775ABED" w14:textId="77777777" w:rsidR="00DC65DA" w:rsidRDefault="00DC65DA"/>
    <w:p w14:paraId="03EEB184" w14:textId="77777777" w:rsidR="00DC65DA" w:rsidRDefault="00DC65DA"/>
    <w:p w14:paraId="28613D31" w14:textId="77777777" w:rsidR="00DC65DA" w:rsidRDefault="00DC65DA"/>
    <w:p w14:paraId="70572BF1" w14:textId="77777777" w:rsidR="00DC65DA" w:rsidRDefault="00DC65DA"/>
    <w:p w14:paraId="65C2006F" w14:textId="77777777" w:rsidR="00DC65DA" w:rsidRDefault="00DC65DA"/>
    <w:p w14:paraId="7765E7B1" w14:textId="77777777" w:rsidR="00DC65DA" w:rsidRDefault="00DC65DA"/>
    <w:p w14:paraId="265DFCAF" w14:textId="77777777" w:rsidR="00DC65DA" w:rsidRDefault="00DC65DA"/>
    <w:p w14:paraId="488ABEA0" w14:textId="77777777" w:rsidR="00DC65DA" w:rsidRDefault="00DC65DA"/>
    <w:p w14:paraId="12AF7AB3" w14:textId="77777777" w:rsidR="00DC65DA" w:rsidRDefault="00DC65DA"/>
    <w:p w14:paraId="183AFBE1" w14:textId="77777777" w:rsidR="00DC65DA" w:rsidRDefault="00DC65DA"/>
    <w:p w14:paraId="369CF434" w14:textId="77777777" w:rsidR="00DC65DA" w:rsidRDefault="00DC65DA"/>
    <w:p w14:paraId="4E51CBC3" w14:textId="77777777" w:rsidR="00DC65DA" w:rsidRDefault="00DC65DA"/>
    <w:p w14:paraId="0EB14C32" w14:textId="77777777" w:rsidR="00DC65DA" w:rsidRDefault="00DC65DA"/>
    <w:p w14:paraId="14930CEC" w14:textId="77777777" w:rsidR="00DC65DA" w:rsidRDefault="00DC65DA"/>
    <w:p w14:paraId="4CCB5AF9" w14:textId="77777777" w:rsidR="00DC65DA" w:rsidRDefault="00DC65DA"/>
    <w:p w14:paraId="0391CB4D" w14:textId="77777777" w:rsidR="00DC65DA" w:rsidRDefault="00DC65DA"/>
    <w:p w14:paraId="6FBF2B8D" w14:textId="77777777" w:rsidR="00DC65DA" w:rsidRDefault="00DC65DA"/>
    <w:p w14:paraId="7C692588" w14:textId="77777777" w:rsidR="00DC65DA" w:rsidRDefault="00DC65DA"/>
    <w:p w14:paraId="529DF275" w14:textId="77777777" w:rsidR="00DC65DA" w:rsidRDefault="00DC65DA"/>
    <w:p w14:paraId="016AA5FA" w14:textId="77777777" w:rsidR="00DC65DA" w:rsidRDefault="00DC65DA"/>
    <w:p w14:paraId="63FFCE6D" w14:textId="77777777" w:rsidR="00DC65DA" w:rsidRDefault="00DC65DA"/>
    <w:p w14:paraId="5B69A24E" w14:textId="77777777" w:rsidR="00DC65DA" w:rsidRDefault="00DC65DA"/>
    <w:p w14:paraId="3AB5C4FB" w14:textId="77777777" w:rsidR="00DC65DA" w:rsidRDefault="00DC65DA"/>
    <w:p w14:paraId="01AE48E3" w14:textId="77777777" w:rsidR="00DC65DA" w:rsidRDefault="00DC65DA"/>
    <w:p w14:paraId="218B189F" w14:textId="77777777" w:rsidR="00DC65DA" w:rsidRDefault="00DC65DA"/>
    <w:p w14:paraId="542763C0" w14:textId="77777777" w:rsidR="00DC65DA" w:rsidRDefault="00DC65DA"/>
    <w:p w14:paraId="2DA310B7" w14:textId="77777777" w:rsidR="00DC65DA" w:rsidRDefault="00DC65DA"/>
    <w:p w14:paraId="1872366F" w14:textId="77777777" w:rsidR="00DC65DA" w:rsidRDefault="00DC65DA"/>
    <w:p w14:paraId="1D468DC9" w14:textId="77777777" w:rsidR="00DC65DA" w:rsidRDefault="00DC65DA"/>
    <w:p w14:paraId="1B774BE1" w14:textId="77777777" w:rsidR="00DC65DA" w:rsidRDefault="00DC65DA"/>
    <w:p w14:paraId="7847015B" w14:textId="77777777" w:rsidR="00DC65DA" w:rsidRDefault="00DC65DA"/>
    <w:p w14:paraId="0CC7D166" w14:textId="4AA6B3A8" w:rsidR="00751ED6" w:rsidRDefault="00DC65DA">
      <w:r>
        <w:t>Reference list :</w:t>
      </w:r>
    </w:p>
    <w:p w14:paraId="105DE48D" w14:textId="77777777" w:rsidR="009F10CC" w:rsidRDefault="009F10CC" w:rsidP="009F10CC">
      <w:pPr>
        <w:rPr>
          <w:color w:val="202124"/>
          <w:sz w:val="28"/>
          <w:szCs w:val="28"/>
          <w:shd w:val="clear" w:color="auto" w:fill="FFFFFF"/>
          <w:lang w:eastAsia="en-US"/>
        </w:rPr>
      </w:pPr>
      <w:r>
        <w:rPr>
          <w:color w:val="202124"/>
          <w:sz w:val="28"/>
          <w:szCs w:val="28"/>
          <w:shd w:val="clear" w:color="auto" w:fill="FFFFFF"/>
        </w:rPr>
        <w:t>Arendt, H(</w:t>
      </w:r>
      <w:r>
        <w:rPr>
          <w:sz w:val="28"/>
          <w:szCs w:val="28"/>
          <w:shd w:val="clear" w:color="auto" w:fill="FFFFFF"/>
        </w:rPr>
        <w:t>1972). “Crises of the Republic: Lying in Politics; Civil Disobedience; On Violence; Thoughts on Politics and Revolution”, p.89, Houghton Mifflin Harcourt</w:t>
      </w:r>
    </w:p>
    <w:p w14:paraId="7D15BECD" w14:textId="77777777" w:rsidR="009F10CC" w:rsidRDefault="009F10CC" w:rsidP="009F10CC">
      <w:pPr>
        <w:rPr>
          <w:sz w:val="28"/>
          <w:szCs w:val="28"/>
        </w:rPr>
      </w:pPr>
      <w:r>
        <w:rPr>
          <w:sz w:val="28"/>
          <w:szCs w:val="28"/>
        </w:rPr>
        <w:t>Bingham, T.H (2011) ‘’The Rule Of Law’’. Penguin, 2011</w:t>
      </w:r>
    </w:p>
    <w:p w14:paraId="4645A68C" w14:textId="77777777" w:rsidR="009F10CC" w:rsidRDefault="009F10CC" w:rsidP="009F10CC">
      <w:pPr>
        <w:rPr>
          <w:sz w:val="28"/>
          <w:szCs w:val="28"/>
        </w:rPr>
      </w:pPr>
      <w:r>
        <w:rPr>
          <w:sz w:val="28"/>
          <w:szCs w:val="28"/>
        </w:rPr>
        <w:t>Burke, E (1729-97) ‘’</w:t>
      </w:r>
      <w:r>
        <w:rPr>
          <w:color w:val="4D5156"/>
          <w:sz w:val="28"/>
          <w:szCs w:val="28"/>
          <w:shd w:val="clear" w:color="auto" w:fill="FFFFFF"/>
        </w:rPr>
        <w:t xml:space="preserve">  '</w:t>
      </w:r>
      <w:r>
        <w:rPr>
          <w:rStyle w:val="Emphasis"/>
          <w:b/>
          <w:bCs/>
          <w:color w:val="5F6368"/>
          <w:sz w:val="28"/>
          <w:szCs w:val="28"/>
          <w:shd w:val="clear" w:color="auto" w:fill="FFFFFF"/>
        </w:rPr>
        <w:t>Bad laws</w:t>
      </w:r>
      <w:r>
        <w:rPr>
          <w:color w:val="4D5156"/>
          <w:sz w:val="28"/>
          <w:szCs w:val="28"/>
          <w:shd w:val="clear" w:color="auto" w:fill="FFFFFF"/>
        </w:rPr>
        <w:t> are the </w:t>
      </w:r>
      <w:r>
        <w:rPr>
          <w:rStyle w:val="Emphasis"/>
          <w:b/>
          <w:bCs/>
          <w:color w:val="5F6368"/>
          <w:sz w:val="28"/>
          <w:szCs w:val="28"/>
          <w:shd w:val="clear" w:color="auto" w:fill="FFFFFF"/>
        </w:rPr>
        <w:t>worst kind</w:t>
      </w:r>
      <w:r>
        <w:rPr>
          <w:color w:val="4D5156"/>
          <w:sz w:val="28"/>
          <w:szCs w:val="28"/>
          <w:shd w:val="clear" w:color="auto" w:fill="FFFFFF"/>
        </w:rPr>
        <w:t> of </w:t>
      </w:r>
      <w:r>
        <w:rPr>
          <w:rStyle w:val="Emphasis"/>
          <w:b/>
          <w:bCs/>
          <w:color w:val="5F6368"/>
          <w:sz w:val="28"/>
          <w:szCs w:val="28"/>
          <w:shd w:val="clear" w:color="auto" w:fill="FFFFFF"/>
        </w:rPr>
        <w:t>tyranny</w:t>
      </w:r>
      <w:r>
        <w:rPr>
          <w:color w:val="4D5156"/>
          <w:sz w:val="28"/>
          <w:szCs w:val="28"/>
          <w:shd w:val="clear" w:color="auto" w:fill="FFFFFF"/>
        </w:rPr>
        <w:t>'’. 1729-97</w:t>
      </w:r>
    </w:p>
    <w:p w14:paraId="79132E3C" w14:textId="77777777" w:rsidR="009F10CC" w:rsidRDefault="009F10CC" w:rsidP="009F10CC">
      <w:pPr>
        <w:rPr>
          <w:sz w:val="28"/>
          <w:szCs w:val="28"/>
        </w:rPr>
      </w:pPr>
      <w:r>
        <w:rPr>
          <w:sz w:val="28"/>
          <w:szCs w:val="28"/>
        </w:rPr>
        <w:t xml:space="preserve">Courts And Tribunals Judicary link : </w:t>
      </w:r>
      <w:hyperlink r:id="rId6" w:history="1">
        <w:r>
          <w:rPr>
            <w:rStyle w:val="Hyperlink"/>
            <w:sz w:val="28"/>
            <w:szCs w:val="28"/>
          </w:rPr>
          <w:t>https://www.judiciary.uk/about-the-judiciary/our-justice-system/court-structure/</w:t>
        </w:r>
      </w:hyperlink>
    </w:p>
    <w:p w14:paraId="6FE1AAC8" w14:textId="77777777" w:rsidR="009F10CC" w:rsidRDefault="009F10CC" w:rsidP="009F10CC">
      <w:pPr>
        <w:rPr>
          <w:color w:val="777777"/>
          <w:sz w:val="28"/>
          <w:szCs w:val="28"/>
          <w:shd w:val="clear" w:color="auto" w:fill="FFFFFF"/>
        </w:rPr>
      </w:pPr>
      <w:r>
        <w:rPr>
          <w:color w:val="777777"/>
          <w:sz w:val="28"/>
          <w:szCs w:val="28"/>
          <w:shd w:val="clear" w:color="auto" w:fill="FFFFFF"/>
        </w:rPr>
        <w:t>Dickens, C. (2003).’’ Bleak House’’Wordsworth EDITION. Penguin Classics 2003</w:t>
      </w:r>
    </w:p>
    <w:p w14:paraId="3F61A594" w14:textId="77777777" w:rsidR="009F10CC" w:rsidRDefault="009F10CC" w:rsidP="009F10CC">
      <w:pPr>
        <w:rPr>
          <w:color w:val="777777"/>
          <w:sz w:val="28"/>
          <w:szCs w:val="28"/>
          <w:shd w:val="clear" w:color="auto" w:fill="FFFFFF"/>
        </w:rPr>
      </w:pPr>
      <w:r>
        <w:rPr>
          <w:color w:val="777777"/>
          <w:sz w:val="28"/>
          <w:szCs w:val="28"/>
          <w:shd w:val="clear" w:color="auto" w:fill="FFFFFF"/>
        </w:rPr>
        <w:t>Denning, A.B. (2005) ‘’Landmarks in the Law’’ Oxford University Press 2005</w:t>
      </w:r>
    </w:p>
    <w:p w14:paraId="201A0066" w14:textId="77777777" w:rsidR="009F10CC" w:rsidRDefault="009F10CC" w:rsidP="009F10CC">
      <w:pPr>
        <w:rPr>
          <w:color w:val="777777"/>
          <w:sz w:val="28"/>
          <w:szCs w:val="28"/>
          <w:shd w:val="clear" w:color="auto" w:fill="FFFFFF"/>
        </w:rPr>
      </w:pPr>
      <w:r>
        <w:rPr>
          <w:color w:val="777777"/>
          <w:sz w:val="28"/>
          <w:szCs w:val="28"/>
          <w:shd w:val="clear" w:color="auto" w:fill="FFFFFF"/>
        </w:rPr>
        <w:t>Eger, E. (2018) ‘’</w:t>
      </w:r>
      <w:r>
        <w:rPr>
          <w:sz w:val="28"/>
          <w:szCs w:val="28"/>
        </w:rPr>
        <w:t xml:space="preserve"> </w:t>
      </w:r>
      <w:r>
        <w:rPr>
          <w:color w:val="777777"/>
          <w:sz w:val="28"/>
          <w:szCs w:val="28"/>
          <w:shd w:val="clear" w:color="auto" w:fill="FFFFFF"/>
        </w:rPr>
        <w:t>The Choice: A true story of hope Paperback’’ Rider 2018</w:t>
      </w:r>
    </w:p>
    <w:p w14:paraId="208E1688" w14:textId="77777777" w:rsidR="009F10CC" w:rsidRDefault="009F10CC" w:rsidP="009F10CC">
      <w:pPr>
        <w:rPr>
          <w:sz w:val="28"/>
          <w:szCs w:val="28"/>
        </w:rPr>
      </w:pPr>
      <w:r>
        <w:rPr>
          <w:sz w:val="28"/>
          <w:szCs w:val="28"/>
        </w:rPr>
        <w:t>Fielding,H (1707-54) ‘’ Where the Law ends Tyranny Begans’’ (1707-54)</w:t>
      </w:r>
    </w:p>
    <w:p w14:paraId="06033235" w14:textId="77777777" w:rsidR="009F10CC" w:rsidRDefault="009F10CC" w:rsidP="009F10CC">
      <w:pPr>
        <w:rPr>
          <w:sz w:val="28"/>
          <w:szCs w:val="28"/>
        </w:rPr>
      </w:pPr>
      <w:r>
        <w:rPr>
          <w:sz w:val="28"/>
          <w:szCs w:val="28"/>
        </w:rPr>
        <w:t>Fafinski, S (2021) ‘’Criminal Law’’(8</w:t>
      </w:r>
      <w:r>
        <w:rPr>
          <w:sz w:val="28"/>
          <w:szCs w:val="28"/>
          <w:vertAlign w:val="superscript"/>
        </w:rPr>
        <w:t>th</w:t>
      </w:r>
      <w:r>
        <w:rPr>
          <w:sz w:val="28"/>
          <w:szCs w:val="28"/>
        </w:rPr>
        <w:t xml:space="preserve"> edition). Pearson, 2021</w:t>
      </w:r>
    </w:p>
    <w:p w14:paraId="43A9C3B7" w14:textId="77777777" w:rsidR="009F10CC" w:rsidRDefault="009F10CC" w:rsidP="009F10CC">
      <w:pPr>
        <w:rPr>
          <w:sz w:val="28"/>
          <w:szCs w:val="28"/>
        </w:rPr>
      </w:pPr>
      <w:r>
        <w:rPr>
          <w:sz w:val="28"/>
          <w:szCs w:val="28"/>
        </w:rPr>
        <w:t>Fafinski, S (2021) ‘’Contract Law’’(7</w:t>
      </w:r>
      <w:r>
        <w:rPr>
          <w:sz w:val="28"/>
          <w:szCs w:val="28"/>
          <w:vertAlign w:val="superscript"/>
        </w:rPr>
        <w:t>th</w:t>
      </w:r>
      <w:r>
        <w:rPr>
          <w:sz w:val="28"/>
          <w:szCs w:val="28"/>
        </w:rPr>
        <w:t xml:space="preserve"> edition). Pearson, 2021</w:t>
      </w:r>
    </w:p>
    <w:p w14:paraId="62C6209D" w14:textId="77777777" w:rsidR="009F10CC" w:rsidRDefault="009F10CC" w:rsidP="009F10CC">
      <w:pPr>
        <w:rPr>
          <w:color w:val="777777"/>
          <w:sz w:val="28"/>
          <w:szCs w:val="28"/>
          <w:shd w:val="clear" w:color="auto" w:fill="FFFFFF"/>
        </w:rPr>
      </w:pPr>
      <w:r>
        <w:rPr>
          <w:color w:val="777777"/>
          <w:sz w:val="28"/>
          <w:szCs w:val="28"/>
          <w:shd w:val="clear" w:color="auto" w:fill="FFFFFF"/>
        </w:rPr>
        <w:t>Freeman, I. (1993) ‘’</w:t>
      </w:r>
      <w:r>
        <w:rPr>
          <w:sz w:val="28"/>
          <w:szCs w:val="28"/>
        </w:rPr>
        <w:t xml:space="preserve"> </w:t>
      </w:r>
      <w:r>
        <w:rPr>
          <w:color w:val="777777"/>
          <w:sz w:val="28"/>
          <w:szCs w:val="28"/>
          <w:shd w:val="clear" w:color="auto" w:fill="FFFFFF"/>
        </w:rPr>
        <w:t>Lord Denning: A Life’’ Hutchinson 1993</w:t>
      </w:r>
    </w:p>
    <w:p w14:paraId="65DE1EC5" w14:textId="77777777" w:rsidR="009F10CC" w:rsidRDefault="009F10CC" w:rsidP="009F10CC">
      <w:pPr>
        <w:rPr>
          <w:color w:val="777777"/>
          <w:sz w:val="28"/>
          <w:szCs w:val="28"/>
          <w:shd w:val="clear" w:color="auto" w:fill="FFFFFF"/>
        </w:rPr>
      </w:pPr>
      <w:r>
        <w:rPr>
          <w:color w:val="777777"/>
          <w:sz w:val="28"/>
          <w:szCs w:val="28"/>
          <w:shd w:val="clear" w:color="auto" w:fill="FFFFFF"/>
        </w:rPr>
        <w:t>Grant, T. (2015) ‘’</w:t>
      </w:r>
      <w:r>
        <w:rPr>
          <w:sz w:val="28"/>
          <w:szCs w:val="28"/>
        </w:rPr>
        <w:t xml:space="preserve"> </w:t>
      </w:r>
      <w:r>
        <w:rPr>
          <w:color w:val="777777"/>
          <w:sz w:val="28"/>
          <w:szCs w:val="28"/>
          <w:shd w:val="clear" w:color="auto" w:fill="FFFFFF"/>
        </w:rPr>
        <w:t>Jeremy Hutchinson’s Case Histories’’ John Murray 2015</w:t>
      </w:r>
    </w:p>
    <w:p w14:paraId="154F4F73" w14:textId="77777777" w:rsidR="009F10CC" w:rsidRDefault="009F10CC" w:rsidP="009F10CC">
      <w:pPr>
        <w:rPr>
          <w:color w:val="777777"/>
          <w:sz w:val="28"/>
          <w:szCs w:val="28"/>
          <w:shd w:val="clear" w:color="auto" w:fill="FFFFFF"/>
        </w:rPr>
      </w:pPr>
      <w:r>
        <w:rPr>
          <w:color w:val="777777"/>
          <w:sz w:val="28"/>
          <w:szCs w:val="28"/>
          <w:shd w:val="clear" w:color="auto" w:fill="FFFFFF"/>
        </w:rPr>
        <w:t>Glasser, W. (2007) ‘’</w:t>
      </w:r>
      <w:r>
        <w:rPr>
          <w:sz w:val="28"/>
          <w:szCs w:val="28"/>
        </w:rPr>
        <w:t xml:space="preserve"> </w:t>
      </w:r>
      <w:r>
        <w:rPr>
          <w:color w:val="777777"/>
          <w:sz w:val="28"/>
          <w:szCs w:val="28"/>
          <w:shd w:val="clear" w:color="auto" w:fill="FFFFFF"/>
        </w:rPr>
        <w:t>Choice Theory: A New Psychology of Personal Freedom’’ 2007</w:t>
      </w:r>
    </w:p>
    <w:p w14:paraId="1EA7A720" w14:textId="77777777" w:rsidR="009F10CC" w:rsidRDefault="009F10CC" w:rsidP="009F10CC">
      <w:pPr>
        <w:rPr>
          <w:color w:val="777777"/>
          <w:sz w:val="28"/>
          <w:szCs w:val="28"/>
          <w:shd w:val="clear" w:color="auto" w:fill="FFFFFF"/>
        </w:rPr>
      </w:pPr>
      <w:r>
        <w:rPr>
          <w:color w:val="777777"/>
          <w:sz w:val="28"/>
          <w:szCs w:val="28"/>
          <w:shd w:val="clear" w:color="auto" w:fill="FFFFFF"/>
        </w:rPr>
        <w:t>Heinrichs, J.(2010)’’</w:t>
      </w:r>
      <w:r>
        <w:rPr>
          <w:sz w:val="28"/>
          <w:szCs w:val="28"/>
        </w:rPr>
        <w:t xml:space="preserve"> </w:t>
      </w:r>
      <w:r>
        <w:rPr>
          <w:color w:val="777777"/>
          <w:sz w:val="28"/>
          <w:szCs w:val="28"/>
          <w:shd w:val="clear" w:color="auto" w:fill="FFFFFF"/>
        </w:rPr>
        <w:t>Winning Arguments: From Aristotle to Obama - Everything You Need to Know About the Art of Persuasion’’ Penguin 2010</w:t>
      </w:r>
    </w:p>
    <w:p w14:paraId="20C340E2" w14:textId="77777777" w:rsidR="009F10CC" w:rsidRPr="00973BBB" w:rsidRDefault="009F10CC" w:rsidP="009F10CC">
      <w:pPr>
        <w:rPr>
          <w:rFonts w:asciiTheme="minorHAnsi" w:hAnsiTheme="minorHAnsi" w:cstheme="minorBidi"/>
          <w:sz w:val="22"/>
          <w:szCs w:val="22"/>
        </w:rPr>
      </w:pPr>
      <w:r>
        <w:rPr>
          <w:color w:val="212529"/>
          <w:sz w:val="28"/>
          <w:szCs w:val="28"/>
          <w:shd w:val="clear" w:color="auto" w:fill="FFFFFF"/>
        </w:rPr>
        <w:t xml:space="preserve">Honoré, T. (1995) ‘’About Law’’ </w:t>
      </w:r>
      <w:r>
        <w:rPr>
          <w:color w:val="777777"/>
          <w:sz w:val="28"/>
          <w:szCs w:val="28"/>
          <w:shd w:val="clear" w:color="auto" w:fill="FFFFFF"/>
        </w:rPr>
        <w:t>Oxford University Press</w:t>
      </w:r>
      <w:r>
        <w:t>, 1995</w:t>
      </w:r>
    </w:p>
    <w:p w14:paraId="7D9CD1CC" w14:textId="77777777" w:rsidR="009F10CC" w:rsidRDefault="009F10CC" w:rsidP="009F10CC">
      <w:pPr>
        <w:rPr>
          <w:sz w:val="28"/>
          <w:szCs w:val="28"/>
        </w:rPr>
      </w:pPr>
      <w:r>
        <w:rPr>
          <w:sz w:val="28"/>
          <w:szCs w:val="28"/>
        </w:rPr>
        <w:t>King, M.L. (1961) "Injustice anywhere is a threat to justice everywhere." 1961</w:t>
      </w:r>
    </w:p>
    <w:p w14:paraId="04298C0E" w14:textId="77777777" w:rsidR="009F10CC" w:rsidRDefault="009F10CC" w:rsidP="009F10CC">
      <w:pPr>
        <w:rPr>
          <w:color w:val="777777"/>
          <w:sz w:val="28"/>
          <w:szCs w:val="28"/>
          <w:shd w:val="clear" w:color="auto" w:fill="FFFFFF"/>
        </w:rPr>
      </w:pPr>
      <w:r>
        <w:rPr>
          <w:color w:val="777777"/>
          <w:sz w:val="28"/>
          <w:szCs w:val="28"/>
          <w:shd w:val="clear" w:color="auto" w:fill="FFFFFF"/>
        </w:rPr>
        <w:t>Lee, H. (1960) ‘’To Kill A Mockingbird’’ J.B Lippincott C.O 1960</w:t>
      </w:r>
    </w:p>
    <w:p w14:paraId="48EE9BD3" w14:textId="77777777" w:rsidR="009F10CC" w:rsidRDefault="009F10CC" w:rsidP="009F10CC">
      <w:pPr>
        <w:rPr>
          <w:color w:val="777777"/>
          <w:sz w:val="28"/>
          <w:szCs w:val="28"/>
          <w:shd w:val="clear" w:color="auto" w:fill="FFFFFF"/>
        </w:rPr>
      </w:pPr>
      <w:r>
        <w:rPr>
          <w:color w:val="777777"/>
          <w:sz w:val="28"/>
          <w:szCs w:val="28"/>
          <w:shd w:val="clear" w:color="auto" w:fill="FFFFFF"/>
        </w:rPr>
        <w:t>McBride, N. (2017) ‘’ Letters to a Law Student: A guide to studying law at university’’ Pearson 2017</w:t>
      </w:r>
    </w:p>
    <w:p w14:paraId="04DCC3F9" w14:textId="77777777" w:rsidR="009F10CC" w:rsidRDefault="009F10CC" w:rsidP="009F10CC">
      <w:pPr>
        <w:rPr>
          <w:sz w:val="28"/>
          <w:szCs w:val="28"/>
        </w:rPr>
      </w:pPr>
      <w:r>
        <w:rPr>
          <w:sz w:val="28"/>
          <w:szCs w:val="28"/>
        </w:rPr>
        <w:t>Mcbride, N.J (2022) ‘’Letters To A Law’’. Pearson, 2022</w:t>
      </w:r>
    </w:p>
    <w:p w14:paraId="2456E487" w14:textId="77777777" w:rsidR="009F10CC" w:rsidRDefault="009F10CC" w:rsidP="009F10CC">
      <w:pPr>
        <w:rPr>
          <w:color w:val="343332"/>
          <w:spacing w:val="-4"/>
          <w:sz w:val="28"/>
          <w:szCs w:val="28"/>
        </w:rPr>
      </w:pPr>
      <w:r>
        <w:rPr>
          <w:color w:val="343332"/>
          <w:spacing w:val="-5"/>
          <w:sz w:val="28"/>
          <w:szCs w:val="28"/>
        </w:rPr>
        <w:lastRenderedPageBreak/>
        <w:t>MILSOM, S.F.C. (2003) ‘’</w:t>
      </w:r>
      <w:r>
        <w:rPr>
          <w:color w:val="343332"/>
          <w:spacing w:val="-4"/>
          <w:sz w:val="28"/>
          <w:szCs w:val="28"/>
        </w:rPr>
        <w:t xml:space="preserve"> A Natural History of the Common Law’’. Columbia University Press, 2003</w:t>
      </w:r>
    </w:p>
    <w:p w14:paraId="3489C3F2" w14:textId="77777777" w:rsidR="009F10CC" w:rsidRDefault="009F10CC" w:rsidP="009F10CC">
      <w:pPr>
        <w:rPr>
          <w:sz w:val="28"/>
          <w:szCs w:val="28"/>
        </w:rPr>
      </w:pPr>
      <w:r>
        <w:rPr>
          <w:sz w:val="28"/>
          <w:szCs w:val="28"/>
        </w:rPr>
        <w:t>Rose, C (2022) ‘’Public International Law’’. Cambridge University Press, 2022</w:t>
      </w:r>
    </w:p>
    <w:p w14:paraId="242ED788" w14:textId="77777777" w:rsidR="009F10CC" w:rsidRDefault="009F10CC" w:rsidP="009F10CC">
      <w:pPr>
        <w:rPr>
          <w:color w:val="212529"/>
          <w:sz w:val="28"/>
          <w:szCs w:val="28"/>
          <w:shd w:val="clear" w:color="auto" w:fill="FFFFFF"/>
        </w:rPr>
      </w:pPr>
      <w:r>
        <w:rPr>
          <w:color w:val="212529"/>
          <w:sz w:val="28"/>
          <w:szCs w:val="28"/>
          <w:shd w:val="clear" w:color="auto" w:fill="FFFFFF"/>
        </w:rPr>
        <w:t>Riley, B.(1997) ‘’</w:t>
      </w:r>
      <w:r>
        <w:rPr>
          <w:color w:val="101010"/>
          <w:sz w:val="28"/>
          <w:szCs w:val="28"/>
          <w:shd w:val="clear" w:color="auto" w:fill="FFFFFF"/>
        </w:rPr>
        <w:t>Drugs are the enemies of ambition and hope - and when we fight against drugs we are fighting for the future’’.</w:t>
      </w:r>
      <w:r>
        <w:rPr>
          <w:color w:val="212529"/>
          <w:sz w:val="28"/>
          <w:szCs w:val="28"/>
          <w:shd w:val="clear" w:color="auto" w:fill="FFFFFF"/>
        </w:rPr>
        <w:t xml:space="preserve">Bob Riley Quotes. (n.d.). BrainyQuote.com. Retrieved March 10, 2023, from BrainyQuote.com Web site: </w:t>
      </w:r>
      <w:hyperlink r:id="rId7" w:history="1">
        <w:r>
          <w:rPr>
            <w:rStyle w:val="Hyperlink"/>
            <w:sz w:val="28"/>
            <w:szCs w:val="28"/>
            <w:shd w:val="clear" w:color="auto" w:fill="FFFFFF"/>
          </w:rPr>
          <w:t>https://www.brainyquote.com/quotes/bob_riley_167770</w:t>
        </w:r>
      </w:hyperlink>
    </w:p>
    <w:p w14:paraId="340F5439" w14:textId="77777777" w:rsidR="009F10CC" w:rsidRDefault="009F10CC" w:rsidP="009F10CC">
      <w:pPr>
        <w:rPr>
          <w:color w:val="777777"/>
          <w:sz w:val="28"/>
          <w:szCs w:val="28"/>
          <w:shd w:val="clear" w:color="auto" w:fill="FFFFFF"/>
        </w:rPr>
      </w:pPr>
      <w:r>
        <w:rPr>
          <w:color w:val="777777"/>
          <w:sz w:val="28"/>
          <w:szCs w:val="28"/>
          <w:shd w:val="clear" w:color="auto" w:fill="FFFFFF"/>
        </w:rPr>
        <w:t>Smith, A.T.H (2020) ‘’</w:t>
      </w:r>
      <w:r>
        <w:rPr>
          <w:sz w:val="28"/>
          <w:szCs w:val="28"/>
        </w:rPr>
        <w:t xml:space="preserve"> </w:t>
      </w:r>
      <w:r>
        <w:rPr>
          <w:color w:val="777777"/>
          <w:sz w:val="28"/>
          <w:szCs w:val="28"/>
          <w:shd w:val="clear" w:color="auto" w:fill="FFFFFF"/>
        </w:rPr>
        <w:t>Glanville Williams: Learning the Law’’ Sweet and Maxwell 2020</w:t>
      </w:r>
    </w:p>
    <w:p w14:paraId="4B1EE40D" w14:textId="77777777" w:rsidR="009F10CC" w:rsidRDefault="009F10CC" w:rsidP="009F10CC">
      <w:pPr>
        <w:rPr>
          <w:color w:val="777777"/>
          <w:sz w:val="28"/>
          <w:szCs w:val="28"/>
          <w:shd w:val="clear" w:color="auto" w:fill="FFFFFF"/>
        </w:rPr>
      </w:pPr>
      <w:r>
        <w:rPr>
          <w:color w:val="777777"/>
          <w:sz w:val="28"/>
          <w:szCs w:val="28"/>
          <w:shd w:val="clear" w:color="auto" w:fill="FFFFFF"/>
        </w:rPr>
        <w:t>Walter, D. (2020) ‘’</w:t>
      </w:r>
      <w:r>
        <w:rPr>
          <w:sz w:val="28"/>
          <w:szCs w:val="28"/>
        </w:rPr>
        <w:t xml:space="preserve"> </w:t>
      </w:r>
      <w:r>
        <w:rPr>
          <w:color w:val="777777"/>
          <w:sz w:val="28"/>
          <w:szCs w:val="28"/>
          <w:shd w:val="clear" w:color="auto" w:fill="FFFFFF"/>
        </w:rPr>
        <w:t>The Power of Discipline: How to Use Self Control and Mental Toughness to Achieve Your Goals’’ 2020</w:t>
      </w:r>
    </w:p>
    <w:p w14:paraId="20B06BF3" w14:textId="77777777" w:rsidR="009F10CC" w:rsidRDefault="009F10CC"/>
    <w:sectPr w:rsidR="009F10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70DD2" w14:textId="77777777" w:rsidR="00826211" w:rsidRDefault="00826211" w:rsidP="00E11501">
      <w:r>
        <w:separator/>
      </w:r>
    </w:p>
  </w:endnote>
  <w:endnote w:type="continuationSeparator" w:id="0">
    <w:p w14:paraId="2A5FF461" w14:textId="77777777" w:rsidR="00826211" w:rsidRDefault="00826211" w:rsidP="00E115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AC29C" w14:textId="77777777" w:rsidR="00826211" w:rsidRDefault="00826211" w:rsidP="00E11501">
      <w:r>
        <w:separator/>
      </w:r>
    </w:p>
  </w:footnote>
  <w:footnote w:type="continuationSeparator" w:id="0">
    <w:p w14:paraId="23C1FCB3" w14:textId="77777777" w:rsidR="00826211" w:rsidRDefault="00826211" w:rsidP="00E1150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CED"/>
    <w:rsid w:val="00024160"/>
    <w:rsid w:val="000610FF"/>
    <w:rsid w:val="00065B7F"/>
    <w:rsid w:val="00082EC6"/>
    <w:rsid w:val="000C77E7"/>
    <w:rsid w:val="00102B57"/>
    <w:rsid w:val="001037A9"/>
    <w:rsid w:val="001A10E2"/>
    <w:rsid w:val="00253A1B"/>
    <w:rsid w:val="002F1F9E"/>
    <w:rsid w:val="00335612"/>
    <w:rsid w:val="00353013"/>
    <w:rsid w:val="00417739"/>
    <w:rsid w:val="004A66D1"/>
    <w:rsid w:val="005753C4"/>
    <w:rsid w:val="005C4CED"/>
    <w:rsid w:val="00751ED6"/>
    <w:rsid w:val="007B26EF"/>
    <w:rsid w:val="00825162"/>
    <w:rsid w:val="00826211"/>
    <w:rsid w:val="00920F81"/>
    <w:rsid w:val="0093651C"/>
    <w:rsid w:val="00954458"/>
    <w:rsid w:val="00973BBB"/>
    <w:rsid w:val="009B02D6"/>
    <w:rsid w:val="009E264D"/>
    <w:rsid w:val="009F10CC"/>
    <w:rsid w:val="00A50346"/>
    <w:rsid w:val="00B719ED"/>
    <w:rsid w:val="00BB3942"/>
    <w:rsid w:val="00BE7425"/>
    <w:rsid w:val="00BE77C6"/>
    <w:rsid w:val="00BF3213"/>
    <w:rsid w:val="00C40CE7"/>
    <w:rsid w:val="00C5229F"/>
    <w:rsid w:val="00CD33B5"/>
    <w:rsid w:val="00D27BE6"/>
    <w:rsid w:val="00D340D0"/>
    <w:rsid w:val="00D44C13"/>
    <w:rsid w:val="00DC3B25"/>
    <w:rsid w:val="00DC65DA"/>
    <w:rsid w:val="00DF6AA2"/>
    <w:rsid w:val="00E044B9"/>
    <w:rsid w:val="00E11501"/>
    <w:rsid w:val="00E33B16"/>
    <w:rsid w:val="00E86179"/>
    <w:rsid w:val="00EE76F9"/>
    <w:rsid w:val="00F3459C"/>
    <w:rsid w:val="00F55EAD"/>
    <w:rsid w:val="00FC3BCE"/>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6338C"/>
  <w15:chartTrackingRefBased/>
  <w15:docId w15:val="{84D10392-F0F6-4DD2-8CE6-B76048B97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BE6"/>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1501"/>
    <w:pPr>
      <w:tabs>
        <w:tab w:val="center" w:pos="4513"/>
        <w:tab w:val="right" w:pos="9026"/>
      </w:tabs>
    </w:pPr>
  </w:style>
  <w:style w:type="character" w:customStyle="1" w:styleId="HeaderChar">
    <w:name w:val="Header Char"/>
    <w:basedOn w:val="DefaultParagraphFont"/>
    <w:link w:val="Header"/>
    <w:uiPriority w:val="99"/>
    <w:rsid w:val="00E11501"/>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E11501"/>
    <w:pPr>
      <w:tabs>
        <w:tab w:val="center" w:pos="4513"/>
        <w:tab w:val="right" w:pos="9026"/>
      </w:tabs>
    </w:pPr>
  </w:style>
  <w:style w:type="character" w:customStyle="1" w:styleId="FooterChar">
    <w:name w:val="Footer Char"/>
    <w:basedOn w:val="DefaultParagraphFont"/>
    <w:link w:val="Footer"/>
    <w:uiPriority w:val="99"/>
    <w:rsid w:val="00E11501"/>
    <w:rPr>
      <w:rFonts w:ascii="Times New Roman" w:eastAsia="Times New Roman" w:hAnsi="Times New Roman" w:cs="Times New Roman"/>
      <w:sz w:val="20"/>
      <w:szCs w:val="20"/>
      <w:lang w:val="en-GB" w:eastAsia="en-GB"/>
    </w:rPr>
  </w:style>
  <w:style w:type="paragraph" w:styleId="NoSpacing">
    <w:name w:val="No Spacing"/>
    <w:uiPriority w:val="1"/>
    <w:qFormat/>
    <w:rsid w:val="00C5229F"/>
    <w:pPr>
      <w:spacing w:after="0" w:line="240" w:lineRule="auto"/>
    </w:pPr>
    <w:rPr>
      <w:rFonts w:ascii="Times New Roman" w:eastAsia="Times New Roman" w:hAnsi="Times New Roman" w:cs="Times New Roman"/>
      <w:sz w:val="20"/>
      <w:szCs w:val="20"/>
      <w:lang w:val="en-GB" w:eastAsia="en-GB"/>
    </w:rPr>
  </w:style>
  <w:style w:type="character" w:styleId="Hyperlink">
    <w:name w:val="Hyperlink"/>
    <w:basedOn w:val="DefaultParagraphFont"/>
    <w:uiPriority w:val="99"/>
    <w:semiHidden/>
    <w:unhideWhenUsed/>
    <w:rsid w:val="009F10CC"/>
    <w:rPr>
      <w:color w:val="0000FF"/>
      <w:u w:val="single"/>
    </w:rPr>
  </w:style>
  <w:style w:type="character" w:styleId="Emphasis">
    <w:name w:val="Emphasis"/>
    <w:basedOn w:val="DefaultParagraphFont"/>
    <w:uiPriority w:val="20"/>
    <w:qFormat/>
    <w:rsid w:val="009F10C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422217">
      <w:bodyDiv w:val="1"/>
      <w:marLeft w:val="0"/>
      <w:marRight w:val="0"/>
      <w:marTop w:val="0"/>
      <w:marBottom w:val="0"/>
      <w:divBdr>
        <w:top w:val="none" w:sz="0" w:space="0" w:color="auto"/>
        <w:left w:val="none" w:sz="0" w:space="0" w:color="auto"/>
        <w:bottom w:val="none" w:sz="0" w:space="0" w:color="auto"/>
        <w:right w:val="none" w:sz="0" w:space="0" w:color="auto"/>
      </w:divBdr>
    </w:div>
    <w:div w:id="1189299486">
      <w:bodyDiv w:val="1"/>
      <w:marLeft w:val="0"/>
      <w:marRight w:val="0"/>
      <w:marTop w:val="0"/>
      <w:marBottom w:val="0"/>
      <w:divBdr>
        <w:top w:val="none" w:sz="0" w:space="0" w:color="auto"/>
        <w:left w:val="none" w:sz="0" w:space="0" w:color="auto"/>
        <w:bottom w:val="none" w:sz="0" w:space="0" w:color="auto"/>
        <w:right w:val="none" w:sz="0" w:space="0" w:color="auto"/>
      </w:divBdr>
    </w:div>
    <w:div w:id="1293168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rainyquote.com/quotes/bob_riley_16777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udiciary.uk/about-the-judiciary/our-justice-system/court-structure/"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1725</Words>
  <Characters>10356</Characters>
  <Application>Microsoft Office Word</Application>
  <DocSecurity>0</DocSecurity>
  <Lines>86</Lines>
  <Paragraphs>24</Paragraphs>
  <ScaleCrop>false</ScaleCrop>
  <Company/>
  <LinksUpToDate>false</LinksUpToDate>
  <CharactersWithSpaces>12057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Golina (2210589)</dc:creator>
  <cp:keywords/>
  <dc:description/>
  <cp:lastModifiedBy>Aleksandra</cp:lastModifiedBy>
  <cp:revision>2</cp:revision>
  <dcterms:created xsi:type="dcterms:W3CDTF">2023-03-10T23:24:00Z</dcterms:created>
  <dcterms:modified xsi:type="dcterms:W3CDTF">2023-03-10T23:24:00Z</dcterms:modified>
</cp:coreProperties>
</file>