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0D8675" w14:textId="77777777" w:rsidR="00D600A6" w:rsidRPr="00D600A6" w:rsidRDefault="00D600A6">
      <w:pPr>
        <w:rPr>
          <w:rFonts w:ascii="Arial" w:hAnsi="Arial" w:cs="Arial"/>
        </w:rPr>
      </w:pPr>
    </w:p>
    <w:p w14:paraId="4F387C9B" w14:textId="77777777" w:rsidR="00D600A6" w:rsidRPr="00D600A6" w:rsidRDefault="00D600A6">
      <w:pPr>
        <w:rPr>
          <w:rFonts w:ascii="Arial" w:hAnsi="Arial" w:cs="Arial"/>
        </w:rPr>
      </w:pPr>
    </w:p>
    <w:p w14:paraId="3EA910DB" w14:textId="77777777" w:rsidR="00D600A6" w:rsidRPr="00D600A6" w:rsidRDefault="00D600A6">
      <w:pPr>
        <w:rPr>
          <w:rFonts w:ascii="Arial" w:hAnsi="Arial" w:cs="Arial"/>
        </w:rPr>
      </w:pPr>
    </w:p>
    <w:p w14:paraId="32DFA98B" w14:textId="77777777" w:rsidR="00D600A6" w:rsidRPr="00D600A6" w:rsidRDefault="00D600A6">
      <w:pPr>
        <w:rPr>
          <w:rFonts w:ascii="Arial" w:hAnsi="Arial" w:cs="Arial"/>
        </w:rPr>
      </w:pPr>
    </w:p>
    <w:p w14:paraId="1B2C42B7" w14:textId="77777777" w:rsidR="00D600A6" w:rsidRPr="00D600A6" w:rsidRDefault="00D600A6">
      <w:pPr>
        <w:rPr>
          <w:rFonts w:ascii="Arial" w:hAnsi="Arial" w:cs="Arial"/>
        </w:rPr>
      </w:pPr>
    </w:p>
    <w:p w14:paraId="7EE52B35" w14:textId="77777777" w:rsidR="00D600A6" w:rsidRPr="00D600A6" w:rsidRDefault="00D600A6">
      <w:pPr>
        <w:rPr>
          <w:rFonts w:ascii="Arial" w:hAnsi="Arial" w:cs="Arial"/>
        </w:rPr>
      </w:pPr>
    </w:p>
    <w:p w14:paraId="747E5210" w14:textId="77777777" w:rsidR="00D600A6" w:rsidRDefault="00D600A6">
      <w:pPr>
        <w:rPr>
          <w:rFonts w:ascii="Arial" w:hAnsi="Arial" w:cs="Arial"/>
        </w:rPr>
      </w:pPr>
    </w:p>
    <w:p w14:paraId="594B2772" w14:textId="77777777" w:rsidR="00D600A6" w:rsidRPr="00D600A6" w:rsidRDefault="00D600A6">
      <w:pPr>
        <w:rPr>
          <w:rFonts w:ascii="Arial" w:hAnsi="Arial" w:cs="Arial"/>
        </w:rPr>
      </w:pPr>
    </w:p>
    <w:p w14:paraId="2F14CF74" w14:textId="77777777" w:rsidR="00D600A6" w:rsidRDefault="00D600A6">
      <w:pPr>
        <w:rPr>
          <w:rFonts w:ascii="Arial" w:hAnsi="Arial" w:cs="Arial"/>
        </w:rPr>
      </w:pPr>
    </w:p>
    <w:p w14:paraId="19C88BD6" w14:textId="77777777" w:rsidR="00D600A6" w:rsidRPr="00D600A6" w:rsidRDefault="00D600A6">
      <w:pPr>
        <w:rPr>
          <w:rFonts w:ascii="Arial" w:hAnsi="Arial" w:cs="Arial"/>
        </w:rPr>
      </w:pPr>
    </w:p>
    <w:p w14:paraId="32569BB1" w14:textId="77777777" w:rsidR="00D600A6" w:rsidRPr="00D600A6" w:rsidRDefault="00D600A6">
      <w:pPr>
        <w:rPr>
          <w:rFonts w:ascii="Arial" w:hAnsi="Arial" w:cs="Arial"/>
        </w:rPr>
      </w:pPr>
    </w:p>
    <w:p w14:paraId="6962A887" w14:textId="77777777" w:rsidR="00D600A6" w:rsidRPr="00D600A6" w:rsidRDefault="00D600A6">
      <w:pPr>
        <w:rPr>
          <w:rFonts w:ascii="Arial" w:hAnsi="Arial" w:cs="Arial"/>
        </w:rPr>
      </w:pPr>
    </w:p>
    <w:p w14:paraId="6C5B2551" w14:textId="0774C7A1" w:rsidR="00D600A6" w:rsidRPr="00D600A6" w:rsidRDefault="00D600A6" w:rsidP="00D600A6">
      <w:pPr>
        <w:jc w:val="center"/>
        <w:rPr>
          <w:rFonts w:ascii="Arial" w:hAnsi="Arial" w:cs="Arial"/>
        </w:rPr>
      </w:pPr>
      <w:r w:rsidRPr="00D600A6">
        <w:rPr>
          <w:rFonts w:ascii="Arial" w:hAnsi="Arial" w:cs="Arial"/>
        </w:rPr>
        <w:t>Human Resources Advisory Plan.</w:t>
      </w:r>
    </w:p>
    <w:p w14:paraId="3946E13A" w14:textId="6F3B4E8A" w:rsidR="00D600A6" w:rsidRPr="00D600A6" w:rsidRDefault="00D600A6" w:rsidP="00D600A6">
      <w:pPr>
        <w:jc w:val="center"/>
        <w:rPr>
          <w:rFonts w:ascii="Arial" w:hAnsi="Arial" w:cs="Arial"/>
        </w:rPr>
      </w:pPr>
      <w:r w:rsidRPr="00D600A6">
        <w:rPr>
          <w:rFonts w:ascii="Arial" w:hAnsi="Arial" w:cs="Arial"/>
        </w:rPr>
        <w:t xml:space="preserve">Operation Management for Tourism, Leisure, and Event - </w:t>
      </w:r>
      <w:r w:rsidRPr="00D600A6">
        <w:rPr>
          <w:rFonts w:ascii="Arial" w:hAnsi="Arial" w:cs="Arial"/>
        </w:rPr>
        <w:t>BMTP5019</w:t>
      </w:r>
      <w:r w:rsidRPr="00D600A6">
        <w:rPr>
          <w:rFonts w:ascii="Arial" w:hAnsi="Arial" w:cs="Arial"/>
        </w:rPr>
        <w:t>.</w:t>
      </w:r>
    </w:p>
    <w:p w14:paraId="2BE36151" w14:textId="4EB850AE" w:rsidR="00D600A6" w:rsidRPr="00D600A6" w:rsidRDefault="00D600A6" w:rsidP="00D600A6">
      <w:pPr>
        <w:jc w:val="center"/>
        <w:rPr>
          <w:rFonts w:ascii="Arial" w:hAnsi="Arial" w:cs="Arial"/>
        </w:rPr>
      </w:pPr>
      <w:r w:rsidRPr="00D600A6">
        <w:rPr>
          <w:rFonts w:ascii="Arial" w:hAnsi="Arial" w:cs="Arial"/>
        </w:rPr>
        <w:t>Deborah Jenkins.</w:t>
      </w:r>
    </w:p>
    <w:p w14:paraId="42A71326" w14:textId="3183B589" w:rsidR="00D600A6" w:rsidRPr="00D600A6" w:rsidRDefault="00D600A6" w:rsidP="00D600A6">
      <w:pPr>
        <w:jc w:val="center"/>
        <w:rPr>
          <w:rFonts w:ascii="Arial" w:hAnsi="Arial" w:cs="Arial"/>
        </w:rPr>
      </w:pPr>
      <w:r w:rsidRPr="00D600A6">
        <w:rPr>
          <w:rFonts w:ascii="Arial" w:hAnsi="Arial" w:cs="Arial"/>
        </w:rPr>
        <w:t xml:space="preserve">Nia Abby </w:t>
      </w:r>
      <w:proofErr w:type="spellStart"/>
      <w:r w:rsidRPr="00D600A6">
        <w:rPr>
          <w:rFonts w:ascii="Arial" w:hAnsi="Arial" w:cs="Arial"/>
        </w:rPr>
        <w:t>Mugford</w:t>
      </w:r>
      <w:proofErr w:type="spellEnd"/>
      <w:r w:rsidRPr="00D600A6">
        <w:rPr>
          <w:rFonts w:ascii="Arial" w:hAnsi="Arial" w:cs="Arial"/>
        </w:rPr>
        <w:t>.</w:t>
      </w:r>
    </w:p>
    <w:p w14:paraId="1208141B" w14:textId="4D04C5B1" w:rsidR="00D600A6" w:rsidRPr="00D600A6" w:rsidRDefault="00D600A6" w:rsidP="00D600A6">
      <w:pPr>
        <w:jc w:val="center"/>
        <w:rPr>
          <w:rFonts w:ascii="Arial" w:hAnsi="Arial" w:cs="Arial"/>
        </w:rPr>
      </w:pPr>
      <w:r w:rsidRPr="00D600A6">
        <w:rPr>
          <w:rFonts w:ascii="Arial" w:hAnsi="Arial" w:cs="Arial"/>
        </w:rPr>
        <w:t>2404769.</w:t>
      </w:r>
    </w:p>
    <w:p w14:paraId="4ABE5904" w14:textId="7AF21F20" w:rsidR="00D600A6" w:rsidRPr="00D600A6" w:rsidRDefault="00D600A6" w:rsidP="00D600A6">
      <w:pPr>
        <w:jc w:val="center"/>
        <w:rPr>
          <w:rFonts w:ascii="Arial" w:hAnsi="Arial" w:cs="Arial"/>
        </w:rPr>
      </w:pPr>
      <w:r w:rsidRPr="00D600A6">
        <w:rPr>
          <w:rFonts w:ascii="Arial" w:hAnsi="Arial" w:cs="Arial"/>
        </w:rPr>
        <w:t>Word Count - .</w:t>
      </w:r>
    </w:p>
    <w:p w14:paraId="6E505637" w14:textId="77777777" w:rsidR="00D600A6" w:rsidRPr="00D600A6" w:rsidRDefault="00D600A6" w:rsidP="00D600A6">
      <w:pPr>
        <w:rPr>
          <w:rFonts w:ascii="Arial" w:hAnsi="Arial" w:cs="Arial"/>
        </w:rPr>
      </w:pPr>
    </w:p>
    <w:p w14:paraId="1B087F2F" w14:textId="77777777" w:rsidR="00D600A6" w:rsidRPr="00D600A6" w:rsidRDefault="00D600A6" w:rsidP="00D600A6">
      <w:pPr>
        <w:rPr>
          <w:rFonts w:ascii="Arial" w:hAnsi="Arial" w:cs="Arial"/>
        </w:rPr>
      </w:pPr>
    </w:p>
    <w:p w14:paraId="3003E3A6" w14:textId="77777777" w:rsidR="00D600A6" w:rsidRPr="00D600A6" w:rsidRDefault="00D600A6" w:rsidP="00D600A6">
      <w:pPr>
        <w:rPr>
          <w:rFonts w:ascii="Arial" w:hAnsi="Arial" w:cs="Arial"/>
        </w:rPr>
      </w:pPr>
    </w:p>
    <w:p w14:paraId="20412C47" w14:textId="77777777" w:rsidR="00D600A6" w:rsidRPr="00D600A6" w:rsidRDefault="00D600A6" w:rsidP="00D600A6">
      <w:pPr>
        <w:rPr>
          <w:rFonts w:ascii="Arial" w:hAnsi="Arial" w:cs="Arial"/>
        </w:rPr>
      </w:pPr>
    </w:p>
    <w:p w14:paraId="7F4C5284" w14:textId="77777777" w:rsidR="00D600A6" w:rsidRDefault="00D600A6" w:rsidP="00D600A6">
      <w:pPr>
        <w:rPr>
          <w:rFonts w:ascii="Arial" w:hAnsi="Arial" w:cs="Arial"/>
        </w:rPr>
      </w:pPr>
    </w:p>
    <w:p w14:paraId="25F4F89D" w14:textId="77777777" w:rsidR="00D600A6" w:rsidRPr="00D600A6" w:rsidRDefault="00D600A6" w:rsidP="00D600A6">
      <w:pPr>
        <w:rPr>
          <w:rFonts w:ascii="Arial" w:hAnsi="Arial" w:cs="Arial"/>
        </w:rPr>
      </w:pPr>
    </w:p>
    <w:p w14:paraId="2E069108" w14:textId="77777777" w:rsidR="00D600A6" w:rsidRPr="00D600A6" w:rsidRDefault="00D600A6" w:rsidP="00D600A6">
      <w:pPr>
        <w:rPr>
          <w:rFonts w:ascii="Arial" w:hAnsi="Arial" w:cs="Arial"/>
        </w:rPr>
      </w:pPr>
    </w:p>
    <w:p w14:paraId="4CF6BC24" w14:textId="77777777" w:rsidR="00D600A6" w:rsidRDefault="00D600A6" w:rsidP="00D600A6">
      <w:pPr>
        <w:rPr>
          <w:rFonts w:ascii="Arial" w:hAnsi="Arial" w:cs="Arial"/>
        </w:rPr>
      </w:pPr>
    </w:p>
    <w:p w14:paraId="309CA1EC" w14:textId="77777777" w:rsidR="00D600A6" w:rsidRPr="00D600A6" w:rsidRDefault="00D600A6" w:rsidP="00D600A6">
      <w:pPr>
        <w:rPr>
          <w:rFonts w:ascii="Arial" w:hAnsi="Arial" w:cs="Arial"/>
        </w:rPr>
      </w:pPr>
    </w:p>
    <w:p w14:paraId="03FCA358" w14:textId="77777777" w:rsidR="00D600A6" w:rsidRPr="00D600A6" w:rsidRDefault="00D600A6" w:rsidP="00D600A6">
      <w:pPr>
        <w:rPr>
          <w:rFonts w:ascii="Arial" w:hAnsi="Arial" w:cs="Arial"/>
        </w:rPr>
      </w:pPr>
    </w:p>
    <w:p w14:paraId="0E131AD3" w14:textId="77777777" w:rsidR="00D600A6" w:rsidRPr="00D600A6" w:rsidRDefault="00D600A6" w:rsidP="00D600A6">
      <w:pPr>
        <w:rPr>
          <w:rFonts w:ascii="Arial" w:hAnsi="Arial" w:cs="Arial"/>
        </w:rPr>
      </w:pPr>
    </w:p>
    <w:p w14:paraId="135E03B8" w14:textId="1B61F4EF" w:rsidR="00D600A6" w:rsidRPr="00D600A6" w:rsidRDefault="00D600A6" w:rsidP="00D600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u w:val="single"/>
        </w:rPr>
      </w:pPr>
      <w:r w:rsidRPr="00D600A6">
        <w:rPr>
          <w:rFonts w:ascii="Arial" w:hAnsi="Arial" w:cs="Arial"/>
          <w:b/>
          <w:bCs/>
          <w:color w:val="000000"/>
          <w:u w:val="single"/>
        </w:rPr>
        <w:lastRenderedPageBreak/>
        <w:t>AI Declaration.</w:t>
      </w:r>
    </w:p>
    <w:p w14:paraId="4724EABB" w14:textId="1182AF1E" w:rsidR="00D600A6" w:rsidRDefault="00D600A6" w:rsidP="00D600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rPr>
      </w:pPr>
      <w:r w:rsidRPr="00D600A6">
        <w:rPr>
          <w:rFonts w:ascii="Arial" w:hAnsi="Arial" w:cs="Arial"/>
          <w:color w:val="000000"/>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9580006" w14:textId="582F86CD" w:rsidR="00D600A6" w:rsidRDefault="00D600A6" w:rsidP="00D600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u w:val="single"/>
        </w:rPr>
      </w:pPr>
      <w:r w:rsidRPr="00D600A6">
        <w:rPr>
          <w:rFonts w:ascii="Arial" w:hAnsi="Arial" w:cs="Arial"/>
          <w:b/>
          <w:bCs/>
          <w:color w:val="000000"/>
          <w:u w:val="single"/>
        </w:rPr>
        <w:t>Contents Page.</w:t>
      </w:r>
    </w:p>
    <w:sdt>
      <w:sdtPr>
        <w:id w:val="-1988075977"/>
        <w:docPartObj>
          <w:docPartGallery w:val="Table of Contents"/>
          <w:docPartUnique/>
        </w:docPartObj>
      </w:sdtPr>
      <w:sdtEndPr>
        <w:rPr>
          <w:rFonts w:asciiTheme="minorHAnsi" w:eastAsiaTheme="minorEastAsia" w:hAnsiTheme="minorHAnsi" w:cstheme="minorBidi"/>
          <w:noProof/>
          <w:color w:val="auto"/>
          <w:kern w:val="2"/>
          <w:sz w:val="24"/>
          <w:szCs w:val="24"/>
          <w:lang w:val="en-GB" w:eastAsia="ko-KR"/>
          <w14:ligatures w14:val="standardContextual"/>
        </w:rPr>
      </w:sdtEndPr>
      <w:sdtContent>
        <w:p w14:paraId="3B1C2E8F" w14:textId="549A767E" w:rsidR="00D600A6" w:rsidRPr="00D600A6" w:rsidRDefault="00D600A6">
          <w:pPr>
            <w:pStyle w:val="TOCHeading"/>
            <w:rPr>
              <w:rFonts w:ascii="Arial" w:hAnsi="Arial" w:cs="Arial"/>
              <w:color w:val="000000" w:themeColor="text1"/>
            </w:rPr>
          </w:pPr>
          <w:r w:rsidRPr="00D600A6">
            <w:rPr>
              <w:rFonts w:ascii="Arial" w:hAnsi="Arial" w:cs="Arial"/>
              <w:color w:val="000000" w:themeColor="text1"/>
            </w:rPr>
            <w:t>Table of Contents</w:t>
          </w:r>
        </w:p>
        <w:p w14:paraId="6ABCC6FC" w14:textId="54E6A84B" w:rsidR="00A4142D" w:rsidRDefault="00D600A6">
          <w:pPr>
            <w:pStyle w:val="TOC1"/>
            <w:tabs>
              <w:tab w:val="right" w:leader="dot" w:pos="9010"/>
            </w:tabs>
            <w:rPr>
              <w:b w:val="0"/>
              <w:bCs w:val="0"/>
              <w:i w:val="0"/>
              <w:iCs w:val="0"/>
              <w:noProof/>
            </w:rPr>
          </w:pPr>
          <w:r w:rsidRPr="00D600A6">
            <w:rPr>
              <w:rFonts w:ascii="Arial" w:hAnsi="Arial" w:cs="Arial"/>
              <w:b w:val="0"/>
              <w:bCs w:val="0"/>
              <w:i w:val="0"/>
              <w:iCs w:val="0"/>
              <w:color w:val="000000" w:themeColor="text1"/>
            </w:rPr>
            <w:fldChar w:fldCharType="begin"/>
          </w:r>
          <w:r w:rsidRPr="00D600A6">
            <w:rPr>
              <w:rFonts w:ascii="Arial" w:hAnsi="Arial" w:cs="Arial"/>
              <w:i w:val="0"/>
              <w:iCs w:val="0"/>
              <w:color w:val="000000" w:themeColor="text1"/>
            </w:rPr>
            <w:instrText xml:space="preserve"> TOC \o "1-3" \h \z \u </w:instrText>
          </w:r>
          <w:r w:rsidRPr="00D600A6">
            <w:rPr>
              <w:rFonts w:ascii="Arial" w:hAnsi="Arial" w:cs="Arial"/>
              <w:b w:val="0"/>
              <w:bCs w:val="0"/>
              <w:i w:val="0"/>
              <w:iCs w:val="0"/>
              <w:color w:val="000000" w:themeColor="text1"/>
            </w:rPr>
            <w:fldChar w:fldCharType="separate"/>
          </w:r>
          <w:hyperlink w:anchor="_Toc228563708" w:history="1">
            <w:r w:rsidR="00A4142D" w:rsidRPr="008829B7">
              <w:rPr>
                <w:rStyle w:val="Hyperlink"/>
                <w:rFonts w:ascii="Arial" w:hAnsi="Arial" w:cs="Arial"/>
                <w:noProof/>
              </w:rPr>
              <w:t>Introduction.</w:t>
            </w:r>
            <w:r w:rsidR="00A4142D">
              <w:rPr>
                <w:noProof/>
                <w:webHidden/>
              </w:rPr>
              <w:tab/>
            </w:r>
            <w:r w:rsidR="00A4142D">
              <w:rPr>
                <w:noProof/>
                <w:webHidden/>
              </w:rPr>
              <w:fldChar w:fldCharType="begin"/>
            </w:r>
            <w:r w:rsidR="00A4142D">
              <w:rPr>
                <w:noProof/>
                <w:webHidden/>
              </w:rPr>
              <w:instrText xml:space="preserve"> PAGEREF _Toc228563708 \h </w:instrText>
            </w:r>
            <w:r w:rsidR="00A4142D">
              <w:rPr>
                <w:noProof/>
                <w:webHidden/>
              </w:rPr>
            </w:r>
            <w:r w:rsidR="00A4142D">
              <w:rPr>
                <w:noProof/>
                <w:webHidden/>
              </w:rPr>
              <w:fldChar w:fldCharType="separate"/>
            </w:r>
            <w:r w:rsidR="00A4142D">
              <w:rPr>
                <w:noProof/>
                <w:webHidden/>
              </w:rPr>
              <w:t>2</w:t>
            </w:r>
            <w:r w:rsidR="00A4142D">
              <w:rPr>
                <w:noProof/>
                <w:webHidden/>
              </w:rPr>
              <w:fldChar w:fldCharType="end"/>
            </w:r>
          </w:hyperlink>
        </w:p>
        <w:p w14:paraId="672AB2F2" w14:textId="2A6B1980" w:rsidR="00A4142D" w:rsidRDefault="00A4142D">
          <w:pPr>
            <w:pStyle w:val="TOC1"/>
            <w:tabs>
              <w:tab w:val="right" w:leader="dot" w:pos="9010"/>
            </w:tabs>
            <w:rPr>
              <w:b w:val="0"/>
              <w:bCs w:val="0"/>
              <w:i w:val="0"/>
              <w:iCs w:val="0"/>
              <w:noProof/>
            </w:rPr>
          </w:pPr>
          <w:hyperlink w:anchor="_Toc228563709" w:history="1">
            <w:r w:rsidRPr="008829B7">
              <w:rPr>
                <w:rStyle w:val="Hyperlink"/>
                <w:rFonts w:ascii="Arial" w:hAnsi="Arial" w:cs="Arial"/>
                <w:noProof/>
              </w:rPr>
              <w:t>Issued Currently Faced by the Recruitment Sector in 2026.</w:t>
            </w:r>
            <w:r>
              <w:rPr>
                <w:noProof/>
                <w:webHidden/>
              </w:rPr>
              <w:tab/>
            </w:r>
            <w:r>
              <w:rPr>
                <w:noProof/>
                <w:webHidden/>
              </w:rPr>
              <w:fldChar w:fldCharType="begin"/>
            </w:r>
            <w:r>
              <w:rPr>
                <w:noProof/>
                <w:webHidden/>
              </w:rPr>
              <w:instrText xml:space="preserve"> PAGEREF _Toc228563709 \h </w:instrText>
            </w:r>
            <w:r>
              <w:rPr>
                <w:noProof/>
                <w:webHidden/>
              </w:rPr>
            </w:r>
            <w:r>
              <w:rPr>
                <w:noProof/>
                <w:webHidden/>
              </w:rPr>
              <w:fldChar w:fldCharType="separate"/>
            </w:r>
            <w:r>
              <w:rPr>
                <w:noProof/>
                <w:webHidden/>
              </w:rPr>
              <w:t>3</w:t>
            </w:r>
            <w:r>
              <w:rPr>
                <w:noProof/>
                <w:webHidden/>
              </w:rPr>
              <w:fldChar w:fldCharType="end"/>
            </w:r>
          </w:hyperlink>
        </w:p>
        <w:p w14:paraId="6C1FE25A" w14:textId="64AFA3D8" w:rsidR="00A4142D" w:rsidRDefault="00A4142D">
          <w:pPr>
            <w:pStyle w:val="TOC1"/>
            <w:tabs>
              <w:tab w:val="right" w:leader="dot" w:pos="9010"/>
            </w:tabs>
            <w:rPr>
              <w:b w:val="0"/>
              <w:bCs w:val="0"/>
              <w:i w:val="0"/>
              <w:iCs w:val="0"/>
              <w:noProof/>
            </w:rPr>
          </w:pPr>
          <w:hyperlink w:anchor="_Toc228563710" w:history="1">
            <w:r w:rsidRPr="008829B7">
              <w:rPr>
                <w:rStyle w:val="Hyperlink"/>
                <w:rFonts w:ascii="Arial" w:hAnsi="Arial" w:cs="Arial"/>
                <w:noProof/>
              </w:rPr>
              <w:t>Applicable Academic Theories and Practices to the Recruitment Process.</w:t>
            </w:r>
            <w:r>
              <w:rPr>
                <w:noProof/>
                <w:webHidden/>
              </w:rPr>
              <w:tab/>
            </w:r>
            <w:r>
              <w:rPr>
                <w:noProof/>
                <w:webHidden/>
              </w:rPr>
              <w:fldChar w:fldCharType="begin"/>
            </w:r>
            <w:r>
              <w:rPr>
                <w:noProof/>
                <w:webHidden/>
              </w:rPr>
              <w:instrText xml:space="preserve"> PAGEREF _Toc228563710 \h </w:instrText>
            </w:r>
            <w:r>
              <w:rPr>
                <w:noProof/>
                <w:webHidden/>
              </w:rPr>
            </w:r>
            <w:r>
              <w:rPr>
                <w:noProof/>
                <w:webHidden/>
              </w:rPr>
              <w:fldChar w:fldCharType="separate"/>
            </w:r>
            <w:r>
              <w:rPr>
                <w:noProof/>
                <w:webHidden/>
              </w:rPr>
              <w:t>4</w:t>
            </w:r>
            <w:r>
              <w:rPr>
                <w:noProof/>
                <w:webHidden/>
              </w:rPr>
              <w:fldChar w:fldCharType="end"/>
            </w:r>
          </w:hyperlink>
        </w:p>
        <w:p w14:paraId="1E3B7AE0" w14:textId="748B9D3A" w:rsidR="00A4142D" w:rsidRDefault="00A4142D">
          <w:pPr>
            <w:pStyle w:val="TOC1"/>
            <w:tabs>
              <w:tab w:val="right" w:leader="dot" w:pos="9010"/>
            </w:tabs>
            <w:rPr>
              <w:b w:val="0"/>
              <w:bCs w:val="0"/>
              <w:i w:val="0"/>
              <w:iCs w:val="0"/>
              <w:noProof/>
            </w:rPr>
          </w:pPr>
          <w:hyperlink w:anchor="_Toc228563711" w:history="1">
            <w:r w:rsidRPr="008829B7">
              <w:rPr>
                <w:rStyle w:val="Hyperlink"/>
                <w:rFonts w:ascii="Arial" w:hAnsi="Arial" w:cs="Arial"/>
                <w:noProof/>
              </w:rPr>
              <w:t>The Advisory Operational Plan.</w:t>
            </w:r>
            <w:r>
              <w:rPr>
                <w:noProof/>
                <w:webHidden/>
              </w:rPr>
              <w:tab/>
            </w:r>
            <w:r>
              <w:rPr>
                <w:noProof/>
                <w:webHidden/>
              </w:rPr>
              <w:fldChar w:fldCharType="begin"/>
            </w:r>
            <w:r>
              <w:rPr>
                <w:noProof/>
                <w:webHidden/>
              </w:rPr>
              <w:instrText xml:space="preserve"> PAGEREF _Toc228563711 \h </w:instrText>
            </w:r>
            <w:r>
              <w:rPr>
                <w:noProof/>
                <w:webHidden/>
              </w:rPr>
            </w:r>
            <w:r>
              <w:rPr>
                <w:noProof/>
                <w:webHidden/>
              </w:rPr>
              <w:fldChar w:fldCharType="separate"/>
            </w:r>
            <w:r>
              <w:rPr>
                <w:noProof/>
                <w:webHidden/>
              </w:rPr>
              <w:t>5</w:t>
            </w:r>
            <w:r>
              <w:rPr>
                <w:noProof/>
                <w:webHidden/>
              </w:rPr>
              <w:fldChar w:fldCharType="end"/>
            </w:r>
          </w:hyperlink>
        </w:p>
        <w:p w14:paraId="6AE5B7AB" w14:textId="1705F85A" w:rsidR="00A4142D" w:rsidRDefault="00A4142D">
          <w:pPr>
            <w:pStyle w:val="TOC1"/>
            <w:tabs>
              <w:tab w:val="right" w:leader="dot" w:pos="9010"/>
            </w:tabs>
            <w:rPr>
              <w:b w:val="0"/>
              <w:bCs w:val="0"/>
              <w:i w:val="0"/>
              <w:iCs w:val="0"/>
              <w:noProof/>
            </w:rPr>
          </w:pPr>
          <w:hyperlink w:anchor="_Toc228563712" w:history="1">
            <w:r w:rsidRPr="008829B7">
              <w:rPr>
                <w:rStyle w:val="Hyperlink"/>
                <w:rFonts w:ascii="Arial" w:hAnsi="Arial" w:cs="Arial"/>
                <w:noProof/>
              </w:rPr>
              <w:t>How the Plan Will Positively Influence the Recruitment Process.</w:t>
            </w:r>
            <w:r>
              <w:rPr>
                <w:noProof/>
                <w:webHidden/>
              </w:rPr>
              <w:tab/>
            </w:r>
            <w:r>
              <w:rPr>
                <w:noProof/>
                <w:webHidden/>
              </w:rPr>
              <w:fldChar w:fldCharType="begin"/>
            </w:r>
            <w:r>
              <w:rPr>
                <w:noProof/>
                <w:webHidden/>
              </w:rPr>
              <w:instrText xml:space="preserve"> PAGEREF _Toc228563712 \h </w:instrText>
            </w:r>
            <w:r>
              <w:rPr>
                <w:noProof/>
                <w:webHidden/>
              </w:rPr>
            </w:r>
            <w:r>
              <w:rPr>
                <w:noProof/>
                <w:webHidden/>
              </w:rPr>
              <w:fldChar w:fldCharType="separate"/>
            </w:r>
            <w:r>
              <w:rPr>
                <w:noProof/>
                <w:webHidden/>
              </w:rPr>
              <w:t>6</w:t>
            </w:r>
            <w:r>
              <w:rPr>
                <w:noProof/>
                <w:webHidden/>
              </w:rPr>
              <w:fldChar w:fldCharType="end"/>
            </w:r>
          </w:hyperlink>
        </w:p>
        <w:p w14:paraId="43330608" w14:textId="09C4023A" w:rsidR="00D600A6" w:rsidRDefault="00D600A6">
          <w:r w:rsidRPr="00D600A6">
            <w:rPr>
              <w:rFonts w:ascii="Arial" w:hAnsi="Arial" w:cs="Arial"/>
              <w:b/>
              <w:bCs/>
              <w:noProof/>
              <w:color w:val="000000" w:themeColor="text1"/>
            </w:rPr>
            <w:fldChar w:fldCharType="end"/>
          </w:r>
        </w:p>
      </w:sdtContent>
    </w:sdt>
    <w:p w14:paraId="2413BE27" w14:textId="77777777" w:rsidR="00D600A6" w:rsidRDefault="00D600A6" w:rsidP="00D600A6">
      <w:pPr>
        <w:pStyle w:val="Heading1"/>
        <w:rPr>
          <w:rFonts w:ascii="Arial" w:hAnsi="Arial" w:cs="Arial"/>
          <w:b/>
          <w:bCs/>
          <w:color w:val="000000" w:themeColor="text1"/>
          <w:sz w:val="24"/>
          <w:szCs w:val="24"/>
          <w:u w:val="single"/>
        </w:rPr>
      </w:pPr>
    </w:p>
    <w:p w14:paraId="0C6EE9E8" w14:textId="77777777" w:rsidR="00D600A6" w:rsidRDefault="00D600A6" w:rsidP="00D600A6">
      <w:pPr>
        <w:pStyle w:val="Heading1"/>
        <w:rPr>
          <w:rFonts w:ascii="Arial" w:hAnsi="Arial" w:cs="Arial"/>
          <w:b/>
          <w:bCs/>
          <w:color w:val="000000" w:themeColor="text1"/>
          <w:sz w:val="24"/>
          <w:szCs w:val="24"/>
          <w:u w:val="single"/>
        </w:rPr>
      </w:pPr>
    </w:p>
    <w:p w14:paraId="05E3B0DB" w14:textId="77777777" w:rsidR="00D600A6" w:rsidRDefault="00D600A6" w:rsidP="00D600A6"/>
    <w:p w14:paraId="5DEC4BF7" w14:textId="77777777" w:rsidR="00D600A6" w:rsidRDefault="00D600A6" w:rsidP="00D600A6"/>
    <w:p w14:paraId="274A9376" w14:textId="77777777" w:rsidR="00D600A6" w:rsidRDefault="00D600A6" w:rsidP="00D600A6"/>
    <w:p w14:paraId="0D3141BB" w14:textId="77777777" w:rsidR="00D600A6" w:rsidRDefault="00D600A6" w:rsidP="00D600A6"/>
    <w:p w14:paraId="3B7CD206" w14:textId="77777777" w:rsidR="00D600A6" w:rsidRDefault="00D600A6" w:rsidP="00D600A6"/>
    <w:p w14:paraId="6861D587" w14:textId="77777777" w:rsidR="00A4142D" w:rsidRDefault="00A4142D" w:rsidP="00D600A6"/>
    <w:p w14:paraId="035493E9" w14:textId="77777777" w:rsidR="00A4142D" w:rsidRDefault="00A4142D" w:rsidP="00D600A6"/>
    <w:p w14:paraId="495595B3" w14:textId="77777777" w:rsidR="00A4142D" w:rsidRDefault="00A4142D" w:rsidP="00D600A6"/>
    <w:p w14:paraId="046BE9EC" w14:textId="77777777" w:rsidR="00D600A6" w:rsidRDefault="00D600A6" w:rsidP="00D600A6"/>
    <w:p w14:paraId="190984B5" w14:textId="77777777" w:rsidR="00D600A6" w:rsidRDefault="00D600A6" w:rsidP="00D600A6"/>
    <w:p w14:paraId="0BE03EB7" w14:textId="77777777" w:rsidR="00D600A6" w:rsidRDefault="00D600A6" w:rsidP="00D600A6"/>
    <w:p w14:paraId="0F0A8721" w14:textId="77777777" w:rsidR="00D600A6" w:rsidRPr="00D600A6" w:rsidRDefault="00D600A6" w:rsidP="00D600A6"/>
    <w:p w14:paraId="316E9F2A" w14:textId="2F4886FA" w:rsidR="00D600A6" w:rsidRDefault="00D600A6" w:rsidP="00A4142D">
      <w:pPr>
        <w:pStyle w:val="Heading1"/>
        <w:jc w:val="both"/>
        <w:rPr>
          <w:rFonts w:ascii="Arial" w:hAnsi="Arial" w:cs="Arial"/>
          <w:b/>
          <w:bCs/>
          <w:color w:val="000000" w:themeColor="text1"/>
          <w:sz w:val="24"/>
          <w:szCs w:val="24"/>
          <w:u w:val="single"/>
        </w:rPr>
      </w:pPr>
      <w:bookmarkStart w:id="0" w:name="_Toc228563708"/>
      <w:r w:rsidRPr="00D600A6">
        <w:rPr>
          <w:rFonts w:ascii="Arial" w:hAnsi="Arial" w:cs="Arial"/>
          <w:b/>
          <w:bCs/>
          <w:color w:val="000000" w:themeColor="text1"/>
          <w:sz w:val="24"/>
          <w:szCs w:val="24"/>
          <w:u w:val="single"/>
        </w:rPr>
        <w:lastRenderedPageBreak/>
        <w:t>Introduction.</w:t>
      </w:r>
      <w:bookmarkEnd w:id="0"/>
    </w:p>
    <w:p w14:paraId="0D2A8768" w14:textId="77777777" w:rsidR="00D600A6" w:rsidRDefault="00D600A6" w:rsidP="00A4142D">
      <w:pPr>
        <w:jc w:val="both"/>
        <w:rPr>
          <w:rFonts w:ascii="Arial" w:hAnsi="Arial" w:cs="Arial"/>
          <w:color w:val="000000"/>
        </w:rPr>
      </w:pPr>
      <w:r w:rsidRPr="00D600A6">
        <w:rPr>
          <w:rFonts w:ascii="Arial" w:hAnsi="Arial" w:cs="Arial"/>
        </w:rPr>
        <w:t xml:space="preserve">This report and advisory operational plan </w:t>
      </w:r>
      <w:proofErr w:type="gramStart"/>
      <w:r w:rsidRPr="00D600A6">
        <w:rPr>
          <w:rFonts w:ascii="Arial" w:hAnsi="Arial" w:cs="Arial"/>
        </w:rPr>
        <w:t>covers</w:t>
      </w:r>
      <w:proofErr w:type="gramEnd"/>
      <w:r w:rsidRPr="00D600A6">
        <w:rPr>
          <w:rFonts w:ascii="Arial" w:hAnsi="Arial" w:cs="Arial"/>
        </w:rPr>
        <w:t xml:space="preserve"> the discussion surrounding the recruitment process regarding the Swansea Aquarium, which was previously greenlit in late 2025-early 2026 for further development. This development would see the Swansea Civic Centre on Swansea’s </w:t>
      </w:r>
      <w:proofErr w:type="spellStart"/>
      <w:r w:rsidRPr="00D600A6">
        <w:rPr>
          <w:rFonts w:ascii="Arial" w:hAnsi="Arial" w:cs="Arial"/>
        </w:rPr>
        <w:t>Oystermouth</w:t>
      </w:r>
      <w:proofErr w:type="spellEnd"/>
      <w:r w:rsidRPr="00D600A6">
        <w:rPr>
          <w:rFonts w:ascii="Arial" w:hAnsi="Arial" w:cs="Arial"/>
        </w:rPr>
        <w:t xml:space="preserve"> Road developed and rejuvenated into a fresh, revitalised tourist destination to help with increasing and reinforcing Swansea’s significance as a top waterfront tourist destination </w:t>
      </w:r>
      <w:r w:rsidRPr="00D600A6">
        <w:rPr>
          <w:rFonts w:ascii="Arial" w:hAnsi="Arial" w:cs="Arial"/>
          <w:color w:val="000000"/>
        </w:rPr>
        <w:t>(Editor, 2026)</w:t>
      </w:r>
      <w:r w:rsidRPr="00D600A6">
        <w:rPr>
          <w:rFonts w:ascii="Arial" w:hAnsi="Arial" w:cs="Arial"/>
          <w:color w:val="000000"/>
        </w:rPr>
        <w:t xml:space="preserve">. The target market for this development ranges; the aquarium is hoping to draw in more domestic tourists from further afield than Swansea and the general South Wales region, whilst also serving as the first aquarium in the entirety of Wales- signifying its importance and relevance in the tourism sector. It may also serve as a significant development for school-aged children, typically aged 3-16, to visit with families and educational institutes. As the expansion of the civic centre also includes 15 new commercial units to home restaurants, bars, stores, and cafés, 140 new apartments, and a new saltwater lido, it is believed that the budget for the developments could range from anywhere between mid-range to luxury, due to its involvement with other developments in the surrounding areas </w:t>
      </w:r>
      <w:r w:rsidRPr="00D600A6">
        <w:rPr>
          <w:rFonts w:ascii="Arial" w:hAnsi="Arial" w:cs="Arial"/>
          <w:color w:val="000000"/>
        </w:rPr>
        <w:t>(Editor, 2026)</w:t>
      </w:r>
      <w:r w:rsidRPr="00D600A6">
        <w:rPr>
          <w:rFonts w:ascii="Arial" w:hAnsi="Arial" w:cs="Arial"/>
          <w:color w:val="000000"/>
        </w:rPr>
        <w:t xml:space="preserve">. </w:t>
      </w:r>
    </w:p>
    <w:p w14:paraId="371C57AB" w14:textId="3B3499E4" w:rsidR="00D600A6" w:rsidRDefault="00D600A6" w:rsidP="00A4142D">
      <w:pPr>
        <w:jc w:val="both"/>
        <w:rPr>
          <w:rFonts w:ascii="Arial" w:hAnsi="Arial" w:cs="Arial"/>
          <w:color w:val="000000"/>
        </w:rPr>
      </w:pPr>
      <w:r>
        <w:rPr>
          <w:rFonts w:ascii="Arial" w:hAnsi="Arial" w:cs="Arial"/>
          <w:color w:val="000000"/>
        </w:rPr>
        <w:t xml:space="preserve">A positive recruitment process to a new, upcoming organisation is essential due to its direct influence regarding their abilities to both attract and retain talent that can assist with driving the growth and performance of a budding business </w:t>
      </w:r>
      <w:r>
        <w:rPr>
          <w:rFonts w:ascii="Arial" w:hAnsi="Arial" w:cs="Arial"/>
          <w:color w:val="000000"/>
        </w:rPr>
        <w:t xml:space="preserve">(Honoré and </w:t>
      </w:r>
      <w:proofErr w:type="spellStart"/>
      <w:r>
        <w:rPr>
          <w:rFonts w:ascii="Arial" w:hAnsi="Arial" w:cs="Arial"/>
          <w:color w:val="000000"/>
        </w:rPr>
        <w:t>Ganco</w:t>
      </w:r>
      <w:proofErr w:type="spellEnd"/>
      <w:r>
        <w:rPr>
          <w:rFonts w:ascii="Arial" w:hAnsi="Arial" w:cs="Arial"/>
          <w:color w:val="000000"/>
        </w:rPr>
        <w:t>, 2020)</w:t>
      </w:r>
      <w:r>
        <w:rPr>
          <w:rFonts w:ascii="Arial" w:hAnsi="Arial" w:cs="Arial"/>
          <w:color w:val="000000"/>
        </w:rPr>
        <w:t xml:space="preserve">. Start-up businesses and organisations can often face challenges during the hiring process as a result of asymmetries amongst the vision of the business and potential employees, which can subsequently make it challenging for potential candidates to assess and review the quality of the workplace </w:t>
      </w:r>
      <w:r>
        <w:rPr>
          <w:rFonts w:ascii="Arial" w:hAnsi="Arial" w:cs="Arial"/>
          <w:color w:val="000000"/>
        </w:rPr>
        <w:t>(Chung and Parker, 2022)</w:t>
      </w:r>
      <w:r>
        <w:rPr>
          <w:rFonts w:ascii="Arial" w:hAnsi="Arial" w:cs="Arial"/>
          <w:color w:val="000000"/>
        </w:rPr>
        <w:t xml:space="preserve">. A founder’s prior industry experience and affiliations to influential organisations can prove to be an important or significant signal that, subsequently, draws in high-quality employees; these associations and affiliations can often convey a highly sought-after qualities in an organisation, which then increases the organisation’s level of desirability to potential job candidates- in particular, recently graduated students </w:t>
      </w:r>
      <w:r>
        <w:rPr>
          <w:rFonts w:ascii="Arial" w:hAnsi="Arial" w:cs="Arial"/>
          <w:color w:val="000000"/>
        </w:rPr>
        <w:t>(Chung and Parker, 2022)</w:t>
      </w:r>
      <w:r>
        <w:rPr>
          <w:rFonts w:ascii="Arial" w:hAnsi="Arial" w:cs="Arial"/>
          <w:color w:val="000000"/>
        </w:rPr>
        <w:t>.</w:t>
      </w:r>
    </w:p>
    <w:p w14:paraId="21006375" w14:textId="77777777" w:rsidR="00D600A6" w:rsidRDefault="00D600A6" w:rsidP="00A4142D">
      <w:pPr>
        <w:pStyle w:val="Heading1"/>
        <w:jc w:val="both"/>
        <w:rPr>
          <w:rFonts w:ascii="Arial" w:hAnsi="Arial" w:cs="Arial"/>
          <w:b/>
          <w:bCs/>
          <w:color w:val="000000" w:themeColor="text1"/>
          <w:sz w:val="24"/>
          <w:szCs w:val="24"/>
          <w:u w:val="single"/>
        </w:rPr>
      </w:pPr>
      <w:bookmarkStart w:id="1" w:name="_Toc228563709"/>
      <w:r w:rsidRPr="00D600A6">
        <w:rPr>
          <w:rFonts w:ascii="Arial" w:hAnsi="Arial" w:cs="Arial"/>
          <w:b/>
          <w:bCs/>
          <w:color w:val="000000" w:themeColor="text1"/>
          <w:sz w:val="24"/>
          <w:szCs w:val="24"/>
          <w:u w:val="single"/>
        </w:rPr>
        <w:t>Issued Currently Faced by the Recruitment Sector in 2026.</w:t>
      </w:r>
      <w:bookmarkEnd w:id="1"/>
    </w:p>
    <w:p w14:paraId="768F19BB" w14:textId="09E3479A" w:rsidR="00D600A6" w:rsidRDefault="00D600A6" w:rsidP="00A4142D">
      <w:pPr>
        <w:jc w:val="both"/>
        <w:rPr>
          <w:rFonts w:ascii="Arial" w:hAnsi="Arial" w:cs="Arial"/>
        </w:rPr>
      </w:pPr>
      <w:r>
        <w:rPr>
          <w:rFonts w:ascii="Arial" w:hAnsi="Arial" w:cs="Arial"/>
        </w:rPr>
        <w:t xml:space="preserve">As of 2026, recruitment within new, upcoming industries is facing several challenges that are shaped by social, economic, or technological factors </w:t>
      </w:r>
      <w:r>
        <w:rPr>
          <w:rFonts w:ascii="Arial" w:hAnsi="Arial" w:cs="Arial"/>
          <w:color w:val="000000"/>
        </w:rPr>
        <w:t xml:space="preserve">(Dutta, </w:t>
      </w:r>
      <w:proofErr w:type="spellStart"/>
      <w:r>
        <w:rPr>
          <w:rFonts w:ascii="Arial" w:hAnsi="Arial" w:cs="Arial"/>
          <w:color w:val="000000"/>
        </w:rPr>
        <w:t>Althaf</w:t>
      </w:r>
      <w:proofErr w:type="spellEnd"/>
      <w:r>
        <w:rPr>
          <w:rFonts w:ascii="Arial" w:hAnsi="Arial" w:cs="Arial"/>
          <w:color w:val="000000"/>
        </w:rPr>
        <w:t xml:space="preserve"> and </w:t>
      </w:r>
      <w:proofErr w:type="spellStart"/>
      <w:r>
        <w:rPr>
          <w:rFonts w:ascii="Arial" w:hAnsi="Arial" w:cs="Arial"/>
          <w:color w:val="000000"/>
        </w:rPr>
        <w:t>Topno</w:t>
      </w:r>
      <w:proofErr w:type="spellEnd"/>
      <w:r>
        <w:rPr>
          <w:rFonts w:ascii="Arial" w:hAnsi="Arial" w:cs="Arial"/>
          <w:color w:val="000000"/>
        </w:rPr>
        <w:t>, 2025)</w:t>
      </w:r>
      <w:r>
        <w:rPr>
          <w:rFonts w:ascii="Arial" w:hAnsi="Arial" w:cs="Arial"/>
        </w:rPr>
        <w:t xml:space="preserve">. One very prominent and potent issue in the sector is the usage and relevance of artificial intelligence, or AI. AI is currently surfacing as a tool that is frequently used in order to enhance the recruitment process and retention, through a process that automates administrative tasks, reducing bias, and providing predictive insights on the satisfaction and attrition of employees </w:t>
      </w:r>
      <w:r>
        <w:rPr>
          <w:rFonts w:ascii="Arial" w:hAnsi="Arial" w:cs="Arial"/>
          <w:color w:val="000000"/>
        </w:rPr>
        <w:t>(</w:t>
      </w:r>
      <w:proofErr w:type="spellStart"/>
      <w:r>
        <w:rPr>
          <w:rFonts w:ascii="Arial" w:hAnsi="Arial" w:cs="Arial"/>
          <w:color w:val="000000"/>
        </w:rPr>
        <w:t>Tamilselvan</w:t>
      </w:r>
      <w:proofErr w:type="spellEnd"/>
      <w:r>
        <w:rPr>
          <w:rFonts w:ascii="Arial" w:hAnsi="Arial" w:cs="Arial"/>
          <w:color w:val="000000"/>
        </w:rPr>
        <w:t xml:space="preserve"> P et al., 2025)</w:t>
      </w:r>
      <w:r>
        <w:rPr>
          <w:rFonts w:ascii="Arial" w:hAnsi="Arial" w:cs="Arial"/>
        </w:rPr>
        <w:t xml:space="preserve">. Models that are driven and powered by AI have frequently showcased potential improvements when considering recruitment efficiency, as well as retention forecasting, which can suggest a shift in the direction of HR practices that are often informed by data. On the other </w:t>
      </w:r>
      <w:r>
        <w:rPr>
          <w:rFonts w:ascii="Arial" w:hAnsi="Arial" w:cs="Arial"/>
        </w:rPr>
        <w:lastRenderedPageBreak/>
        <w:t xml:space="preserve">hand, there are several challenges surrounding the use of AI within the recruitment system; its lack of ability to address persistent issues, such as a high turn-over rate and poor decision-making biases often hindering its reliability and utility as an appropriate recruitment tool </w:t>
      </w:r>
      <w:r>
        <w:rPr>
          <w:rFonts w:ascii="Arial" w:hAnsi="Arial" w:cs="Arial"/>
          <w:color w:val="000000"/>
        </w:rPr>
        <w:t>(</w:t>
      </w:r>
      <w:proofErr w:type="spellStart"/>
      <w:r>
        <w:rPr>
          <w:rFonts w:ascii="Arial" w:hAnsi="Arial" w:cs="Arial"/>
          <w:color w:val="000000"/>
        </w:rPr>
        <w:t>Tamilselvan</w:t>
      </w:r>
      <w:proofErr w:type="spellEnd"/>
      <w:r>
        <w:rPr>
          <w:rFonts w:ascii="Arial" w:hAnsi="Arial" w:cs="Arial"/>
          <w:color w:val="000000"/>
        </w:rPr>
        <w:t xml:space="preserve"> P et al., 2025)</w:t>
      </w:r>
      <w:r>
        <w:rPr>
          <w:rFonts w:ascii="Arial" w:hAnsi="Arial" w:cs="Arial"/>
        </w:rPr>
        <w:t>.</w:t>
      </w:r>
    </w:p>
    <w:p w14:paraId="790270E9" w14:textId="5B413436" w:rsidR="00D600A6" w:rsidRDefault="00D600A6" w:rsidP="00A4142D">
      <w:pPr>
        <w:jc w:val="both"/>
        <w:rPr>
          <w:rFonts w:ascii="Arial" w:hAnsi="Arial" w:cs="Arial"/>
          <w:color w:val="000000"/>
        </w:rPr>
      </w:pPr>
      <w:r>
        <w:rPr>
          <w:rFonts w:ascii="Arial" w:hAnsi="Arial" w:cs="Arial"/>
        </w:rPr>
        <w:t xml:space="preserve">Algorithmic bias and discrimination within the recruitment sector as a result of the increase of dependence on AI </w:t>
      </w:r>
      <w:proofErr w:type="gramStart"/>
      <w:r>
        <w:rPr>
          <w:rFonts w:ascii="Arial" w:hAnsi="Arial" w:cs="Arial"/>
        </w:rPr>
        <w:t>data-bases</w:t>
      </w:r>
      <w:proofErr w:type="gramEnd"/>
      <w:r>
        <w:rPr>
          <w:rFonts w:ascii="Arial" w:hAnsi="Arial" w:cs="Arial"/>
        </w:rPr>
        <w:t xml:space="preserve"> has typically arisen as a result of the replication of historical &amp; sociological biases that have been continually embedded into a system’s data design </w:t>
      </w:r>
      <w:r>
        <w:rPr>
          <w:rFonts w:ascii="Arial" w:hAnsi="Arial" w:cs="Arial"/>
          <w:color w:val="000000"/>
        </w:rPr>
        <w:t>(Parekh and Shetty, 2025)</w:t>
      </w:r>
      <w:r>
        <w:rPr>
          <w:rFonts w:ascii="Arial" w:hAnsi="Arial" w:cs="Arial"/>
        </w:rPr>
        <w:t xml:space="preserve">. Automated systems responsible for hiring or processing potential candidates can often showcase typical stereotypes or disparities that are associated with gender, disability, race, sexuality, and other protected attributes, which can lead to often discriminatory outcomes for role applicants </w:t>
      </w:r>
      <w:r>
        <w:rPr>
          <w:rFonts w:ascii="Arial" w:hAnsi="Arial" w:cs="Arial"/>
          <w:color w:val="000000"/>
        </w:rPr>
        <w:t>(Chen, 2023)</w:t>
      </w:r>
      <w:r>
        <w:rPr>
          <w:rFonts w:ascii="Arial" w:hAnsi="Arial" w:cs="Arial"/>
          <w:color w:val="000000"/>
        </w:rPr>
        <w:t xml:space="preserve">. Such biases tend to originate from the limited or poorly represented datasets, as well as the subjective decision making of algorithm developers, which can unfortunately encode prejudiced stereotypes and patterns within AI tools </w:t>
      </w:r>
      <w:r>
        <w:rPr>
          <w:rFonts w:ascii="Arial" w:hAnsi="Arial" w:cs="Arial"/>
          <w:color w:val="000000"/>
        </w:rPr>
        <w:t>(Chen, 2023)</w:t>
      </w:r>
      <w:r>
        <w:rPr>
          <w:rFonts w:ascii="Arial" w:hAnsi="Arial" w:cs="Arial"/>
          <w:color w:val="000000"/>
        </w:rPr>
        <w:t>.</w:t>
      </w:r>
    </w:p>
    <w:p w14:paraId="226942F0" w14:textId="6C97DBCE" w:rsidR="00D600A6" w:rsidRDefault="00D600A6" w:rsidP="00A4142D">
      <w:pPr>
        <w:jc w:val="both"/>
        <w:rPr>
          <w:rFonts w:ascii="Arial" w:hAnsi="Arial" w:cs="Arial"/>
        </w:rPr>
      </w:pPr>
      <w:r>
        <w:rPr>
          <w:rFonts w:ascii="Arial" w:hAnsi="Arial" w:cs="Arial"/>
          <w:color w:val="000000"/>
        </w:rPr>
        <w:t xml:space="preserve">Whilst the utilisation of AI within the recruitment sector is intended to help improve efficiency and to aid in the management of sizeable applicant pools, the reliance on such systems has raised concerns about ethical fairness due to the potential reinforcement of inequalities amongst applicants, as opposed to serving to mitigate such differences </w:t>
      </w:r>
      <w:r>
        <w:rPr>
          <w:rFonts w:ascii="Arial" w:hAnsi="Arial" w:cs="Arial"/>
          <w:color w:val="000000"/>
        </w:rPr>
        <w:t>(Mahapatra and Mujtaba, 2025)</w:t>
      </w:r>
      <w:r>
        <w:rPr>
          <w:rFonts w:ascii="Arial" w:hAnsi="Arial" w:cs="Arial"/>
          <w:color w:val="000000"/>
        </w:rPr>
        <w:t xml:space="preserve">. Empirical data has shown that AI base recruitment tools have been known to generate biased candidate ranks, which then have a significant impact on the equitable treatment of job candidates </w:t>
      </w:r>
      <w:r>
        <w:rPr>
          <w:rFonts w:ascii="Arial" w:hAnsi="Arial" w:cs="Arial"/>
          <w:color w:val="000000"/>
        </w:rPr>
        <w:t>(Mahapatra and Mujtaba, 2025)</w:t>
      </w:r>
      <w:r>
        <w:rPr>
          <w:rFonts w:ascii="Arial" w:hAnsi="Arial" w:cs="Arial"/>
          <w:color w:val="000000"/>
        </w:rPr>
        <w:t xml:space="preserve">. Such issues are aggravated by the stakes that are included within the </w:t>
      </w:r>
      <w:proofErr w:type="gramStart"/>
      <w:r>
        <w:rPr>
          <w:rFonts w:ascii="Arial" w:hAnsi="Arial" w:cs="Arial"/>
          <w:color w:val="000000"/>
        </w:rPr>
        <w:t>decision making</w:t>
      </w:r>
      <w:proofErr w:type="gramEnd"/>
      <w:r>
        <w:rPr>
          <w:rFonts w:ascii="Arial" w:hAnsi="Arial" w:cs="Arial"/>
          <w:color w:val="000000"/>
        </w:rPr>
        <w:t xml:space="preserve"> process, as well as the structural inequalities that are inherently present within the labour markets, which poses algorithmic fairness as a major issue for employers to combat </w:t>
      </w:r>
      <w:r>
        <w:rPr>
          <w:rFonts w:ascii="Arial" w:hAnsi="Arial" w:cs="Arial"/>
          <w:color w:val="000000"/>
        </w:rPr>
        <w:t>(</w:t>
      </w:r>
      <w:proofErr w:type="spellStart"/>
      <w:r>
        <w:rPr>
          <w:rFonts w:ascii="Arial" w:hAnsi="Arial" w:cs="Arial"/>
          <w:color w:val="000000"/>
        </w:rPr>
        <w:t>Fabris</w:t>
      </w:r>
      <w:proofErr w:type="spellEnd"/>
      <w:r>
        <w:rPr>
          <w:rFonts w:ascii="Arial" w:hAnsi="Arial" w:cs="Arial"/>
          <w:color w:val="000000"/>
        </w:rPr>
        <w:t xml:space="preserve"> et al., 2024)</w:t>
      </w:r>
      <w:r>
        <w:rPr>
          <w:rFonts w:ascii="Arial" w:hAnsi="Arial" w:cs="Arial"/>
          <w:color w:val="000000"/>
        </w:rPr>
        <w:t>.</w:t>
      </w:r>
    </w:p>
    <w:p w14:paraId="14A249E2" w14:textId="7E5A9EEE" w:rsidR="00D600A6" w:rsidRPr="00D600A6" w:rsidRDefault="00D600A6" w:rsidP="00A4142D">
      <w:pPr>
        <w:pStyle w:val="Heading1"/>
        <w:jc w:val="both"/>
        <w:rPr>
          <w:rFonts w:ascii="Arial" w:hAnsi="Arial" w:cs="Arial"/>
          <w:b/>
          <w:bCs/>
          <w:color w:val="000000" w:themeColor="text1"/>
          <w:sz w:val="24"/>
          <w:szCs w:val="24"/>
          <w:u w:val="single"/>
        </w:rPr>
      </w:pPr>
      <w:bookmarkStart w:id="2" w:name="_Toc228563710"/>
      <w:r w:rsidRPr="00D600A6">
        <w:rPr>
          <w:rFonts w:ascii="Arial" w:hAnsi="Arial" w:cs="Arial"/>
          <w:b/>
          <w:bCs/>
          <w:color w:val="000000" w:themeColor="text1"/>
          <w:sz w:val="24"/>
          <w:szCs w:val="24"/>
          <w:u w:val="single"/>
        </w:rPr>
        <w:t>Applicable Academic Theories and Practices to the Recruitment Process.</w:t>
      </w:r>
      <w:bookmarkEnd w:id="2"/>
    </w:p>
    <w:p w14:paraId="483CA830" w14:textId="41E0C7B5" w:rsidR="00D600A6" w:rsidRDefault="00D600A6" w:rsidP="00A4142D">
      <w:pPr>
        <w:jc w:val="both"/>
        <w:rPr>
          <w:rFonts w:ascii="Arial" w:hAnsi="Arial" w:cs="Arial"/>
          <w:color w:val="000000"/>
        </w:rPr>
      </w:pPr>
      <w:r w:rsidRPr="00D600A6">
        <w:rPr>
          <w:rFonts w:ascii="Arial" w:hAnsi="Arial" w:cs="Arial"/>
        </w:rPr>
        <w:t>There are several relevant</w:t>
      </w:r>
      <w:r>
        <w:rPr>
          <w:rFonts w:ascii="Arial" w:hAnsi="Arial" w:cs="Arial"/>
        </w:rPr>
        <w:t xml:space="preserve"> academic theories and practices that can be applied to the betterment of the recruitment process; for example, the service-profit chain theory serves to associate employee satisfaction and loyalty to that of the customers, alongside the financial performance of the organisation </w:t>
      </w:r>
      <w:r>
        <w:rPr>
          <w:rFonts w:ascii="Arial" w:hAnsi="Arial" w:cs="Arial"/>
          <w:color w:val="000000"/>
        </w:rPr>
        <w:t>(</w:t>
      </w:r>
      <w:proofErr w:type="spellStart"/>
      <w:r>
        <w:rPr>
          <w:rFonts w:ascii="Arial" w:hAnsi="Arial" w:cs="Arial"/>
          <w:color w:val="000000"/>
        </w:rPr>
        <w:t>Loveman</w:t>
      </w:r>
      <w:proofErr w:type="spellEnd"/>
      <w:r>
        <w:rPr>
          <w:rFonts w:ascii="Arial" w:hAnsi="Arial" w:cs="Arial"/>
          <w:color w:val="000000"/>
        </w:rPr>
        <w:t>, 1998)</w:t>
      </w:r>
      <w:r>
        <w:rPr>
          <w:rFonts w:ascii="Arial" w:hAnsi="Arial" w:cs="Arial"/>
        </w:rPr>
        <w:t xml:space="preserve">. This theory speculates that when providing employees with a healthy, comfortable working environment, employees are more likely to provide satisfactory service to customers, generating loyalty and repeat visits from certain customers. These experiences can serve to generate behaviours associated with that of loyal customers, including repeat purchases and referrals, which subsequently can lead to an increase within the market share and profitability for the organisation; this is associated with the recruitment sector due to the significant role that accurate and suitable recruitment plays when associating certain employee characteristics with organisation characteristics </w:t>
      </w:r>
      <w:r>
        <w:rPr>
          <w:rFonts w:ascii="Arial" w:hAnsi="Arial" w:cs="Arial"/>
          <w:color w:val="000000"/>
        </w:rPr>
        <w:t>(</w:t>
      </w:r>
      <w:proofErr w:type="spellStart"/>
      <w:r>
        <w:rPr>
          <w:rFonts w:ascii="Arial" w:hAnsi="Arial" w:cs="Arial"/>
          <w:color w:val="000000"/>
        </w:rPr>
        <w:t>Loveman</w:t>
      </w:r>
      <w:proofErr w:type="spellEnd"/>
      <w:r>
        <w:rPr>
          <w:rFonts w:ascii="Arial" w:hAnsi="Arial" w:cs="Arial"/>
          <w:color w:val="000000"/>
        </w:rPr>
        <w:t>, 1998)</w:t>
      </w:r>
      <w:r>
        <w:rPr>
          <w:rFonts w:ascii="Arial" w:hAnsi="Arial" w:cs="Arial"/>
          <w:color w:val="000000"/>
        </w:rPr>
        <w:t xml:space="preserve">. </w:t>
      </w:r>
    </w:p>
    <w:p w14:paraId="10D12BAB" w14:textId="1BBA621F" w:rsidR="00D600A6" w:rsidRDefault="00D600A6" w:rsidP="00A4142D">
      <w:pPr>
        <w:jc w:val="both"/>
        <w:rPr>
          <w:rFonts w:ascii="Arial" w:hAnsi="Arial" w:cs="Arial"/>
          <w:color w:val="000000"/>
        </w:rPr>
      </w:pPr>
      <w:r>
        <w:rPr>
          <w:rFonts w:ascii="Arial" w:hAnsi="Arial" w:cs="Arial"/>
          <w:color w:val="000000"/>
        </w:rPr>
        <w:lastRenderedPageBreak/>
        <w:t xml:space="preserve">The psychological contract theory is a theory that concerns the unwritten expectations of the employment relationships- the expectations that an employee unknowingly or unintentionally places on an employer and their workplace as a result of psychological connections between marketing and branding and the employee expectation </w:t>
      </w:r>
      <w:r>
        <w:rPr>
          <w:rFonts w:ascii="Arial" w:hAnsi="Arial" w:cs="Arial"/>
          <w:color w:val="000000"/>
        </w:rPr>
        <w:t>(Conway and Briner, 2005)</w:t>
      </w:r>
      <w:r>
        <w:rPr>
          <w:rFonts w:ascii="Arial" w:hAnsi="Arial" w:cs="Arial"/>
          <w:color w:val="000000"/>
        </w:rPr>
        <w:t xml:space="preserve">. This focuses on the beliefs held by employees, specifically about the reciprocal obligations and other benefits that employer’s offer or provide for their staff </w:t>
      </w:r>
      <w:r>
        <w:rPr>
          <w:rFonts w:ascii="Arial" w:hAnsi="Arial" w:cs="Arial"/>
          <w:color w:val="000000"/>
        </w:rPr>
        <w:t>(</w:t>
      </w:r>
      <w:proofErr w:type="spellStart"/>
      <w:r>
        <w:rPr>
          <w:rFonts w:ascii="Arial" w:hAnsi="Arial" w:cs="Arial"/>
          <w:color w:val="000000"/>
        </w:rPr>
        <w:t>Topa</w:t>
      </w:r>
      <w:proofErr w:type="spellEnd"/>
      <w:r>
        <w:rPr>
          <w:rFonts w:ascii="Arial" w:hAnsi="Arial" w:cs="Arial"/>
          <w:color w:val="000000"/>
        </w:rPr>
        <w:t>, Aranda-</w:t>
      </w:r>
      <w:proofErr w:type="spellStart"/>
      <w:r>
        <w:rPr>
          <w:rFonts w:ascii="Arial" w:hAnsi="Arial" w:cs="Arial"/>
          <w:color w:val="000000"/>
        </w:rPr>
        <w:t>Carmena</w:t>
      </w:r>
      <w:proofErr w:type="spellEnd"/>
      <w:r>
        <w:rPr>
          <w:rFonts w:ascii="Arial" w:hAnsi="Arial" w:cs="Arial"/>
          <w:color w:val="000000"/>
        </w:rPr>
        <w:t xml:space="preserve"> and De-Maria, 2022)</w:t>
      </w:r>
      <w:r>
        <w:rPr>
          <w:rFonts w:ascii="Arial" w:hAnsi="Arial" w:cs="Arial"/>
          <w:color w:val="000000"/>
        </w:rPr>
        <w:t xml:space="preserve">. Contrastingly against formal written contracts, psychological and mental contracts tend to showcase what employees anticipate in exchange from work and what they believe is owed to them in return for their labour, showcasing shared expectations that are usually not verbally stated </w:t>
      </w:r>
      <w:r>
        <w:rPr>
          <w:rFonts w:ascii="Arial" w:hAnsi="Arial" w:cs="Arial"/>
          <w:color w:val="000000"/>
        </w:rPr>
        <w:t>(</w:t>
      </w:r>
      <w:proofErr w:type="spellStart"/>
      <w:r>
        <w:rPr>
          <w:rFonts w:ascii="Arial" w:hAnsi="Arial" w:cs="Arial"/>
          <w:color w:val="000000"/>
        </w:rPr>
        <w:t>Topa</w:t>
      </w:r>
      <w:proofErr w:type="spellEnd"/>
      <w:r>
        <w:rPr>
          <w:rFonts w:ascii="Arial" w:hAnsi="Arial" w:cs="Arial"/>
          <w:color w:val="000000"/>
        </w:rPr>
        <w:t>, Aranda-</w:t>
      </w:r>
      <w:proofErr w:type="spellStart"/>
      <w:r>
        <w:rPr>
          <w:rFonts w:ascii="Arial" w:hAnsi="Arial" w:cs="Arial"/>
          <w:color w:val="000000"/>
        </w:rPr>
        <w:t>Carmena</w:t>
      </w:r>
      <w:proofErr w:type="spellEnd"/>
      <w:r>
        <w:rPr>
          <w:rFonts w:ascii="Arial" w:hAnsi="Arial" w:cs="Arial"/>
          <w:color w:val="000000"/>
        </w:rPr>
        <w:t xml:space="preserve"> and De-Maria, 2022)</w:t>
      </w:r>
      <w:r>
        <w:rPr>
          <w:rFonts w:ascii="Arial" w:hAnsi="Arial" w:cs="Arial"/>
          <w:color w:val="000000"/>
        </w:rPr>
        <w:t>. This comes into play with the importance of fair and equal applicant screenings during the recruitment process, as employees often tend to idealise a new workplace for its qualities and benefits, and when this idealisation is broken and tattered, negative employee attitude and behaviours tend to begin to develop out of a lack of respect and care for the organisation and its employers.</w:t>
      </w:r>
    </w:p>
    <w:p w14:paraId="634E096F" w14:textId="63AF84A6" w:rsidR="00D600A6" w:rsidRDefault="00D600A6" w:rsidP="00A4142D">
      <w:pPr>
        <w:pStyle w:val="Heading1"/>
        <w:jc w:val="both"/>
        <w:rPr>
          <w:rFonts w:ascii="Arial" w:hAnsi="Arial" w:cs="Arial"/>
          <w:b/>
          <w:bCs/>
          <w:color w:val="000000" w:themeColor="text1"/>
          <w:sz w:val="24"/>
          <w:szCs w:val="24"/>
          <w:u w:val="single"/>
        </w:rPr>
      </w:pPr>
      <w:bookmarkStart w:id="3" w:name="_Toc228563711"/>
      <w:r>
        <w:rPr>
          <w:rFonts w:ascii="Arial" w:hAnsi="Arial" w:cs="Arial"/>
          <w:b/>
          <w:bCs/>
          <w:color w:val="000000" w:themeColor="text1"/>
          <w:sz w:val="24"/>
          <w:szCs w:val="24"/>
          <w:u w:val="single"/>
        </w:rPr>
        <w:t>The Advisory Operational Plan.</w:t>
      </w:r>
      <w:bookmarkEnd w:id="3"/>
    </w:p>
    <w:tbl>
      <w:tblPr>
        <w:tblStyle w:val="GridTable1Light"/>
        <w:tblW w:w="0" w:type="auto"/>
        <w:tblLook w:val="04A0" w:firstRow="1" w:lastRow="0" w:firstColumn="1" w:lastColumn="0" w:noHBand="0" w:noVBand="1"/>
      </w:tblPr>
      <w:tblGrid>
        <w:gridCol w:w="1806"/>
        <w:gridCol w:w="1367"/>
        <w:gridCol w:w="1484"/>
        <w:gridCol w:w="1418"/>
        <w:gridCol w:w="1440"/>
        <w:gridCol w:w="1495"/>
      </w:tblGrid>
      <w:tr w:rsidR="00D600A6" w:rsidRPr="00D600A6" w14:paraId="36DC6ABD" w14:textId="77777777" w:rsidTr="00D600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6" w:type="dxa"/>
          </w:tcPr>
          <w:p w14:paraId="5B788875" w14:textId="34666504" w:rsidR="00D600A6" w:rsidRPr="00D600A6" w:rsidRDefault="00D600A6" w:rsidP="00A4142D">
            <w:pPr>
              <w:jc w:val="both"/>
              <w:rPr>
                <w:rFonts w:ascii="Arial" w:hAnsi="Arial" w:cs="Arial"/>
                <w:sz w:val="20"/>
                <w:szCs w:val="20"/>
              </w:rPr>
            </w:pPr>
            <w:r w:rsidRPr="00D600A6">
              <w:rPr>
                <w:rFonts w:ascii="Arial" w:hAnsi="Arial" w:cs="Arial"/>
                <w:sz w:val="20"/>
                <w:szCs w:val="20"/>
              </w:rPr>
              <w:t>Objectives</w:t>
            </w:r>
          </w:p>
        </w:tc>
        <w:tc>
          <w:tcPr>
            <w:tcW w:w="1375" w:type="dxa"/>
          </w:tcPr>
          <w:p w14:paraId="3A17DC8D" w14:textId="64BB8569" w:rsidR="00D600A6" w:rsidRPr="00D600A6" w:rsidRDefault="00D600A6" w:rsidP="00A4142D">
            <w:pPr>
              <w:jc w:val="both"/>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D600A6">
              <w:rPr>
                <w:rFonts w:ascii="Arial" w:hAnsi="Arial" w:cs="Arial"/>
                <w:sz w:val="20"/>
                <w:szCs w:val="20"/>
              </w:rPr>
              <w:t>Key risks relating to AI</w:t>
            </w:r>
          </w:p>
        </w:tc>
        <w:tc>
          <w:tcPr>
            <w:tcW w:w="1484" w:type="dxa"/>
          </w:tcPr>
          <w:p w14:paraId="4074E437" w14:textId="2CAC0A2B" w:rsidR="00D600A6" w:rsidRPr="00D600A6" w:rsidRDefault="00D600A6" w:rsidP="00A4142D">
            <w:pPr>
              <w:jc w:val="both"/>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D600A6">
              <w:rPr>
                <w:rFonts w:ascii="Arial" w:hAnsi="Arial" w:cs="Arial"/>
                <w:sz w:val="20"/>
                <w:szCs w:val="20"/>
              </w:rPr>
              <w:t>Action &amp; Control Me</w:t>
            </w:r>
            <w:r>
              <w:rPr>
                <w:rFonts w:ascii="Arial" w:hAnsi="Arial" w:cs="Arial"/>
                <w:sz w:val="20"/>
                <w:szCs w:val="20"/>
              </w:rPr>
              <w:t>a</w:t>
            </w:r>
            <w:r w:rsidRPr="00D600A6">
              <w:rPr>
                <w:rFonts w:ascii="Arial" w:hAnsi="Arial" w:cs="Arial"/>
                <w:sz w:val="20"/>
                <w:szCs w:val="20"/>
              </w:rPr>
              <w:t>sure</w:t>
            </w:r>
            <w:r>
              <w:rPr>
                <w:rFonts w:ascii="Arial" w:hAnsi="Arial" w:cs="Arial"/>
                <w:sz w:val="20"/>
                <w:szCs w:val="20"/>
              </w:rPr>
              <w:t>s</w:t>
            </w:r>
          </w:p>
        </w:tc>
        <w:tc>
          <w:tcPr>
            <w:tcW w:w="1435" w:type="dxa"/>
          </w:tcPr>
          <w:p w14:paraId="5F63E766" w14:textId="32B0C38F" w:rsidR="00D600A6" w:rsidRPr="00D600A6" w:rsidRDefault="00D600A6" w:rsidP="00A4142D">
            <w:pPr>
              <w:jc w:val="both"/>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D600A6">
              <w:rPr>
                <w:rFonts w:ascii="Arial" w:hAnsi="Arial" w:cs="Arial"/>
                <w:sz w:val="20"/>
                <w:szCs w:val="20"/>
              </w:rPr>
              <w:t>Responsible Role</w:t>
            </w:r>
          </w:p>
        </w:tc>
        <w:tc>
          <w:tcPr>
            <w:tcW w:w="1550" w:type="dxa"/>
          </w:tcPr>
          <w:p w14:paraId="16B11098" w14:textId="1587D5E2" w:rsidR="00D600A6" w:rsidRPr="00D600A6" w:rsidRDefault="00D600A6" w:rsidP="00A4142D">
            <w:pPr>
              <w:jc w:val="both"/>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D600A6">
              <w:rPr>
                <w:rFonts w:ascii="Arial" w:hAnsi="Arial" w:cs="Arial"/>
                <w:sz w:val="20"/>
                <w:szCs w:val="20"/>
              </w:rPr>
              <w:t>Timeframe.</w:t>
            </w:r>
          </w:p>
        </w:tc>
        <w:tc>
          <w:tcPr>
            <w:tcW w:w="1360" w:type="dxa"/>
          </w:tcPr>
          <w:p w14:paraId="21D65736" w14:textId="79FB716E" w:rsidR="00D600A6" w:rsidRPr="00D600A6" w:rsidRDefault="00D600A6" w:rsidP="00A4142D">
            <w:pPr>
              <w:jc w:val="both"/>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D600A6">
              <w:rPr>
                <w:rFonts w:ascii="Arial" w:hAnsi="Arial" w:cs="Arial"/>
                <w:sz w:val="20"/>
                <w:szCs w:val="20"/>
              </w:rPr>
              <w:t>Success KPI.</w:t>
            </w:r>
          </w:p>
        </w:tc>
      </w:tr>
      <w:tr w:rsidR="00D600A6" w:rsidRPr="00D600A6" w14:paraId="6F51D69B" w14:textId="77777777" w:rsidTr="00D600A6">
        <w:tc>
          <w:tcPr>
            <w:cnfStyle w:val="001000000000" w:firstRow="0" w:lastRow="0" w:firstColumn="1" w:lastColumn="0" w:oddVBand="0" w:evenVBand="0" w:oddHBand="0" w:evenHBand="0" w:firstRowFirstColumn="0" w:firstRowLastColumn="0" w:lastRowFirstColumn="0" w:lastRowLastColumn="0"/>
            <w:tcW w:w="1806" w:type="dxa"/>
          </w:tcPr>
          <w:p w14:paraId="40F7B05F" w14:textId="4286C6DF" w:rsidR="00D600A6" w:rsidRPr="00D600A6" w:rsidRDefault="00D600A6" w:rsidP="00A4142D">
            <w:pPr>
              <w:jc w:val="both"/>
              <w:rPr>
                <w:rFonts w:ascii="Arial" w:hAnsi="Arial" w:cs="Arial"/>
                <w:b w:val="0"/>
                <w:bCs w:val="0"/>
                <w:sz w:val="20"/>
                <w:szCs w:val="20"/>
              </w:rPr>
            </w:pPr>
            <w:r w:rsidRPr="00D600A6">
              <w:rPr>
                <w:rFonts w:ascii="Arial" w:hAnsi="Arial" w:cs="Arial"/>
                <w:b w:val="0"/>
                <w:bCs w:val="0"/>
                <w:sz w:val="20"/>
                <w:szCs w:val="20"/>
              </w:rPr>
              <w:t>Aim for as much fair candidate screening as possible.</w:t>
            </w:r>
          </w:p>
        </w:tc>
        <w:tc>
          <w:tcPr>
            <w:tcW w:w="1375" w:type="dxa"/>
          </w:tcPr>
          <w:p w14:paraId="793612EF" w14:textId="071ED845"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600A6">
              <w:rPr>
                <w:rFonts w:ascii="Arial" w:hAnsi="Arial" w:cs="Arial"/>
                <w:sz w:val="20"/>
                <w:szCs w:val="20"/>
              </w:rPr>
              <w:t xml:space="preserve">Bias from pre-existing data bases  </w:t>
            </w:r>
            <w:r>
              <w:rPr>
                <w:rFonts w:ascii="Arial" w:hAnsi="Arial" w:cs="Arial"/>
                <w:sz w:val="20"/>
                <w:szCs w:val="20"/>
              </w:rPr>
              <w:t>that influence decision making.</w:t>
            </w:r>
          </w:p>
        </w:tc>
        <w:tc>
          <w:tcPr>
            <w:tcW w:w="1484" w:type="dxa"/>
          </w:tcPr>
          <w:p w14:paraId="2A8166A4" w14:textId="16C90824"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Only use AI as a support tool alongside the human review of candidates.</w:t>
            </w:r>
          </w:p>
        </w:tc>
        <w:tc>
          <w:tcPr>
            <w:tcW w:w="1435" w:type="dxa"/>
          </w:tcPr>
          <w:p w14:paraId="414B792B" w14:textId="18F53142"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HR managers and Hiring Teams.</w:t>
            </w:r>
          </w:p>
        </w:tc>
        <w:tc>
          <w:tcPr>
            <w:tcW w:w="1550" w:type="dxa"/>
          </w:tcPr>
          <w:p w14:paraId="07744D6D" w14:textId="42560C1B"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Immediate, in the pre-job offer phase.</w:t>
            </w:r>
          </w:p>
        </w:tc>
        <w:tc>
          <w:tcPr>
            <w:tcW w:w="1360" w:type="dxa"/>
          </w:tcPr>
          <w:p w14:paraId="13CB0A2B" w14:textId="09064DC4"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To have all 100% of the candidates reviewed by a human panel of staff.</w:t>
            </w:r>
          </w:p>
        </w:tc>
      </w:tr>
      <w:tr w:rsidR="00D600A6" w:rsidRPr="00D600A6" w14:paraId="3FA94F72" w14:textId="77777777" w:rsidTr="00D600A6">
        <w:tc>
          <w:tcPr>
            <w:cnfStyle w:val="001000000000" w:firstRow="0" w:lastRow="0" w:firstColumn="1" w:lastColumn="0" w:oddVBand="0" w:evenVBand="0" w:oddHBand="0" w:evenHBand="0" w:firstRowFirstColumn="0" w:firstRowLastColumn="0" w:lastRowFirstColumn="0" w:lastRowLastColumn="0"/>
            <w:tcW w:w="1806" w:type="dxa"/>
          </w:tcPr>
          <w:p w14:paraId="31A2E0FC" w14:textId="7DA03CE6" w:rsidR="00D600A6" w:rsidRPr="00D600A6" w:rsidRDefault="00D600A6" w:rsidP="00A4142D">
            <w:pPr>
              <w:jc w:val="both"/>
              <w:rPr>
                <w:rFonts w:ascii="Arial" w:hAnsi="Arial" w:cs="Arial"/>
                <w:b w:val="0"/>
                <w:bCs w:val="0"/>
                <w:sz w:val="20"/>
                <w:szCs w:val="20"/>
              </w:rPr>
            </w:pPr>
            <w:proofErr w:type="spellStart"/>
            <w:r>
              <w:rPr>
                <w:rFonts w:ascii="Arial" w:hAnsi="Arial" w:cs="Arial"/>
                <w:b w:val="0"/>
                <w:bCs w:val="0"/>
                <w:sz w:val="20"/>
                <w:szCs w:val="20"/>
              </w:rPr>
              <w:t>Elimited</w:t>
            </w:r>
            <w:proofErr w:type="spellEnd"/>
            <w:r>
              <w:rPr>
                <w:rFonts w:ascii="Arial" w:hAnsi="Arial" w:cs="Arial"/>
                <w:b w:val="0"/>
                <w:bCs w:val="0"/>
                <w:sz w:val="20"/>
                <w:szCs w:val="20"/>
              </w:rPr>
              <w:t xml:space="preserve"> bias within job descriptions.</w:t>
            </w:r>
          </w:p>
        </w:tc>
        <w:tc>
          <w:tcPr>
            <w:tcW w:w="1375" w:type="dxa"/>
          </w:tcPr>
          <w:p w14:paraId="509DF3F2" w14:textId="07D1188B"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Ads generated by AI can include biased language.</w:t>
            </w:r>
          </w:p>
        </w:tc>
        <w:tc>
          <w:tcPr>
            <w:tcW w:w="1484" w:type="dxa"/>
          </w:tcPr>
          <w:p w14:paraId="56A460EE" w14:textId="3A441F6B"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Use language tools that are inclusive and a manual DEI review process before posting job listings.</w:t>
            </w:r>
          </w:p>
        </w:tc>
        <w:tc>
          <w:tcPr>
            <w:tcW w:w="1435" w:type="dxa"/>
          </w:tcPr>
          <w:p w14:paraId="7B277861" w14:textId="19B1999B"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The HR advisor alongside the DEI advisors.</w:t>
            </w:r>
          </w:p>
        </w:tc>
        <w:tc>
          <w:tcPr>
            <w:tcW w:w="1550" w:type="dxa"/>
          </w:tcPr>
          <w:p w14:paraId="34420CFC" w14:textId="6C496A2C"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To be implemented within 1-2 months of operation.</w:t>
            </w:r>
          </w:p>
        </w:tc>
        <w:tc>
          <w:tcPr>
            <w:tcW w:w="1360" w:type="dxa"/>
          </w:tcPr>
          <w:p w14:paraId="64F90107" w14:textId="653084A4"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To have the diversity and range of applicants increase.</w:t>
            </w:r>
          </w:p>
        </w:tc>
      </w:tr>
      <w:tr w:rsidR="00D600A6" w:rsidRPr="00D600A6" w14:paraId="6679B310" w14:textId="77777777" w:rsidTr="00D600A6">
        <w:tc>
          <w:tcPr>
            <w:cnfStyle w:val="001000000000" w:firstRow="0" w:lastRow="0" w:firstColumn="1" w:lastColumn="0" w:oddVBand="0" w:evenVBand="0" w:oddHBand="0" w:evenHBand="0" w:firstRowFirstColumn="0" w:firstRowLastColumn="0" w:lastRowFirstColumn="0" w:lastRowLastColumn="0"/>
            <w:tcW w:w="1806" w:type="dxa"/>
          </w:tcPr>
          <w:p w14:paraId="5D59A373" w14:textId="32CB5FFC" w:rsidR="00D600A6" w:rsidRPr="00D600A6" w:rsidRDefault="00D600A6" w:rsidP="00A4142D">
            <w:pPr>
              <w:jc w:val="both"/>
              <w:rPr>
                <w:rFonts w:ascii="Arial" w:hAnsi="Arial" w:cs="Arial"/>
                <w:b w:val="0"/>
                <w:bCs w:val="0"/>
                <w:sz w:val="20"/>
                <w:szCs w:val="20"/>
              </w:rPr>
            </w:pPr>
            <w:r>
              <w:rPr>
                <w:rFonts w:ascii="Arial" w:hAnsi="Arial" w:cs="Arial"/>
                <w:b w:val="0"/>
                <w:bCs w:val="0"/>
                <w:sz w:val="20"/>
                <w:szCs w:val="20"/>
              </w:rPr>
              <w:t xml:space="preserve">Prevent </w:t>
            </w:r>
            <w:proofErr w:type="spellStart"/>
            <w:r>
              <w:rPr>
                <w:rFonts w:ascii="Arial" w:hAnsi="Arial" w:cs="Arial"/>
                <w:b w:val="0"/>
                <w:bCs w:val="0"/>
                <w:sz w:val="20"/>
                <w:szCs w:val="20"/>
              </w:rPr>
              <w:t>shortlistings</w:t>
            </w:r>
            <w:proofErr w:type="spellEnd"/>
            <w:r>
              <w:rPr>
                <w:rFonts w:ascii="Arial" w:hAnsi="Arial" w:cs="Arial"/>
                <w:b w:val="0"/>
                <w:bCs w:val="0"/>
                <w:sz w:val="20"/>
                <w:szCs w:val="20"/>
              </w:rPr>
              <w:t xml:space="preserve"> rooted in discrimination.</w:t>
            </w:r>
          </w:p>
        </w:tc>
        <w:tc>
          <w:tcPr>
            <w:tcW w:w="1375" w:type="dxa"/>
          </w:tcPr>
          <w:p w14:paraId="52E06737" w14:textId="19996C99"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Certain backgrounds or words may be picked up and favoured by AI.</w:t>
            </w:r>
          </w:p>
        </w:tc>
        <w:tc>
          <w:tcPr>
            <w:tcW w:w="1484" w:type="dxa"/>
          </w:tcPr>
          <w:p w14:paraId="05E48D2A" w14:textId="79DB5CB0"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Introduce structured scoring criteria that are more skill based.</w:t>
            </w:r>
          </w:p>
        </w:tc>
        <w:tc>
          <w:tcPr>
            <w:tcW w:w="1435" w:type="dxa"/>
          </w:tcPr>
          <w:p w14:paraId="2C08321E" w14:textId="1E60FDBA"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The recruitment </w:t>
            </w:r>
            <w:proofErr w:type="gramStart"/>
            <w:r>
              <w:rPr>
                <w:rFonts w:ascii="Arial" w:hAnsi="Arial" w:cs="Arial"/>
                <w:sz w:val="20"/>
                <w:szCs w:val="20"/>
              </w:rPr>
              <w:t>team</w:t>
            </w:r>
            <w:proofErr w:type="gramEnd"/>
            <w:r>
              <w:rPr>
                <w:rFonts w:ascii="Arial" w:hAnsi="Arial" w:cs="Arial"/>
                <w:sz w:val="20"/>
                <w:szCs w:val="20"/>
              </w:rPr>
              <w:t>.</w:t>
            </w:r>
          </w:p>
        </w:tc>
        <w:tc>
          <w:tcPr>
            <w:tcW w:w="1550" w:type="dxa"/>
          </w:tcPr>
          <w:p w14:paraId="517762AB" w14:textId="43824FBA"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To be implemented immediately.</w:t>
            </w:r>
          </w:p>
        </w:tc>
        <w:tc>
          <w:tcPr>
            <w:tcW w:w="1360" w:type="dxa"/>
          </w:tcPr>
          <w:p w14:paraId="6C1115AE" w14:textId="2D4B1CF5"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The ratio of diversity in applications at the shortlist stage should be increased.</w:t>
            </w:r>
          </w:p>
        </w:tc>
      </w:tr>
      <w:tr w:rsidR="00D600A6" w:rsidRPr="00D600A6" w14:paraId="5DD78E6B" w14:textId="77777777" w:rsidTr="00D600A6">
        <w:tc>
          <w:tcPr>
            <w:cnfStyle w:val="001000000000" w:firstRow="0" w:lastRow="0" w:firstColumn="1" w:lastColumn="0" w:oddVBand="0" w:evenVBand="0" w:oddHBand="0" w:evenHBand="0" w:firstRowFirstColumn="0" w:firstRowLastColumn="0" w:lastRowFirstColumn="0" w:lastRowLastColumn="0"/>
            <w:tcW w:w="1806" w:type="dxa"/>
          </w:tcPr>
          <w:p w14:paraId="2276998B" w14:textId="2D6D8ECA" w:rsidR="00D600A6" w:rsidRPr="00D600A6" w:rsidRDefault="00D600A6" w:rsidP="00A4142D">
            <w:pPr>
              <w:jc w:val="both"/>
              <w:rPr>
                <w:rFonts w:ascii="Arial" w:hAnsi="Arial" w:cs="Arial"/>
                <w:b w:val="0"/>
                <w:bCs w:val="0"/>
                <w:sz w:val="20"/>
                <w:szCs w:val="20"/>
              </w:rPr>
            </w:pPr>
            <w:r>
              <w:rPr>
                <w:rFonts w:ascii="Arial" w:hAnsi="Arial" w:cs="Arial"/>
                <w:b w:val="0"/>
                <w:bCs w:val="0"/>
                <w:sz w:val="20"/>
                <w:szCs w:val="20"/>
              </w:rPr>
              <w:t>Protect against misrepresentation from candidates.</w:t>
            </w:r>
          </w:p>
        </w:tc>
        <w:tc>
          <w:tcPr>
            <w:tcW w:w="1375" w:type="dxa"/>
          </w:tcPr>
          <w:p w14:paraId="3AED31E1" w14:textId="21C488A7"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CVs and deepfake interviews can be generated by AI.</w:t>
            </w:r>
          </w:p>
        </w:tc>
        <w:tc>
          <w:tcPr>
            <w:tcW w:w="1484" w:type="dxa"/>
          </w:tcPr>
          <w:p w14:paraId="389F4A0C" w14:textId="5DBDFF2D"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Incorporate a multi-stage verification process, such as a live demonstration of tasks or an in-person </w:t>
            </w:r>
            <w:r>
              <w:rPr>
                <w:rFonts w:ascii="Arial" w:hAnsi="Arial" w:cs="Arial"/>
                <w:sz w:val="20"/>
                <w:szCs w:val="20"/>
              </w:rPr>
              <w:lastRenderedPageBreak/>
              <w:t>video interview.</w:t>
            </w:r>
          </w:p>
        </w:tc>
        <w:tc>
          <w:tcPr>
            <w:tcW w:w="1435" w:type="dxa"/>
          </w:tcPr>
          <w:p w14:paraId="51E888DF" w14:textId="53E09149"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lastRenderedPageBreak/>
              <w:t>The HR department alongside the leads and managers of other departments.</w:t>
            </w:r>
          </w:p>
        </w:tc>
        <w:tc>
          <w:tcPr>
            <w:tcW w:w="1550" w:type="dxa"/>
          </w:tcPr>
          <w:p w14:paraId="60D7BD09" w14:textId="56981F09"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To be implemented immediately.</w:t>
            </w:r>
          </w:p>
        </w:tc>
        <w:tc>
          <w:tcPr>
            <w:tcW w:w="1360" w:type="dxa"/>
          </w:tcPr>
          <w:p w14:paraId="4F7BDCEF" w14:textId="7D9EACFE"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A reduction in the failure of probational hires.</w:t>
            </w:r>
          </w:p>
        </w:tc>
      </w:tr>
      <w:tr w:rsidR="00D600A6" w:rsidRPr="00D600A6" w14:paraId="6261B1CF" w14:textId="77777777" w:rsidTr="00D600A6">
        <w:tc>
          <w:tcPr>
            <w:cnfStyle w:val="001000000000" w:firstRow="0" w:lastRow="0" w:firstColumn="1" w:lastColumn="0" w:oddVBand="0" w:evenVBand="0" w:oddHBand="0" w:evenHBand="0" w:firstRowFirstColumn="0" w:firstRowLastColumn="0" w:lastRowFirstColumn="0" w:lastRowLastColumn="0"/>
            <w:tcW w:w="1806" w:type="dxa"/>
          </w:tcPr>
          <w:p w14:paraId="317F97A8" w14:textId="5F0ED3C2" w:rsidR="00D600A6" w:rsidRPr="00D600A6" w:rsidRDefault="00D600A6" w:rsidP="00A4142D">
            <w:pPr>
              <w:jc w:val="both"/>
              <w:rPr>
                <w:rFonts w:ascii="Arial" w:hAnsi="Arial" w:cs="Arial"/>
                <w:b w:val="0"/>
                <w:bCs w:val="0"/>
                <w:sz w:val="20"/>
                <w:szCs w:val="20"/>
              </w:rPr>
            </w:pPr>
            <w:r>
              <w:rPr>
                <w:rFonts w:ascii="Arial" w:hAnsi="Arial" w:cs="Arial"/>
                <w:b w:val="0"/>
                <w:bCs w:val="0"/>
                <w:sz w:val="20"/>
                <w:szCs w:val="20"/>
              </w:rPr>
              <w:t>Ensure fairness during the interview process.</w:t>
            </w:r>
          </w:p>
        </w:tc>
        <w:tc>
          <w:tcPr>
            <w:tcW w:w="1375" w:type="dxa"/>
          </w:tcPr>
          <w:p w14:paraId="06E9DA62" w14:textId="7974F34E"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Screenings carried out by AI can miss out crucial </w:t>
            </w:r>
            <w:proofErr w:type="gramStart"/>
            <w:r>
              <w:rPr>
                <w:rFonts w:ascii="Arial" w:hAnsi="Arial" w:cs="Arial"/>
                <w:sz w:val="20"/>
                <w:szCs w:val="20"/>
              </w:rPr>
              <w:t>soft-skills</w:t>
            </w:r>
            <w:proofErr w:type="gramEnd"/>
            <w:r>
              <w:rPr>
                <w:rFonts w:ascii="Arial" w:hAnsi="Arial" w:cs="Arial"/>
                <w:sz w:val="20"/>
                <w:szCs w:val="20"/>
              </w:rPr>
              <w:t>.</w:t>
            </w:r>
          </w:p>
        </w:tc>
        <w:tc>
          <w:tcPr>
            <w:tcW w:w="1484" w:type="dxa"/>
          </w:tcPr>
          <w:p w14:paraId="546B869D" w14:textId="5F008BD5"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Use a structured interview process with a standardised questioning system and scoring process.</w:t>
            </w:r>
          </w:p>
        </w:tc>
        <w:tc>
          <w:tcPr>
            <w:tcW w:w="1435" w:type="dxa"/>
          </w:tcPr>
          <w:p w14:paraId="3C182AE6" w14:textId="50E565B8"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The hiring panel.</w:t>
            </w:r>
          </w:p>
        </w:tc>
        <w:tc>
          <w:tcPr>
            <w:tcW w:w="1550" w:type="dxa"/>
          </w:tcPr>
          <w:p w14:paraId="063288AF" w14:textId="1FA7BDCC"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To be implemented immediately.</w:t>
            </w:r>
          </w:p>
        </w:tc>
        <w:tc>
          <w:tcPr>
            <w:tcW w:w="1360" w:type="dxa"/>
          </w:tcPr>
          <w:p w14:paraId="5BB24DDB" w14:textId="44F3743B"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The scoring of interviews will remain consistent across all candidates.</w:t>
            </w:r>
          </w:p>
        </w:tc>
      </w:tr>
      <w:tr w:rsidR="00D600A6" w:rsidRPr="00D600A6" w14:paraId="15F05D37" w14:textId="77777777" w:rsidTr="00D600A6">
        <w:tc>
          <w:tcPr>
            <w:cnfStyle w:val="001000000000" w:firstRow="0" w:lastRow="0" w:firstColumn="1" w:lastColumn="0" w:oddVBand="0" w:evenVBand="0" w:oddHBand="0" w:evenHBand="0" w:firstRowFirstColumn="0" w:firstRowLastColumn="0" w:lastRowFirstColumn="0" w:lastRowLastColumn="0"/>
            <w:tcW w:w="1806" w:type="dxa"/>
          </w:tcPr>
          <w:p w14:paraId="58EF3793" w14:textId="3D915AC0" w:rsidR="00D600A6" w:rsidRPr="00D600A6" w:rsidRDefault="00D600A6" w:rsidP="00A4142D">
            <w:pPr>
              <w:jc w:val="both"/>
              <w:rPr>
                <w:rFonts w:ascii="Arial" w:hAnsi="Arial" w:cs="Arial"/>
                <w:b w:val="0"/>
                <w:bCs w:val="0"/>
                <w:sz w:val="20"/>
                <w:szCs w:val="20"/>
              </w:rPr>
            </w:pPr>
            <w:r>
              <w:rPr>
                <w:rFonts w:ascii="Arial" w:hAnsi="Arial" w:cs="Arial"/>
                <w:b w:val="0"/>
                <w:bCs w:val="0"/>
                <w:sz w:val="20"/>
                <w:szCs w:val="20"/>
              </w:rPr>
              <w:t>Ensure that candidates comply with regulation.</w:t>
            </w:r>
          </w:p>
        </w:tc>
        <w:tc>
          <w:tcPr>
            <w:tcW w:w="1375" w:type="dxa"/>
          </w:tcPr>
          <w:p w14:paraId="6C33F963" w14:textId="735A43A6"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It’s possible that AI will breach laws and regulations.</w:t>
            </w:r>
          </w:p>
        </w:tc>
        <w:tc>
          <w:tcPr>
            <w:tcW w:w="1484" w:type="dxa"/>
          </w:tcPr>
          <w:p w14:paraId="20F335E4" w14:textId="61C2ADB7"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Align the recruitment practices with the General Data Protection Regulation and EU AI Act.</w:t>
            </w:r>
          </w:p>
        </w:tc>
        <w:tc>
          <w:tcPr>
            <w:tcW w:w="1435" w:type="dxa"/>
          </w:tcPr>
          <w:p w14:paraId="2D672719" w14:textId="4E1E0DB3"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The Legal officer alongside the human resource compliance officer. </w:t>
            </w:r>
          </w:p>
        </w:tc>
        <w:tc>
          <w:tcPr>
            <w:tcW w:w="1550" w:type="dxa"/>
          </w:tcPr>
          <w:p w14:paraId="6953B78E" w14:textId="2CCAAE57"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To be launched prior to the launch of the organisation and business.</w:t>
            </w:r>
          </w:p>
        </w:tc>
        <w:tc>
          <w:tcPr>
            <w:tcW w:w="1360" w:type="dxa"/>
          </w:tcPr>
          <w:p w14:paraId="4BB5BBBF" w14:textId="0AEE8360"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Absolutely zero breaches in compliance.</w:t>
            </w:r>
          </w:p>
        </w:tc>
      </w:tr>
      <w:tr w:rsidR="00D600A6" w:rsidRPr="00D600A6" w14:paraId="23D25478" w14:textId="77777777" w:rsidTr="00D600A6">
        <w:tc>
          <w:tcPr>
            <w:cnfStyle w:val="001000000000" w:firstRow="0" w:lastRow="0" w:firstColumn="1" w:lastColumn="0" w:oddVBand="0" w:evenVBand="0" w:oddHBand="0" w:evenHBand="0" w:firstRowFirstColumn="0" w:firstRowLastColumn="0" w:lastRowFirstColumn="0" w:lastRowLastColumn="0"/>
            <w:tcW w:w="1806" w:type="dxa"/>
          </w:tcPr>
          <w:p w14:paraId="4134BDC1" w14:textId="5EE23387" w:rsidR="00D600A6" w:rsidRPr="00D600A6" w:rsidRDefault="00D600A6" w:rsidP="00A4142D">
            <w:pPr>
              <w:jc w:val="both"/>
              <w:rPr>
                <w:rFonts w:ascii="Arial" w:hAnsi="Arial" w:cs="Arial"/>
                <w:b w:val="0"/>
                <w:bCs w:val="0"/>
                <w:sz w:val="20"/>
                <w:szCs w:val="20"/>
              </w:rPr>
            </w:pPr>
            <w:r>
              <w:rPr>
                <w:rFonts w:ascii="Arial" w:hAnsi="Arial" w:cs="Arial"/>
                <w:b w:val="0"/>
                <w:bCs w:val="0"/>
                <w:sz w:val="20"/>
                <w:szCs w:val="20"/>
              </w:rPr>
              <w:t>Reduce an over dependence on AI.</w:t>
            </w:r>
          </w:p>
        </w:tc>
        <w:tc>
          <w:tcPr>
            <w:tcW w:w="1375" w:type="dxa"/>
          </w:tcPr>
          <w:p w14:paraId="1F60667D" w14:textId="1B9FDB27"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Reliance on pure automation can reduce the fairness of the recruitment process.</w:t>
            </w:r>
          </w:p>
        </w:tc>
        <w:tc>
          <w:tcPr>
            <w:tcW w:w="1484" w:type="dxa"/>
          </w:tcPr>
          <w:p w14:paraId="504886ED" w14:textId="1B9988A6"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Cap the use of AI to only the early stages of admin tasks exclusively, such as the scheduling processes.</w:t>
            </w:r>
          </w:p>
        </w:tc>
        <w:tc>
          <w:tcPr>
            <w:tcW w:w="1435" w:type="dxa"/>
          </w:tcPr>
          <w:p w14:paraId="096D10D0" w14:textId="644DD014"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The human resource leadership team.</w:t>
            </w:r>
          </w:p>
        </w:tc>
        <w:tc>
          <w:tcPr>
            <w:tcW w:w="1550" w:type="dxa"/>
          </w:tcPr>
          <w:p w14:paraId="382A9F74" w14:textId="6E898C5B"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To be implemented immediately.</w:t>
            </w:r>
          </w:p>
        </w:tc>
        <w:tc>
          <w:tcPr>
            <w:tcW w:w="1360" w:type="dxa"/>
          </w:tcPr>
          <w:p w14:paraId="5633FF34" w14:textId="39C28474"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The percentage of recruitment stages involving input from humans.</w:t>
            </w:r>
          </w:p>
        </w:tc>
      </w:tr>
      <w:tr w:rsidR="00D600A6" w:rsidRPr="00D600A6" w14:paraId="573B99AC" w14:textId="77777777" w:rsidTr="00D600A6">
        <w:tc>
          <w:tcPr>
            <w:cnfStyle w:val="001000000000" w:firstRow="0" w:lastRow="0" w:firstColumn="1" w:lastColumn="0" w:oddVBand="0" w:evenVBand="0" w:oddHBand="0" w:evenHBand="0" w:firstRowFirstColumn="0" w:firstRowLastColumn="0" w:lastRowFirstColumn="0" w:lastRowLastColumn="0"/>
            <w:tcW w:w="1806" w:type="dxa"/>
          </w:tcPr>
          <w:p w14:paraId="56FF4C9E" w14:textId="5AE25C93" w:rsidR="00D600A6" w:rsidRPr="00D600A6" w:rsidRDefault="00D600A6" w:rsidP="00A4142D">
            <w:pPr>
              <w:jc w:val="both"/>
              <w:rPr>
                <w:rFonts w:ascii="Arial" w:hAnsi="Arial" w:cs="Arial"/>
                <w:b w:val="0"/>
                <w:bCs w:val="0"/>
                <w:sz w:val="20"/>
                <w:szCs w:val="20"/>
              </w:rPr>
            </w:pPr>
            <w:r>
              <w:rPr>
                <w:rFonts w:ascii="Arial" w:hAnsi="Arial" w:cs="Arial"/>
                <w:b w:val="0"/>
                <w:bCs w:val="0"/>
                <w:sz w:val="20"/>
                <w:szCs w:val="20"/>
              </w:rPr>
              <w:t>Monitor the outcomes of the recruitment process.</w:t>
            </w:r>
          </w:p>
        </w:tc>
        <w:tc>
          <w:tcPr>
            <w:tcW w:w="1375" w:type="dxa"/>
          </w:tcPr>
          <w:p w14:paraId="1B2B3F1D" w14:textId="360C0211"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Bias can still occur over time regardless of AI </w:t>
            </w:r>
            <w:proofErr w:type="spellStart"/>
            <w:r>
              <w:rPr>
                <w:rFonts w:ascii="Arial" w:hAnsi="Arial" w:cs="Arial"/>
                <w:sz w:val="20"/>
                <w:szCs w:val="20"/>
              </w:rPr>
              <w:t>useage</w:t>
            </w:r>
            <w:proofErr w:type="spellEnd"/>
            <w:r>
              <w:rPr>
                <w:rFonts w:ascii="Arial" w:hAnsi="Arial" w:cs="Arial"/>
                <w:sz w:val="20"/>
                <w:szCs w:val="20"/>
              </w:rPr>
              <w:t xml:space="preserve"> levels.</w:t>
            </w:r>
          </w:p>
        </w:tc>
        <w:tc>
          <w:tcPr>
            <w:tcW w:w="1484" w:type="dxa"/>
          </w:tcPr>
          <w:p w14:paraId="6520FCB9" w14:textId="51CC4883"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Conduct a quarterly diversity audit across all of the hiring stages and processes.</w:t>
            </w:r>
          </w:p>
        </w:tc>
        <w:tc>
          <w:tcPr>
            <w:tcW w:w="1435" w:type="dxa"/>
          </w:tcPr>
          <w:p w14:paraId="3D8C2018" w14:textId="08B76922"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The human resources analytics team.</w:t>
            </w:r>
          </w:p>
        </w:tc>
        <w:tc>
          <w:tcPr>
            <w:tcW w:w="1550" w:type="dxa"/>
          </w:tcPr>
          <w:p w14:paraId="43B81F39" w14:textId="3F5043AD"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To be reviewed every 3 months (quarterly).</w:t>
            </w:r>
          </w:p>
        </w:tc>
        <w:tc>
          <w:tcPr>
            <w:tcW w:w="1360" w:type="dxa"/>
          </w:tcPr>
          <w:p w14:paraId="099293C5" w14:textId="470EEB4A"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Comparing the number of </w:t>
            </w:r>
            <w:proofErr w:type="gramStart"/>
            <w:r>
              <w:rPr>
                <w:rFonts w:ascii="Arial" w:hAnsi="Arial" w:cs="Arial"/>
                <w:sz w:val="20"/>
                <w:szCs w:val="20"/>
              </w:rPr>
              <w:t>representation</w:t>
            </w:r>
            <w:proofErr w:type="gramEnd"/>
            <w:r>
              <w:rPr>
                <w:rFonts w:ascii="Arial" w:hAnsi="Arial" w:cs="Arial"/>
                <w:sz w:val="20"/>
                <w:szCs w:val="20"/>
              </w:rPr>
              <w:t xml:space="preserve"> across the hires vs the applicants.</w:t>
            </w:r>
          </w:p>
        </w:tc>
      </w:tr>
      <w:tr w:rsidR="00D600A6" w:rsidRPr="00D600A6" w14:paraId="448348D8" w14:textId="77777777" w:rsidTr="00D600A6">
        <w:tc>
          <w:tcPr>
            <w:cnfStyle w:val="001000000000" w:firstRow="0" w:lastRow="0" w:firstColumn="1" w:lastColumn="0" w:oddVBand="0" w:evenVBand="0" w:oddHBand="0" w:evenHBand="0" w:firstRowFirstColumn="0" w:firstRowLastColumn="0" w:lastRowFirstColumn="0" w:lastRowLastColumn="0"/>
            <w:tcW w:w="1806" w:type="dxa"/>
          </w:tcPr>
          <w:p w14:paraId="248342AA" w14:textId="1E711C94" w:rsidR="00D600A6" w:rsidRPr="00D600A6" w:rsidRDefault="00D600A6" w:rsidP="00A4142D">
            <w:pPr>
              <w:jc w:val="both"/>
              <w:rPr>
                <w:rFonts w:ascii="Arial" w:hAnsi="Arial" w:cs="Arial"/>
                <w:b w:val="0"/>
                <w:bCs w:val="0"/>
                <w:sz w:val="20"/>
                <w:szCs w:val="20"/>
              </w:rPr>
            </w:pPr>
            <w:r>
              <w:rPr>
                <w:rFonts w:ascii="Arial" w:hAnsi="Arial" w:cs="Arial"/>
                <w:b w:val="0"/>
                <w:bCs w:val="0"/>
                <w:sz w:val="20"/>
                <w:szCs w:val="20"/>
              </w:rPr>
              <w:t>Strengthen brand reputation.</w:t>
            </w:r>
          </w:p>
        </w:tc>
        <w:tc>
          <w:tcPr>
            <w:tcW w:w="1375" w:type="dxa"/>
          </w:tcPr>
          <w:p w14:paraId="5AA12BCE" w14:textId="2EF12687"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AI-heavy hiring processes are often not favoured by candidates.</w:t>
            </w:r>
          </w:p>
        </w:tc>
        <w:tc>
          <w:tcPr>
            <w:tcW w:w="1484" w:type="dxa"/>
          </w:tcPr>
          <w:p w14:paraId="741A5294" w14:textId="19386CC3"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Communicate with fair, human-led recruitment approaches within the branding.</w:t>
            </w:r>
          </w:p>
        </w:tc>
        <w:tc>
          <w:tcPr>
            <w:tcW w:w="1435" w:type="dxa"/>
          </w:tcPr>
          <w:p w14:paraId="30DEE251" w14:textId="16150184"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The marketing department alongside the human resources department.</w:t>
            </w:r>
          </w:p>
        </w:tc>
        <w:tc>
          <w:tcPr>
            <w:tcW w:w="1550" w:type="dxa"/>
          </w:tcPr>
          <w:p w14:paraId="719CFC23" w14:textId="4FB5CF41"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To be reviewed </w:t>
            </w:r>
            <w:r>
              <w:rPr>
                <w:rFonts w:ascii="Arial" w:hAnsi="Arial" w:cs="Arial"/>
                <w:sz w:val="20"/>
                <w:szCs w:val="20"/>
              </w:rPr>
              <w:t>weekly.</w:t>
            </w:r>
          </w:p>
        </w:tc>
        <w:tc>
          <w:tcPr>
            <w:tcW w:w="1360" w:type="dxa"/>
          </w:tcPr>
          <w:p w14:paraId="2E81CC31" w14:textId="10B27653"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Monitoring the level of candidate satisfaction scores.</w:t>
            </w:r>
          </w:p>
        </w:tc>
      </w:tr>
      <w:tr w:rsidR="00D600A6" w:rsidRPr="00D600A6" w14:paraId="5660C426" w14:textId="77777777" w:rsidTr="00D600A6">
        <w:tc>
          <w:tcPr>
            <w:cnfStyle w:val="001000000000" w:firstRow="0" w:lastRow="0" w:firstColumn="1" w:lastColumn="0" w:oddVBand="0" w:evenVBand="0" w:oddHBand="0" w:evenHBand="0" w:firstRowFirstColumn="0" w:firstRowLastColumn="0" w:lastRowFirstColumn="0" w:lastRowLastColumn="0"/>
            <w:tcW w:w="1806" w:type="dxa"/>
          </w:tcPr>
          <w:p w14:paraId="7B8E6686" w14:textId="134E2F86" w:rsidR="00D600A6" w:rsidRPr="00D600A6" w:rsidRDefault="00D600A6" w:rsidP="00A4142D">
            <w:pPr>
              <w:jc w:val="both"/>
              <w:rPr>
                <w:rFonts w:ascii="Arial" w:hAnsi="Arial" w:cs="Arial"/>
                <w:b w:val="0"/>
                <w:bCs w:val="0"/>
                <w:sz w:val="20"/>
                <w:szCs w:val="20"/>
              </w:rPr>
            </w:pPr>
            <w:r>
              <w:rPr>
                <w:rFonts w:ascii="Arial" w:hAnsi="Arial" w:cs="Arial"/>
                <w:b w:val="0"/>
                <w:bCs w:val="0"/>
                <w:sz w:val="20"/>
                <w:szCs w:val="20"/>
              </w:rPr>
              <w:t>Support the long-term goals to improve diversity.</w:t>
            </w:r>
          </w:p>
        </w:tc>
        <w:tc>
          <w:tcPr>
            <w:tcW w:w="1375" w:type="dxa"/>
          </w:tcPr>
          <w:p w14:paraId="21001DA4" w14:textId="29683FF8"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AI can often undermine the importance of inclusion in the hiring process.</w:t>
            </w:r>
          </w:p>
        </w:tc>
        <w:tc>
          <w:tcPr>
            <w:tcW w:w="1484" w:type="dxa"/>
          </w:tcPr>
          <w:p w14:paraId="1C7DD2E7" w14:textId="02F2B8E4"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Align the recruitment tasks with DEI targets and the planning of the workforce.</w:t>
            </w:r>
          </w:p>
        </w:tc>
        <w:tc>
          <w:tcPr>
            <w:tcW w:w="1435" w:type="dxa"/>
          </w:tcPr>
          <w:p w14:paraId="2210B5D8" w14:textId="761A0D8A"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The senior management </w:t>
            </w:r>
            <w:proofErr w:type="gramStart"/>
            <w:r>
              <w:rPr>
                <w:rFonts w:ascii="Arial" w:hAnsi="Arial" w:cs="Arial"/>
                <w:sz w:val="20"/>
                <w:szCs w:val="20"/>
              </w:rPr>
              <w:t>team</w:t>
            </w:r>
            <w:proofErr w:type="gramEnd"/>
            <w:r>
              <w:rPr>
                <w:rFonts w:ascii="Arial" w:hAnsi="Arial" w:cs="Arial"/>
                <w:sz w:val="20"/>
                <w:szCs w:val="20"/>
              </w:rPr>
              <w:t>.</w:t>
            </w:r>
          </w:p>
        </w:tc>
        <w:tc>
          <w:tcPr>
            <w:tcW w:w="1550" w:type="dxa"/>
          </w:tcPr>
          <w:p w14:paraId="761CF5B5" w14:textId="5B3F85D6"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To be reviewed </w:t>
            </w:r>
            <w:r>
              <w:rPr>
                <w:rFonts w:ascii="Arial" w:hAnsi="Arial" w:cs="Arial"/>
                <w:sz w:val="20"/>
                <w:szCs w:val="20"/>
              </w:rPr>
              <w:t>weekly.</w:t>
            </w:r>
          </w:p>
        </w:tc>
        <w:tc>
          <w:tcPr>
            <w:tcW w:w="1360" w:type="dxa"/>
          </w:tcPr>
          <w:p w14:paraId="500B2394" w14:textId="646F4820" w:rsidR="00D600A6" w:rsidRPr="00D600A6" w:rsidRDefault="00D600A6" w:rsidP="00A4142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The benchmarks of the workforce diversity requirements will be met.</w:t>
            </w:r>
          </w:p>
        </w:tc>
      </w:tr>
    </w:tbl>
    <w:p w14:paraId="0F869A85" w14:textId="77777777" w:rsidR="00D600A6" w:rsidRDefault="00D600A6" w:rsidP="00A4142D">
      <w:pPr>
        <w:jc w:val="both"/>
        <w:rPr>
          <w:sz w:val="20"/>
          <w:szCs w:val="20"/>
        </w:rPr>
      </w:pPr>
    </w:p>
    <w:p w14:paraId="106B9CBD" w14:textId="685EF716" w:rsidR="00D600A6" w:rsidRPr="00D600A6" w:rsidRDefault="00D600A6" w:rsidP="00A4142D">
      <w:pPr>
        <w:jc w:val="both"/>
        <w:rPr>
          <w:rFonts w:ascii="Arial" w:hAnsi="Arial" w:cs="Arial"/>
        </w:rPr>
      </w:pPr>
      <w:r>
        <w:rPr>
          <w:rFonts w:ascii="Arial" w:hAnsi="Arial" w:cs="Arial"/>
        </w:rPr>
        <w:t>This operational advisory plan serves to recommend a primarily human-led, but AI-supported recruitment method that incorporates a structured decision-making, transparent, and regulatory compliant approach to help mitigate bias from AI. Through embedding a system that is associated with oversight and continuous auditing, organisations can continue to ensure that equitable and fair hiring practices are carried out whilst maintaining operational efficiency.</w:t>
      </w:r>
    </w:p>
    <w:p w14:paraId="109EBE06" w14:textId="7376B00E" w:rsidR="00D600A6" w:rsidRDefault="00D600A6" w:rsidP="00A4142D">
      <w:pPr>
        <w:pStyle w:val="Heading1"/>
        <w:jc w:val="both"/>
        <w:rPr>
          <w:rFonts w:ascii="Arial" w:hAnsi="Arial" w:cs="Arial"/>
          <w:b/>
          <w:bCs/>
          <w:color w:val="000000" w:themeColor="text1"/>
          <w:sz w:val="24"/>
          <w:szCs w:val="24"/>
          <w:u w:val="single"/>
        </w:rPr>
      </w:pPr>
      <w:bookmarkStart w:id="4" w:name="_Toc228563712"/>
      <w:r w:rsidRPr="00D600A6">
        <w:rPr>
          <w:rFonts w:ascii="Arial" w:hAnsi="Arial" w:cs="Arial"/>
          <w:b/>
          <w:bCs/>
          <w:color w:val="000000" w:themeColor="text1"/>
          <w:sz w:val="24"/>
          <w:szCs w:val="24"/>
          <w:u w:val="single"/>
        </w:rPr>
        <w:lastRenderedPageBreak/>
        <w:t>How the Plan Will Positively Influence the Recruitment Process.</w:t>
      </w:r>
      <w:bookmarkEnd w:id="4"/>
    </w:p>
    <w:p w14:paraId="75D33892" w14:textId="1A7FB57A" w:rsidR="00D600A6" w:rsidRDefault="00D600A6" w:rsidP="00A4142D">
      <w:pPr>
        <w:jc w:val="both"/>
        <w:rPr>
          <w:rFonts w:ascii="Arial" w:hAnsi="Arial" w:cs="Arial"/>
        </w:rPr>
      </w:pPr>
      <w:r w:rsidRPr="00D600A6">
        <w:rPr>
          <w:rFonts w:ascii="Arial" w:hAnsi="Arial" w:cs="Arial"/>
        </w:rPr>
        <w:t>The lack of AI usage in the recruitment process will benefit applicants due to existing concerns that are relating to ethical challenges around bias, and the authenticity of candidate evaluations. AI systems</w:t>
      </w:r>
      <w:r>
        <w:rPr>
          <w:rFonts w:ascii="Arial" w:hAnsi="Arial" w:cs="Arial"/>
        </w:rPr>
        <w:t xml:space="preserve"> may introduce and reinforce biases- despite often improving the efficiency of the recruitment process- such as bias surrounding gender or race (Mujtaba, 2025). Reducing the reliance on AI can reduce the risks through allowing more of a human input and nuanced judgement in candidate assessments.</w:t>
      </w:r>
    </w:p>
    <w:p w14:paraId="1934EE9C" w14:textId="05EB42A8" w:rsidR="00D600A6" w:rsidRDefault="00A4142D" w:rsidP="00A4142D">
      <w:pPr>
        <w:jc w:val="both"/>
        <w:rPr>
          <w:rFonts w:ascii="Arial" w:hAnsi="Arial" w:cs="Arial"/>
        </w:rPr>
      </w:pPr>
      <w:r>
        <w:rPr>
          <w:rFonts w:ascii="Arial" w:hAnsi="Arial" w:cs="Arial"/>
        </w:rPr>
        <w:t xml:space="preserve">One major benefit to this advisory plan is the reduction of harmful epistemic limitations enforced by AI systems. Through incorporating reflexivity and documenting the team’s compatibility and working positionality, businesses are able to better understand how diversifying perspectives can influence AI designs, which can lead to major improvements in the inclusiveness of AI screening that impacts guests </w:t>
      </w:r>
      <w:r>
        <w:rPr>
          <w:rFonts w:ascii="Arial" w:hAnsi="Arial" w:cs="Arial"/>
          <w:color w:val="000000"/>
        </w:rPr>
        <w:t xml:space="preserve">(Lesedi </w:t>
      </w:r>
      <w:proofErr w:type="spellStart"/>
      <w:r>
        <w:rPr>
          <w:rFonts w:ascii="Arial" w:hAnsi="Arial" w:cs="Arial"/>
          <w:color w:val="000000"/>
        </w:rPr>
        <w:t>Mamodise</w:t>
      </w:r>
      <w:proofErr w:type="spellEnd"/>
      <w:r>
        <w:rPr>
          <w:rFonts w:ascii="Arial" w:hAnsi="Arial" w:cs="Arial"/>
          <w:color w:val="000000"/>
        </w:rPr>
        <w:t xml:space="preserve"> Modise et al., 2025)</w:t>
      </w:r>
      <w:r>
        <w:rPr>
          <w:rFonts w:ascii="Arial" w:hAnsi="Arial" w:cs="Arial"/>
        </w:rPr>
        <w:t>. This serves to enhance trust amongst guests who are more likely to experience a more personalised and exclusive service.</w:t>
      </w:r>
    </w:p>
    <w:p w14:paraId="3C5F52DE" w14:textId="682036B3" w:rsidR="00A4142D" w:rsidRDefault="00A4142D" w:rsidP="00A4142D">
      <w:pPr>
        <w:jc w:val="both"/>
        <w:rPr>
          <w:rFonts w:ascii="Arial" w:hAnsi="Arial" w:cs="Arial"/>
        </w:rPr>
      </w:pPr>
      <w:r>
        <w:rPr>
          <w:rFonts w:ascii="Arial" w:hAnsi="Arial" w:cs="Arial"/>
        </w:rPr>
        <w:t xml:space="preserve">Operational plans that put an emphasis on transparency between employees and employers, along with the involvement of workers, throughout processes involving AI can help to mitigate any psychosocial risks that may arise, whilst also improving the overall quality of interactions between the staff and the guests </w:t>
      </w:r>
      <w:r>
        <w:rPr>
          <w:rFonts w:ascii="Arial" w:hAnsi="Arial" w:cs="Arial"/>
          <w:color w:val="000000"/>
        </w:rPr>
        <w:t>(Bowdler et al., 2025)</w:t>
      </w:r>
      <w:r>
        <w:rPr>
          <w:rFonts w:ascii="Arial" w:hAnsi="Arial" w:cs="Arial"/>
        </w:rPr>
        <w:t xml:space="preserve">. Motivation could be maintained amongst employees when clear transparency around the function of AI systems, whilst also improving trust amongst employees- leading to indirect benefits around guest satisfaction through improved service quality. Participation from workers with AI governance can help with maintaining autonomy, which then enables staff to respond far more efficiently to guest needs as opposed to being restricted by poor algorithmic controls </w:t>
      </w:r>
      <w:r>
        <w:rPr>
          <w:rFonts w:ascii="Arial" w:hAnsi="Arial" w:cs="Arial"/>
          <w:color w:val="000000"/>
        </w:rPr>
        <w:t>(Bowdler et al., 2025)</w:t>
      </w:r>
      <w:r>
        <w:rPr>
          <w:rFonts w:ascii="Arial" w:hAnsi="Arial" w:cs="Arial"/>
        </w:rPr>
        <w:t>.</w:t>
      </w:r>
    </w:p>
    <w:p w14:paraId="5E28DF09" w14:textId="2BBF2930" w:rsidR="00D600A6" w:rsidRDefault="00A4142D" w:rsidP="00A4142D">
      <w:pPr>
        <w:jc w:val="both"/>
        <w:rPr>
          <w:rFonts w:ascii="Arial" w:hAnsi="Arial" w:cs="Arial"/>
        </w:rPr>
      </w:pPr>
      <w:r>
        <w:rPr>
          <w:rFonts w:ascii="Arial" w:hAnsi="Arial" w:cs="Arial"/>
        </w:rPr>
        <w:t xml:space="preserve">Furthermore, operational plans that put priority on clear, actionable steps often find a higher level of contribution regarding to sound administration </w:t>
      </w:r>
      <w:proofErr w:type="gramStart"/>
      <w:r>
        <w:rPr>
          <w:rFonts w:ascii="Arial" w:hAnsi="Arial" w:cs="Arial"/>
        </w:rPr>
        <w:t>processes, and</w:t>
      </w:r>
      <w:proofErr w:type="gramEnd"/>
      <w:r>
        <w:rPr>
          <w:rFonts w:ascii="Arial" w:hAnsi="Arial" w:cs="Arial"/>
        </w:rPr>
        <w:t xml:space="preserve"> reduced operational inefficiencies. This helps with preventing administrative insufficiencies that, otherwise, could disrupt service deliveries and could negatively impact the guest experience. Through focusing on a realistic, prioritised activity list, organisations and businesses can then allocate sufficient and appropriate resources effectively and efficiently to the areas that are directly impacting guests’ satisfaction levels.</w:t>
      </w:r>
    </w:p>
    <w:p w14:paraId="172B7EC4" w14:textId="77777777" w:rsidR="00A4142D" w:rsidRDefault="00A4142D" w:rsidP="00A4142D">
      <w:pPr>
        <w:jc w:val="both"/>
        <w:rPr>
          <w:rFonts w:ascii="Arial" w:hAnsi="Arial" w:cs="Arial"/>
        </w:rPr>
      </w:pPr>
    </w:p>
    <w:p w14:paraId="06A0A463" w14:textId="77777777" w:rsidR="00A4142D" w:rsidRDefault="00A4142D" w:rsidP="00A4142D">
      <w:pPr>
        <w:jc w:val="both"/>
        <w:rPr>
          <w:rFonts w:ascii="Arial" w:hAnsi="Arial" w:cs="Arial"/>
        </w:rPr>
      </w:pPr>
    </w:p>
    <w:p w14:paraId="34EB3B3D" w14:textId="77777777" w:rsidR="00A4142D" w:rsidRDefault="00A4142D" w:rsidP="00A4142D">
      <w:pPr>
        <w:jc w:val="both"/>
        <w:rPr>
          <w:rFonts w:ascii="Arial" w:hAnsi="Arial" w:cs="Arial"/>
        </w:rPr>
      </w:pPr>
    </w:p>
    <w:p w14:paraId="71BF2D84" w14:textId="77777777" w:rsidR="00A4142D" w:rsidRDefault="00A4142D" w:rsidP="00A4142D">
      <w:pPr>
        <w:jc w:val="both"/>
        <w:rPr>
          <w:rFonts w:ascii="Arial" w:hAnsi="Arial" w:cs="Arial"/>
        </w:rPr>
      </w:pPr>
    </w:p>
    <w:p w14:paraId="56447837" w14:textId="77777777" w:rsidR="00A4142D" w:rsidRDefault="00A4142D" w:rsidP="00A4142D">
      <w:pPr>
        <w:jc w:val="both"/>
        <w:rPr>
          <w:rFonts w:ascii="Arial" w:hAnsi="Arial" w:cs="Arial"/>
        </w:rPr>
      </w:pPr>
    </w:p>
    <w:p w14:paraId="62A587F4" w14:textId="77777777" w:rsidR="00A4142D" w:rsidRDefault="00A4142D" w:rsidP="00A4142D">
      <w:pPr>
        <w:jc w:val="both"/>
        <w:rPr>
          <w:rFonts w:ascii="Arial" w:hAnsi="Arial" w:cs="Arial"/>
        </w:rPr>
      </w:pPr>
    </w:p>
    <w:p w14:paraId="34201978" w14:textId="77777777" w:rsidR="00A4142D" w:rsidRDefault="00A4142D" w:rsidP="00A4142D">
      <w:pPr>
        <w:jc w:val="both"/>
        <w:rPr>
          <w:rFonts w:ascii="Arial" w:hAnsi="Arial" w:cs="Arial"/>
        </w:rPr>
      </w:pPr>
    </w:p>
    <w:p w14:paraId="4C58BB5F" w14:textId="3F315DB2" w:rsidR="00A4142D" w:rsidRPr="00A4142D" w:rsidRDefault="00A4142D" w:rsidP="00A4142D">
      <w:pPr>
        <w:pStyle w:val="Heading1"/>
        <w:rPr>
          <w:rFonts w:ascii="Arial" w:hAnsi="Arial" w:cs="Arial"/>
          <w:b/>
          <w:bCs/>
          <w:color w:val="000000" w:themeColor="text1"/>
          <w:sz w:val="24"/>
          <w:szCs w:val="24"/>
          <w:u w:val="single"/>
        </w:rPr>
      </w:pPr>
      <w:r w:rsidRPr="00A4142D">
        <w:rPr>
          <w:rFonts w:ascii="Arial" w:hAnsi="Arial" w:cs="Arial"/>
          <w:b/>
          <w:bCs/>
          <w:color w:val="000000" w:themeColor="text1"/>
          <w:sz w:val="24"/>
          <w:szCs w:val="24"/>
          <w:u w:val="single"/>
        </w:rPr>
        <w:lastRenderedPageBreak/>
        <w:t>References.</w:t>
      </w:r>
    </w:p>
    <w:p w14:paraId="2868A315" w14:textId="682CF60D" w:rsidR="00A4142D" w:rsidRDefault="00A4142D" w:rsidP="00A4142D">
      <w:pPr>
        <w:pStyle w:val="NormalWeb"/>
        <w:spacing w:before="0" w:beforeAutospacing="0" w:after="240" w:afterAutospacing="0" w:line="360" w:lineRule="atLeast"/>
        <w:rPr>
          <w:rFonts w:ascii="Arial" w:hAnsi="Arial" w:cs="Arial"/>
          <w:color w:val="000000"/>
        </w:rPr>
      </w:pPr>
      <w:r>
        <w:rPr>
          <w:rFonts w:ascii="Arial" w:hAnsi="Arial" w:cs="Arial"/>
          <w:color w:val="000000"/>
        </w:rPr>
        <w:t xml:space="preserve">Bowdler, M., Lahti, H., </w:t>
      </w:r>
      <w:proofErr w:type="spellStart"/>
      <w:r>
        <w:rPr>
          <w:rFonts w:ascii="Arial" w:hAnsi="Arial" w:cs="Arial"/>
          <w:color w:val="000000"/>
        </w:rPr>
        <w:t>Jelenko</w:t>
      </w:r>
      <w:proofErr w:type="spellEnd"/>
      <w:r>
        <w:rPr>
          <w:rFonts w:ascii="Arial" w:hAnsi="Arial" w:cs="Arial"/>
          <w:color w:val="000000"/>
        </w:rPr>
        <w:t xml:space="preserve">, M. and Teppo </w:t>
      </w:r>
      <w:proofErr w:type="spellStart"/>
      <w:r>
        <w:rPr>
          <w:rFonts w:ascii="Arial" w:hAnsi="Arial" w:cs="Arial"/>
          <w:color w:val="000000"/>
        </w:rPr>
        <w:t>Valtonen</w:t>
      </w:r>
      <w:proofErr w:type="spellEnd"/>
      <w:r>
        <w:rPr>
          <w:rFonts w:ascii="Arial" w:hAnsi="Arial" w:cs="Arial"/>
          <w:color w:val="000000"/>
        </w:rPr>
        <w:t xml:space="preserve"> (2025). Algorithmic management and psychosocial risks at work: An emerging occupational safety and health challenge.</w:t>
      </w:r>
      <w:r>
        <w:rPr>
          <w:rStyle w:val="apple-converted-space"/>
          <w:rFonts w:ascii="Arial" w:eastAsiaTheme="majorEastAsia" w:hAnsi="Arial" w:cs="Arial"/>
          <w:color w:val="000000"/>
        </w:rPr>
        <w:t> </w:t>
      </w:r>
      <w:r>
        <w:rPr>
          <w:rFonts w:ascii="Arial" w:hAnsi="Arial" w:cs="Arial"/>
          <w:i/>
          <w:iCs/>
          <w:color w:val="000000"/>
        </w:rPr>
        <w:t>Scandinavian Journal of Work Environment &amp; Health</w:t>
      </w:r>
      <w:r>
        <w:rPr>
          <w:rFonts w:ascii="Arial" w:hAnsi="Arial" w:cs="Arial"/>
          <w:color w:val="000000"/>
        </w:rPr>
        <w:t xml:space="preserve">, </w:t>
      </w:r>
      <w:r>
        <w:rPr>
          <w:rFonts w:ascii="Arial" w:hAnsi="Arial" w:cs="Arial"/>
          <w:color w:val="000000"/>
        </w:rPr>
        <w:t>(</w:t>
      </w:r>
      <w:r>
        <w:rPr>
          <w:rFonts w:ascii="Arial" w:hAnsi="Arial" w:cs="Arial"/>
          <w:color w:val="000000"/>
        </w:rPr>
        <w:t>online</w:t>
      </w:r>
      <w:r>
        <w:rPr>
          <w:rFonts w:ascii="Arial" w:hAnsi="Arial" w:cs="Arial"/>
          <w:color w:val="000000"/>
        </w:rPr>
        <w:t>)</w:t>
      </w:r>
      <w:r>
        <w:rPr>
          <w:rFonts w:ascii="Arial" w:hAnsi="Arial" w:cs="Arial"/>
          <w:color w:val="000000"/>
        </w:rPr>
        <w:t xml:space="preserve"> 52(1). </w:t>
      </w:r>
      <w:proofErr w:type="spellStart"/>
      <w:r>
        <w:rPr>
          <w:rFonts w:ascii="Arial" w:hAnsi="Arial" w:cs="Arial"/>
          <w:color w:val="000000"/>
        </w:rPr>
        <w:t>doi:https</w:t>
      </w:r>
      <w:proofErr w:type="spellEnd"/>
      <w:r>
        <w:rPr>
          <w:rFonts w:ascii="Arial" w:hAnsi="Arial" w:cs="Arial"/>
          <w:color w:val="000000"/>
        </w:rPr>
        <w:t>://doi.org/10.5271/sjweh.4270.</w:t>
      </w:r>
    </w:p>
    <w:p w14:paraId="5145180C" w14:textId="3565A8C2" w:rsidR="00A4142D" w:rsidRDefault="00A4142D" w:rsidP="00A4142D">
      <w:pPr>
        <w:pStyle w:val="NormalWeb"/>
        <w:spacing w:before="0" w:beforeAutospacing="0" w:after="240" w:afterAutospacing="0" w:line="360" w:lineRule="atLeast"/>
        <w:rPr>
          <w:rFonts w:ascii="Arial" w:hAnsi="Arial" w:cs="Arial"/>
          <w:color w:val="000000"/>
        </w:rPr>
      </w:pPr>
      <w:r>
        <w:rPr>
          <w:rFonts w:ascii="Arial" w:hAnsi="Arial" w:cs="Arial"/>
          <w:color w:val="000000"/>
        </w:rPr>
        <w:t>Chen, Z. (2023). Ethics and Discrimination in Artificial intelligence-enabled Recruitment Practices.</w:t>
      </w:r>
      <w:r>
        <w:rPr>
          <w:rStyle w:val="apple-converted-space"/>
          <w:rFonts w:ascii="Arial" w:eastAsiaTheme="majorEastAsia" w:hAnsi="Arial" w:cs="Arial"/>
          <w:color w:val="000000"/>
        </w:rPr>
        <w:t> </w:t>
      </w:r>
      <w:r>
        <w:rPr>
          <w:rFonts w:ascii="Arial" w:hAnsi="Arial" w:cs="Arial"/>
          <w:i/>
          <w:iCs/>
          <w:color w:val="000000"/>
        </w:rPr>
        <w:t>Humanities and Social Sciences Communications</w:t>
      </w:r>
      <w:r>
        <w:rPr>
          <w:rFonts w:ascii="Arial" w:hAnsi="Arial" w:cs="Arial"/>
          <w:color w:val="000000"/>
        </w:rPr>
        <w:t xml:space="preserve">, (online) 10(1), pp.1–12. </w:t>
      </w:r>
      <w:proofErr w:type="spellStart"/>
      <w:r>
        <w:rPr>
          <w:rFonts w:ascii="Arial" w:hAnsi="Arial" w:cs="Arial"/>
          <w:color w:val="000000"/>
        </w:rPr>
        <w:t>doi:https</w:t>
      </w:r>
      <w:proofErr w:type="spellEnd"/>
      <w:r>
        <w:rPr>
          <w:rFonts w:ascii="Arial" w:hAnsi="Arial" w:cs="Arial"/>
          <w:color w:val="000000"/>
        </w:rPr>
        <w:t>://doi.org/10.1057/s41599-023-02079-x.</w:t>
      </w:r>
    </w:p>
    <w:p w14:paraId="62B85FC5" w14:textId="77777777" w:rsidR="00A4142D" w:rsidRDefault="00A4142D" w:rsidP="00A4142D">
      <w:pPr>
        <w:pStyle w:val="NormalWeb"/>
        <w:spacing w:before="0" w:beforeAutospacing="0" w:after="240" w:afterAutospacing="0" w:line="360" w:lineRule="atLeast"/>
        <w:rPr>
          <w:rFonts w:ascii="Arial" w:hAnsi="Arial" w:cs="Arial"/>
          <w:color w:val="000000"/>
        </w:rPr>
      </w:pPr>
      <w:r>
        <w:rPr>
          <w:rFonts w:ascii="Arial" w:hAnsi="Arial" w:cs="Arial"/>
          <w:color w:val="000000"/>
        </w:rPr>
        <w:t>Chung, S.H.D. and Parker, S.C. (2022). Founder affiliations: jobseeker reactions and impact on employee recruitment by start-up ventures.</w:t>
      </w:r>
      <w:r>
        <w:rPr>
          <w:rStyle w:val="apple-converted-space"/>
          <w:rFonts w:ascii="Arial" w:eastAsiaTheme="majorEastAsia" w:hAnsi="Arial" w:cs="Arial"/>
          <w:color w:val="000000"/>
        </w:rPr>
        <w:t> </w:t>
      </w:r>
      <w:r>
        <w:rPr>
          <w:rFonts w:ascii="Arial" w:hAnsi="Arial" w:cs="Arial"/>
          <w:i/>
          <w:iCs/>
          <w:color w:val="000000"/>
        </w:rPr>
        <w:t>Small Business Economics</w:t>
      </w:r>
      <w:r>
        <w:rPr>
          <w:rFonts w:ascii="Arial" w:hAnsi="Arial" w:cs="Arial"/>
          <w:color w:val="000000"/>
        </w:rPr>
        <w:t xml:space="preserve">, 61(1). </w:t>
      </w:r>
      <w:proofErr w:type="spellStart"/>
      <w:r>
        <w:rPr>
          <w:rFonts w:ascii="Arial" w:hAnsi="Arial" w:cs="Arial"/>
          <w:color w:val="000000"/>
        </w:rPr>
        <w:t>doi:https</w:t>
      </w:r>
      <w:proofErr w:type="spellEnd"/>
      <w:r>
        <w:rPr>
          <w:rFonts w:ascii="Arial" w:hAnsi="Arial" w:cs="Arial"/>
          <w:color w:val="000000"/>
        </w:rPr>
        <w:t>://doi.org/10.1007/s11187-022-00694-7.</w:t>
      </w:r>
    </w:p>
    <w:p w14:paraId="563EF97B" w14:textId="77777777" w:rsidR="00A4142D" w:rsidRDefault="00A4142D" w:rsidP="00A4142D">
      <w:pPr>
        <w:pStyle w:val="NormalWeb"/>
        <w:spacing w:before="0" w:beforeAutospacing="0" w:after="240" w:afterAutospacing="0" w:line="360" w:lineRule="atLeast"/>
        <w:rPr>
          <w:rFonts w:ascii="Arial" w:hAnsi="Arial" w:cs="Arial"/>
          <w:color w:val="000000"/>
        </w:rPr>
      </w:pPr>
      <w:r>
        <w:rPr>
          <w:rFonts w:ascii="Arial" w:hAnsi="Arial" w:cs="Arial"/>
          <w:color w:val="000000"/>
        </w:rPr>
        <w:t xml:space="preserve">Conway, </w:t>
      </w:r>
      <w:proofErr w:type="gramStart"/>
      <w:r>
        <w:rPr>
          <w:rFonts w:ascii="Arial" w:hAnsi="Arial" w:cs="Arial"/>
          <w:color w:val="000000"/>
        </w:rPr>
        <w:t>N.</w:t>
      </w:r>
      <w:proofErr w:type="gramEnd"/>
      <w:r>
        <w:rPr>
          <w:rFonts w:ascii="Arial" w:hAnsi="Arial" w:cs="Arial"/>
          <w:color w:val="000000"/>
        </w:rPr>
        <w:t xml:space="preserve"> and Briner, R.B. (2005).</w:t>
      </w:r>
      <w:r>
        <w:rPr>
          <w:rStyle w:val="apple-converted-space"/>
          <w:rFonts w:ascii="Arial" w:eastAsiaTheme="majorEastAsia" w:hAnsi="Arial" w:cs="Arial"/>
          <w:color w:val="000000"/>
        </w:rPr>
        <w:t> </w:t>
      </w:r>
      <w:r>
        <w:rPr>
          <w:rFonts w:ascii="Arial" w:hAnsi="Arial" w:cs="Arial"/>
          <w:i/>
          <w:iCs/>
          <w:color w:val="000000"/>
        </w:rPr>
        <w:t>Understanding Psychological Contracts at Work : A Critical Evaluation of Theory and Research</w:t>
      </w:r>
      <w:r>
        <w:rPr>
          <w:rFonts w:ascii="Arial" w:hAnsi="Arial" w:cs="Arial"/>
          <w:color w:val="000000"/>
        </w:rPr>
        <w:t xml:space="preserve">. Oxford </w:t>
      </w:r>
      <w:proofErr w:type="spellStart"/>
      <w:r>
        <w:rPr>
          <w:rFonts w:ascii="Arial" w:hAnsi="Arial" w:cs="Arial"/>
          <w:color w:val="000000"/>
        </w:rPr>
        <w:t>Oxford</w:t>
      </w:r>
      <w:proofErr w:type="spellEnd"/>
      <w:r>
        <w:rPr>
          <w:rFonts w:ascii="Arial" w:hAnsi="Arial" w:cs="Arial"/>
          <w:color w:val="000000"/>
        </w:rPr>
        <w:t xml:space="preserve"> University Press.</w:t>
      </w:r>
    </w:p>
    <w:p w14:paraId="48F5D99F" w14:textId="77777777" w:rsidR="00A4142D" w:rsidRDefault="00A4142D" w:rsidP="00A4142D">
      <w:pPr>
        <w:pStyle w:val="NormalWeb"/>
        <w:spacing w:before="0" w:beforeAutospacing="0" w:after="240" w:afterAutospacing="0" w:line="360" w:lineRule="atLeast"/>
        <w:rPr>
          <w:rFonts w:ascii="Arial" w:hAnsi="Arial" w:cs="Arial"/>
          <w:color w:val="000000"/>
        </w:rPr>
      </w:pPr>
      <w:r>
        <w:rPr>
          <w:rFonts w:ascii="Arial" w:hAnsi="Arial" w:cs="Arial"/>
          <w:color w:val="000000"/>
        </w:rPr>
        <w:t xml:space="preserve">Dutta, D., </w:t>
      </w:r>
      <w:proofErr w:type="spellStart"/>
      <w:r>
        <w:rPr>
          <w:rFonts w:ascii="Arial" w:hAnsi="Arial" w:cs="Arial"/>
          <w:color w:val="000000"/>
        </w:rPr>
        <w:t>Althaf</w:t>
      </w:r>
      <w:proofErr w:type="spellEnd"/>
      <w:r>
        <w:rPr>
          <w:rFonts w:ascii="Arial" w:hAnsi="Arial" w:cs="Arial"/>
          <w:color w:val="000000"/>
        </w:rPr>
        <w:t xml:space="preserve">, A. and </w:t>
      </w:r>
      <w:proofErr w:type="spellStart"/>
      <w:r>
        <w:rPr>
          <w:rFonts w:ascii="Arial" w:hAnsi="Arial" w:cs="Arial"/>
          <w:color w:val="000000"/>
        </w:rPr>
        <w:t>Topno</w:t>
      </w:r>
      <w:proofErr w:type="spellEnd"/>
      <w:r>
        <w:rPr>
          <w:rFonts w:ascii="Arial" w:hAnsi="Arial" w:cs="Arial"/>
          <w:color w:val="000000"/>
        </w:rPr>
        <w:t>, J.S. (2025). Transforming talent acquisition for sustainable HRM: a structuration perspective.</w:t>
      </w:r>
      <w:r>
        <w:rPr>
          <w:rStyle w:val="apple-converted-space"/>
          <w:rFonts w:ascii="Arial" w:eastAsiaTheme="majorEastAsia" w:hAnsi="Arial" w:cs="Arial"/>
          <w:color w:val="000000"/>
        </w:rPr>
        <w:t> </w:t>
      </w:r>
      <w:r>
        <w:rPr>
          <w:rFonts w:ascii="Arial" w:hAnsi="Arial" w:cs="Arial"/>
          <w:i/>
          <w:iCs/>
          <w:color w:val="000000"/>
        </w:rPr>
        <w:t>Journal of Organizational Effectiveness: People and Performance</w:t>
      </w:r>
      <w:r>
        <w:rPr>
          <w:rFonts w:ascii="Arial" w:hAnsi="Arial" w:cs="Arial"/>
          <w:color w:val="000000"/>
        </w:rPr>
        <w:t xml:space="preserve">, 13(2). </w:t>
      </w:r>
      <w:proofErr w:type="spellStart"/>
      <w:r>
        <w:rPr>
          <w:rFonts w:ascii="Arial" w:hAnsi="Arial" w:cs="Arial"/>
          <w:color w:val="000000"/>
        </w:rPr>
        <w:t>doi:https</w:t>
      </w:r>
      <w:proofErr w:type="spellEnd"/>
      <w:r>
        <w:rPr>
          <w:rFonts w:ascii="Arial" w:hAnsi="Arial" w:cs="Arial"/>
          <w:color w:val="000000"/>
        </w:rPr>
        <w:t>://doi.org/10.1108/joepp-08-2024-0401.</w:t>
      </w:r>
    </w:p>
    <w:p w14:paraId="1AAA7EDB" w14:textId="44B7D3A3" w:rsidR="00A4142D" w:rsidRDefault="00A4142D" w:rsidP="00A4142D">
      <w:pPr>
        <w:pStyle w:val="NormalWeb"/>
        <w:spacing w:before="0" w:beforeAutospacing="0" w:after="240" w:afterAutospacing="0" w:line="360" w:lineRule="atLeast"/>
        <w:rPr>
          <w:rFonts w:ascii="Arial" w:hAnsi="Arial" w:cs="Arial"/>
          <w:color w:val="000000"/>
        </w:rPr>
      </w:pPr>
      <w:r>
        <w:rPr>
          <w:rFonts w:ascii="Arial" w:hAnsi="Arial" w:cs="Arial"/>
          <w:color w:val="000000"/>
        </w:rPr>
        <w:t>Editor (2026).</w:t>
      </w:r>
      <w:r>
        <w:rPr>
          <w:rStyle w:val="apple-converted-space"/>
          <w:rFonts w:ascii="Arial" w:eastAsiaTheme="majorEastAsia" w:hAnsi="Arial" w:cs="Arial"/>
          <w:color w:val="000000"/>
        </w:rPr>
        <w:t> </w:t>
      </w:r>
      <w:r>
        <w:rPr>
          <w:rFonts w:ascii="Arial" w:hAnsi="Arial" w:cs="Arial"/>
          <w:i/>
          <w:iCs/>
          <w:color w:val="000000"/>
        </w:rPr>
        <w:t>Swansea Bay News</w:t>
      </w:r>
      <w:r>
        <w:rPr>
          <w:rFonts w:ascii="Arial" w:hAnsi="Arial" w:cs="Arial"/>
          <w:color w:val="000000"/>
        </w:rPr>
        <w:t xml:space="preserve">. [online] Swansea Bay News. Available at: https://swanseabaynews.com/flats-aquarium-and-lido-swanseas-civic-centre-plans-move-closer-as-cabinet-gives-green-light/ </w:t>
      </w:r>
      <w:r>
        <w:rPr>
          <w:rFonts w:ascii="Arial" w:hAnsi="Arial" w:cs="Arial"/>
          <w:color w:val="000000"/>
        </w:rPr>
        <w:t>(</w:t>
      </w:r>
      <w:r>
        <w:rPr>
          <w:rFonts w:ascii="Arial" w:hAnsi="Arial" w:cs="Arial"/>
          <w:color w:val="000000"/>
        </w:rPr>
        <w:t>Accessed 9 Apr. 2026</w:t>
      </w:r>
      <w:r>
        <w:rPr>
          <w:rFonts w:ascii="Arial" w:hAnsi="Arial" w:cs="Arial"/>
          <w:color w:val="000000"/>
        </w:rPr>
        <w:t>)</w:t>
      </w:r>
      <w:r>
        <w:rPr>
          <w:rFonts w:ascii="Arial" w:hAnsi="Arial" w:cs="Arial"/>
          <w:color w:val="000000"/>
        </w:rPr>
        <w:t>.</w:t>
      </w:r>
    </w:p>
    <w:p w14:paraId="19D16616" w14:textId="77777777" w:rsidR="00A4142D" w:rsidRDefault="00A4142D" w:rsidP="00A4142D">
      <w:pPr>
        <w:pStyle w:val="NormalWeb"/>
        <w:spacing w:before="0" w:beforeAutospacing="0" w:after="240" w:afterAutospacing="0" w:line="360" w:lineRule="atLeast"/>
        <w:rPr>
          <w:rFonts w:ascii="Arial" w:hAnsi="Arial" w:cs="Arial"/>
          <w:color w:val="000000"/>
        </w:rPr>
      </w:pPr>
      <w:proofErr w:type="spellStart"/>
      <w:r>
        <w:rPr>
          <w:rFonts w:ascii="Arial" w:hAnsi="Arial" w:cs="Arial"/>
          <w:color w:val="000000"/>
        </w:rPr>
        <w:t>Fabris</w:t>
      </w:r>
      <w:proofErr w:type="spellEnd"/>
      <w:r>
        <w:rPr>
          <w:rFonts w:ascii="Arial" w:hAnsi="Arial" w:cs="Arial"/>
          <w:color w:val="000000"/>
        </w:rPr>
        <w:t xml:space="preserve">, A., </w:t>
      </w:r>
      <w:proofErr w:type="spellStart"/>
      <w:r>
        <w:rPr>
          <w:rFonts w:ascii="Arial" w:hAnsi="Arial" w:cs="Arial"/>
          <w:color w:val="000000"/>
        </w:rPr>
        <w:t>Baranowska</w:t>
      </w:r>
      <w:proofErr w:type="spellEnd"/>
      <w:r>
        <w:rPr>
          <w:rFonts w:ascii="Arial" w:hAnsi="Arial" w:cs="Arial"/>
          <w:color w:val="000000"/>
        </w:rPr>
        <w:t xml:space="preserve">, N., Dennis, M.J., </w:t>
      </w:r>
      <w:proofErr w:type="spellStart"/>
      <w:r>
        <w:rPr>
          <w:rFonts w:ascii="Arial" w:hAnsi="Arial" w:cs="Arial"/>
          <w:color w:val="000000"/>
        </w:rPr>
        <w:t>Graus</w:t>
      </w:r>
      <w:proofErr w:type="spellEnd"/>
      <w:r>
        <w:rPr>
          <w:rFonts w:ascii="Arial" w:hAnsi="Arial" w:cs="Arial"/>
          <w:color w:val="000000"/>
        </w:rPr>
        <w:t xml:space="preserve">, D., Hacker, P., Saldivar, J., </w:t>
      </w:r>
      <w:proofErr w:type="spellStart"/>
      <w:r>
        <w:rPr>
          <w:rFonts w:ascii="Arial" w:hAnsi="Arial" w:cs="Arial"/>
          <w:color w:val="000000"/>
        </w:rPr>
        <w:t>Zuiderveen</w:t>
      </w:r>
      <w:proofErr w:type="spellEnd"/>
      <w:r>
        <w:rPr>
          <w:rFonts w:ascii="Arial" w:hAnsi="Arial" w:cs="Arial"/>
          <w:color w:val="000000"/>
        </w:rPr>
        <w:t xml:space="preserve"> </w:t>
      </w:r>
      <w:proofErr w:type="spellStart"/>
      <w:r>
        <w:rPr>
          <w:rFonts w:ascii="Arial" w:hAnsi="Arial" w:cs="Arial"/>
          <w:color w:val="000000"/>
        </w:rPr>
        <w:t>Borgesius</w:t>
      </w:r>
      <w:proofErr w:type="spellEnd"/>
      <w:r>
        <w:rPr>
          <w:rFonts w:ascii="Arial" w:hAnsi="Arial" w:cs="Arial"/>
          <w:color w:val="000000"/>
        </w:rPr>
        <w:t xml:space="preserve">, </w:t>
      </w:r>
      <w:proofErr w:type="gramStart"/>
      <w:r>
        <w:rPr>
          <w:rFonts w:ascii="Arial" w:hAnsi="Arial" w:cs="Arial"/>
          <w:color w:val="000000"/>
        </w:rPr>
        <w:t>F.</w:t>
      </w:r>
      <w:proofErr w:type="gramEnd"/>
      <w:r>
        <w:rPr>
          <w:rFonts w:ascii="Arial" w:hAnsi="Arial" w:cs="Arial"/>
          <w:color w:val="000000"/>
        </w:rPr>
        <w:t xml:space="preserve"> and </w:t>
      </w:r>
      <w:proofErr w:type="spellStart"/>
      <w:r>
        <w:rPr>
          <w:rFonts w:ascii="Arial" w:hAnsi="Arial" w:cs="Arial"/>
          <w:color w:val="000000"/>
        </w:rPr>
        <w:t>Biega</w:t>
      </w:r>
      <w:proofErr w:type="spellEnd"/>
      <w:r>
        <w:rPr>
          <w:rFonts w:ascii="Arial" w:hAnsi="Arial" w:cs="Arial"/>
          <w:color w:val="000000"/>
        </w:rPr>
        <w:t>, A.J. (2024). Fairness and Bias in Algorithmic hiring: a Multidisciplinary Survey.</w:t>
      </w:r>
      <w:r>
        <w:rPr>
          <w:rStyle w:val="apple-converted-space"/>
          <w:rFonts w:ascii="Arial" w:eastAsiaTheme="majorEastAsia" w:hAnsi="Arial" w:cs="Arial"/>
          <w:color w:val="000000"/>
        </w:rPr>
        <w:t> </w:t>
      </w:r>
      <w:r>
        <w:rPr>
          <w:rFonts w:ascii="Arial" w:hAnsi="Arial" w:cs="Arial"/>
          <w:i/>
          <w:iCs/>
          <w:color w:val="000000"/>
        </w:rPr>
        <w:t>ACM Transactions on Intelligent Systems and Technology</w:t>
      </w:r>
      <w:r>
        <w:rPr>
          <w:rFonts w:ascii="Arial" w:hAnsi="Arial" w:cs="Arial"/>
          <w:color w:val="000000"/>
        </w:rPr>
        <w:t xml:space="preserve">, 16(1), pp.1–54. </w:t>
      </w:r>
      <w:proofErr w:type="spellStart"/>
      <w:r>
        <w:rPr>
          <w:rFonts w:ascii="Arial" w:hAnsi="Arial" w:cs="Arial"/>
          <w:color w:val="000000"/>
        </w:rPr>
        <w:t>doi:https</w:t>
      </w:r>
      <w:proofErr w:type="spellEnd"/>
      <w:r>
        <w:rPr>
          <w:rFonts w:ascii="Arial" w:hAnsi="Arial" w:cs="Arial"/>
          <w:color w:val="000000"/>
        </w:rPr>
        <w:t>://doi.org/10.1145/3696457.</w:t>
      </w:r>
    </w:p>
    <w:p w14:paraId="11461B42" w14:textId="77777777" w:rsidR="00A4142D" w:rsidRDefault="00A4142D" w:rsidP="00A4142D">
      <w:pPr>
        <w:pStyle w:val="NormalWeb"/>
        <w:spacing w:before="0" w:beforeAutospacing="0" w:after="240" w:afterAutospacing="0" w:line="360" w:lineRule="atLeast"/>
        <w:rPr>
          <w:rFonts w:ascii="Arial" w:hAnsi="Arial" w:cs="Arial"/>
          <w:color w:val="000000"/>
        </w:rPr>
      </w:pPr>
      <w:r>
        <w:rPr>
          <w:rFonts w:ascii="Arial" w:hAnsi="Arial" w:cs="Arial"/>
          <w:color w:val="000000"/>
        </w:rPr>
        <w:t xml:space="preserve">Honoré, F. and </w:t>
      </w:r>
      <w:proofErr w:type="spellStart"/>
      <w:r>
        <w:rPr>
          <w:rFonts w:ascii="Arial" w:hAnsi="Arial" w:cs="Arial"/>
          <w:color w:val="000000"/>
        </w:rPr>
        <w:t>Ganco</w:t>
      </w:r>
      <w:proofErr w:type="spellEnd"/>
      <w:r>
        <w:rPr>
          <w:rFonts w:ascii="Arial" w:hAnsi="Arial" w:cs="Arial"/>
          <w:color w:val="000000"/>
        </w:rPr>
        <w:t>, M. (2020). Entrepreneurial teams’ acquisition of talent: Evidence from technology manufacturing industries using a two</w:t>
      </w:r>
      <w:r>
        <w:rPr>
          <w:rFonts w:ascii="Cambria Math" w:hAnsi="Cambria Math" w:cs="Cambria Math"/>
          <w:color w:val="000000"/>
        </w:rPr>
        <w:t>‐</w:t>
      </w:r>
      <w:r>
        <w:rPr>
          <w:rFonts w:ascii="Arial" w:hAnsi="Arial" w:cs="Arial"/>
          <w:color w:val="000000"/>
        </w:rPr>
        <w:t>sided approach.</w:t>
      </w:r>
      <w:r>
        <w:rPr>
          <w:rStyle w:val="apple-converted-space"/>
          <w:rFonts w:ascii="Arial" w:eastAsiaTheme="majorEastAsia" w:hAnsi="Arial" w:cs="Arial"/>
          <w:color w:val="000000"/>
        </w:rPr>
        <w:t> </w:t>
      </w:r>
      <w:r>
        <w:rPr>
          <w:rFonts w:ascii="Arial" w:hAnsi="Arial" w:cs="Arial"/>
          <w:i/>
          <w:iCs/>
          <w:color w:val="000000"/>
        </w:rPr>
        <w:t>Strategic Management Journal</w:t>
      </w:r>
      <w:r>
        <w:rPr>
          <w:rFonts w:ascii="Arial" w:hAnsi="Arial" w:cs="Arial"/>
          <w:color w:val="000000"/>
        </w:rPr>
        <w:t xml:space="preserve">, 44(1). </w:t>
      </w:r>
      <w:proofErr w:type="spellStart"/>
      <w:r>
        <w:rPr>
          <w:rFonts w:ascii="Arial" w:hAnsi="Arial" w:cs="Arial"/>
          <w:color w:val="000000"/>
        </w:rPr>
        <w:t>doi:https</w:t>
      </w:r>
      <w:proofErr w:type="spellEnd"/>
      <w:r>
        <w:rPr>
          <w:rFonts w:ascii="Arial" w:hAnsi="Arial" w:cs="Arial"/>
          <w:color w:val="000000"/>
        </w:rPr>
        <w:t>://doi.org/10.1002/smj.3127.</w:t>
      </w:r>
    </w:p>
    <w:p w14:paraId="49906E78" w14:textId="77777777" w:rsidR="00A4142D" w:rsidRDefault="00A4142D" w:rsidP="00A4142D">
      <w:pPr>
        <w:pStyle w:val="NormalWeb"/>
        <w:spacing w:before="0" w:beforeAutospacing="0" w:after="240" w:afterAutospacing="0" w:line="360" w:lineRule="atLeast"/>
        <w:rPr>
          <w:rFonts w:ascii="Arial" w:hAnsi="Arial" w:cs="Arial"/>
          <w:color w:val="000000"/>
        </w:rPr>
      </w:pPr>
      <w:r>
        <w:rPr>
          <w:rFonts w:ascii="Arial" w:hAnsi="Arial" w:cs="Arial"/>
          <w:color w:val="000000"/>
        </w:rPr>
        <w:t xml:space="preserve">Lesedi </w:t>
      </w:r>
      <w:proofErr w:type="spellStart"/>
      <w:r>
        <w:rPr>
          <w:rFonts w:ascii="Arial" w:hAnsi="Arial" w:cs="Arial"/>
          <w:color w:val="000000"/>
        </w:rPr>
        <w:t>Mamodise</w:t>
      </w:r>
      <w:proofErr w:type="spellEnd"/>
      <w:r>
        <w:rPr>
          <w:rFonts w:ascii="Arial" w:hAnsi="Arial" w:cs="Arial"/>
          <w:color w:val="000000"/>
        </w:rPr>
        <w:t xml:space="preserve"> Modise, </w:t>
      </w:r>
      <w:proofErr w:type="spellStart"/>
      <w:r>
        <w:rPr>
          <w:rFonts w:ascii="Arial" w:hAnsi="Arial" w:cs="Arial"/>
          <w:color w:val="000000"/>
        </w:rPr>
        <w:t>Mahsa</w:t>
      </w:r>
      <w:proofErr w:type="spellEnd"/>
      <w:r>
        <w:rPr>
          <w:rFonts w:ascii="Arial" w:hAnsi="Arial" w:cs="Arial"/>
          <w:color w:val="000000"/>
        </w:rPr>
        <w:t xml:space="preserve"> Alborzi </w:t>
      </w:r>
      <w:proofErr w:type="spellStart"/>
      <w:r>
        <w:rPr>
          <w:rFonts w:ascii="Arial" w:hAnsi="Arial" w:cs="Arial"/>
          <w:color w:val="000000"/>
        </w:rPr>
        <w:t>Avanaki</w:t>
      </w:r>
      <w:proofErr w:type="spellEnd"/>
      <w:r>
        <w:rPr>
          <w:rFonts w:ascii="Arial" w:hAnsi="Arial" w:cs="Arial"/>
          <w:color w:val="000000"/>
        </w:rPr>
        <w:t xml:space="preserve">, Ameen, S., </w:t>
      </w:r>
      <w:proofErr w:type="spellStart"/>
      <w:r>
        <w:rPr>
          <w:rFonts w:ascii="Arial" w:hAnsi="Arial" w:cs="Arial"/>
          <w:color w:val="000000"/>
        </w:rPr>
        <w:t>Celi</w:t>
      </w:r>
      <w:proofErr w:type="spellEnd"/>
      <w:r>
        <w:rPr>
          <w:rFonts w:ascii="Arial" w:hAnsi="Arial" w:cs="Arial"/>
          <w:color w:val="000000"/>
        </w:rPr>
        <w:t xml:space="preserve">, L.A., Xin, V., Cordes, A., Elmore, M., Fiske, A., </w:t>
      </w:r>
      <w:proofErr w:type="spellStart"/>
      <w:r>
        <w:rPr>
          <w:rFonts w:ascii="Arial" w:hAnsi="Arial" w:cs="Arial"/>
          <w:color w:val="000000"/>
        </w:rPr>
        <w:t>Gallifant</w:t>
      </w:r>
      <w:proofErr w:type="spellEnd"/>
      <w:r>
        <w:rPr>
          <w:rFonts w:ascii="Arial" w:hAnsi="Arial" w:cs="Arial"/>
          <w:color w:val="000000"/>
        </w:rPr>
        <w:t xml:space="preserve">, J., Hayes, M., Marcelo, A., Matos, J., Nakayama, L., </w:t>
      </w:r>
      <w:proofErr w:type="spellStart"/>
      <w:r>
        <w:rPr>
          <w:rFonts w:ascii="Arial" w:hAnsi="Arial" w:cs="Arial"/>
          <w:color w:val="000000"/>
        </w:rPr>
        <w:t>Ezinwanne</w:t>
      </w:r>
      <w:proofErr w:type="spellEnd"/>
      <w:r>
        <w:rPr>
          <w:rFonts w:ascii="Arial" w:hAnsi="Arial" w:cs="Arial"/>
          <w:color w:val="000000"/>
        </w:rPr>
        <w:t xml:space="preserve"> </w:t>
      </w:r>
      <w:proofErr w:type="spellStart"/>
      <w:r>
        <w:rPr>
          <w:rFonts w:ascii="Arial" w:hAnsi="Arial" w:cs="Arial"/>
          <w:color w:val="000000"/>
        </w:rPr>
        <w:t>Ozoani</w:t>
      </w:r>
      <w:proofErr w:type="spellEnd"/>
      <w:r>
        <w:rPr>
          <w:rFonts w:ascii="Arial" w:hAnsi="Arial" w:cs="Arial"/>
          <w:color w:val="000000"/>
        </w:rPr>
        <w:t xml:space="preserve">, Silverman, B.C. and Comeau, D.S. (2025). Introducing the Team Card: Enhancing governance for medical Artificial Intelligence </w:t>
      </w:r>
      <w:r>
        <w:rPr>
          <w:rFonts w:ascii="Arial" w:hAnsi="Arial" w:cs="Arial"/>
          <w:color w:val="000000"/>
        </w:rPr>
        <w:lastRenderedPageBreak/>
        <w:t>(AI) systems in the age of complexity.</w:t>
      </w:r>
      <w:r>
        <w:rPr>
          <w:rStyle w:val="apple-converted-space"/>
          <w:rFonts w:ascii="Arial" w:eastAsiaTheme="majorEastAsia" w:hAnsi="Arial" w:cs="Arial"/>
          <w:color w:val="000000"/>
        </w:rPr>
        <w:t> </w:t>
      </w:r>
      <w:r>
        <w:rPr>
          <w:rFonts w:ascii="Arial" w:hAnsi="Arial" w:cs="Arial"/>
          <w:i/>
          <w:iCs/>
          <w:color w:val="000000"/>
        </w:rPr>
        <w:t>PLOS Digital Health</w:t>
      </w:r>
      <w:r>
        <w:rPr>
          <w:rFonts w:ascii="Arial" w:hAnsi="Arial" w:cs="Arial"/>
          <w:color w:val="000000"/>
        </w:rPr>
        <w:t xml:space="preserve">, 4(3), pp.e0000495–e0000495. </w:t>
      </w:r>
      <w:proofErr w:type="spellStart"/>
      <w:r>
        <w:rPr>
          <w:rFonts w:ascii="Arial" w:hAnsi="Arial" w:cs="Arial"/>
          <w:color w:val="000000"/>
        </w:rPr>
        <w:t>doi:https</w:t>
      </w:r>
      <w:proofErr w:type="spellEnd"/>
      <w:r>
        <w:rPr>
          <w:rFonts w:ascii="Arial" w:hAnsi="Arial" w:cs="Arial"/>
          <w:color w:val="000000"/>
        </w:rPr>
        <w:t>://doi.org/10.1371/journal.pdig.0000495.</w:t>
      </w:r>
    </w:p>
    <w:p w14:paraId="44EAD3FA" w14:textId="77777777" w:rsidR="00A4142D" w:rsidRDefault="00A4142D" w:rsidP="00A4142D">
      <w:pPr>
        <w:pStyle w:val="NormalWeb"/>
        <w:spacing w:before="0" w:beforeAutospacing="0" w:after="240" w:afterAutospacing="0" w:line="360" w:lineRule="atLeast"/>
        <w:rPr>
          <w:rFonts w:ascii="Arial" w:hAnsi="Arial" w:cs="Arial"/>
          <w:color w:val="000000"/>
        </w:rPr>
      </w:pPr>
      <w:proofErr w:type="spellStart"/>
      <w:r>
        <w:rPr>
          <w:rFonts w:ascii="Arial" w:hAnsi="Arial" w:cs="Arial"/>
          <w:color w:val="000000"/>
        </w:rPr>
        <w:t>Loveman</w:t>
      </w:r>
      <w:proofErr w:type="spellEnd"/>
      <w:r>
        <w:rPr>
          <w:rFonts w:ascii="Arial" w:hAnsi="Arial" w:cs="Arial"/>
          <w:color w:val="000000"/>
        </w:rPr>
        <w:t>, G.W. (1998). Employee Satisfaction, Customer Loyalty, and Financial Performance.</w:t>
      </w:r>
      <w:r>
        <w:rPr>
          <w:rStyle w:val="apple-converted-space"/>
          <w:rFonts w:ascii="Arial" w:eastAsiaTheme="majorEastAsia" w:hAnsi="Arial" w:cs="Arial"/>
          <w:color w:val="000000"/>
        </w:rPr>
        <w:t> </w:t>
      </w:r>
      <w:r>
        <w:rPr>
          <w:rFonts w:ascii="Arial" w:hAnsi="Arial" w:cs="Arial"/>
          <w:i/>
          <w:iCs/>
          <w:color w:val="000000"/>
        </w:rPr>
        <w:t>Journal of Service Research</w:t>
      </w:r>
      <w:r>
        <w:rPr>
          <w:rFonts w:ascii="Arial" w:hAnsi="Arial" w:cs="Arial"/>
          <w:color w:val="000000"/>
        </w:rPr>
        <w:t xml:space="preserve">, 1(1), pp.18–31. </w:t>
      </w:r>
      <w:proofErr w:type="spellStart"/>
      <w:r>
        <w:rPr>
          <w:rFonts w:ascii="Arial" w:hAnsi="Arial" w:cs="Arial"/>
          <w:color w:val="000000"/>
        </w:rPr>
        <w:t>doi:https</w:t>
      </w:r>
      <w:proofErr w:type="spellEnd"/>
      <w:r>
        <w:rPr>
          <w:rFonts w:ascii="Arial" w:hAnsi="Arial" w:cs="Arial"/>
          <w:color w:val="000000"/>
        </w:rPr>
        <w:t>://doi.org/10.1177/109467059800100103.</w:t>
      </w:r>
    </w:p>
    <w:p w14:paraId="7FD2E440" w14:textId="77777777" w:rsidR="00A4142D" w:rsidRDefault="00A4142D" w:rsidP="00A4142D">
      <w:pPr>
        <w:pStyle w:val="NormalWeb"/>
        <w:spacing w:before="0" w:beforeAutospacing="0" w:after="240" w:afterAutospacing="0" w:line="360" w:lineRule="atLeast"/>
        <w:rPr>
          <w:rFonts w:ascii="Arial" w:hAnsi="Arial" w:cs="Arial"/>
          <w:color w:val="000000"/>
        </w:rPr>
      </w:pPr>
      <w:r>
        <w:rPr>
          <w:rFonts w:ascii="Arial" w:hAnsi="Arial" w:cs="Arial"/>
          <w:color w:val="000000"/>
        </w:rPr>
        <w:t>Mahapatra, N.R. and Mujtaba, D.F. (2025). Fairness in AI-Driven Recruitment: Challenges, Metrics, Methods, and Future Directions.</w:t>
      </w:r>
      <w:r>
        <w:rPr>
          <w:rStyle w:val="apple-converted-space"/>
          <w:rFonts w:ascii="Arial" w:eastAsiaTheme="majorEastAsia" w:hAnsi="Arial" w:cs="Arial"/>
          <w:color w:val="000000"/>
        </w:rPr>
        <w:t> </w:t>
      </w:r>
      <w:r>
        <w:rPr>
          <w:rFonts w:ascii="Arial" w:hAnsi="Arial" w:cs="Arial"/>
          <w:i/>
          <w:iCs/>
          <w:color w:val="000000"/>
        </w:rPr>
        <w:t>Cornell University Library</w:t>
      </w:r>
      <w:r>
        <w:rPr>
          <w:rFonts w:ascii="Arial" w:hAnsi="Arial" w:cs="Arial"/>
          <w:color w:val="000000"/>
        </w:rPr>
        <w:t>.</w:t>
      </w:r>
    </w:p>
    <w:p w14:paraId="588B6190" w14:textId="77777777" w:rsidR="00A4142D" w:rsidRDefault="00A4142D" w:rsidP="00A4142D">
      <w:pPr>
        <w:pStyle w:val="NormalWeb"/>
        <w:spacing w:before="0" w:beforeAutospacing="0" w:after="240" w:afterAutospacing="0" w:line="360" w:lineRule="atLeast"/>
        <w:rPr>
          <w:rFonts w:ascii="Arial" w:hAnsi="Arial" w:cs="Arial"/>
          <w:color w:val="000000"/>
        </w:rPr>
      </w:pPr>
      <w:r>
        <w:rPr>
          <w:rFonts w:ascii="Arial" w:hAnsi="Arial" w:cs="Arial"/>
          <w:color w:val="000000"/>
        </w:rPr>
        <w:t>Mujtaba, D.F. (2025) </w:t>
      </w:r>
      <w:r>
        <w:rPr>
          <w:rFonts w:ascii="Arial" w:hAnsi="Arial" w:cs="Arial"/>
          <w:i/>
          <w:iCs/>
          <w:color w:val="000000"/>
        </w:rPr>
        <w:t>Fairness and Accessibility in Multimodal AI Recruitment: Assessing and Mitigating Bias Across Text, Video, and Speech</w:t>
      </w:r>
      <w:r>
        <w:rPr>
          <w:rFonts w:ascii="Arial" w:hAnsi="Arial" w:cs="Arial"/>
          <w:color w:val="000000"/>
        </w:rPr>
        <w:t>. ProQuest Dissertations &amp; Theses.</w:t>
      </w:r>
      <w:r>
        <w:rPr>
          <w:rStyle w:val="apple-converted-space"/>
          <w:rFonts w:ascii="Arial" w:eastAsiaTheme="majorEastAsia" w:hAnsi="Arial" w:cs="Arial"/>
          <w:color w:val="000000"/>
        </w:rPr>
        <w:t> </w:t>
      </w:r>
    </w:p>
    <w:p w14:paraId="762AA3F5" w14:textId="77777777" w:rsidR="00A4142D" w:rsidRDefault="00A4142D" w:rsidP="00A4142D">
      <w:pPr>
        <w:pStyle w:val="NormalWeb"/>
        <w:spacing w:before="0" w:beforeAutospacing="0" w:after="240" w:afterAutospacing="0" w:line="360" w:lineRule="atLeast"/>
        <w:rPr>
          <w:rFonts w:ascii="Arial" w:hAnsi="Arial" w:cs="Arial"/>
          <w:color w:val="000000"/>
        </w:rPr>
      </w:pPr>
      <w:r>
        <w:rPr>
          <w:rFonts w:ascii="Arial" w:hAnsi="Arial" w:cs="Arial"/>
          <w:color w:val="000000"/>
        </w:rPr>
        <w:t>Parekh, P.K. and Shetty, S.D. (2025). Detecting and Mitigating Algorithmic Bias in Automated Hiring Systems Using Fairness Constraints.</w:t>
      </w:r>
      <w:r>
        <w:rPr>
          <w:rStyle w:val="apple-converted-space"/>
          <w:rFonts w:ascii="Arial" w:eastAsiaTheme="majorEastAsia" w:hAnsi="Arial" w:cs="Arial"/>
          <w:color w:val="000000"/>
        </w:rPr>
        <w:t> </w:t>
      </w:r>
      <w:r>
        <w:rPr>
          <w:rFonts w:ascii="Arial" w:hAnsi="Arial" w:cs="Arial"/>
          <w:i/>
          <w:iCs/>
          <w:color w:val="000000"/>
        </w:rPr>
        <w:t xml:space="preserve">2025 International Conference on </w:t>
      </w:r>
      <w:proofErr w:type="spellStart"/>
      <w:r>
        <w:rPr>
          <w:rFonts w:ascii="Arial" w:hAnsi="Arial" w:cs="Arial"/>
          <w:i/>
          <w:iCs/>
          <w:color w:val="000000"/>
        </w:rPr>
        <w:t>Modeling</w:t>
      </w:r>
      <w:proofErr w:type="spellEnd"/>
      <w:r>
        <w:rPr>
          <w:rFonts w:ascii="Arial" w:hAnsi="Arial" w:cs="Arial"/>
          <w:i/>
          <w:iCs/>
          <w:color w:val="000000"/>
        </w:rPr>
        <w:t>, Simulation &amp; Intelligent Computing (</w:t>
      </w:r>
      <w:proofErr w:type="spellStart"/>
      <w:r>
        <w:rPr>
          <w:rFonts w:ascii="Arial" w:hAnsi="Arial" w:cs="Arial"/>
          <w:i/>
          <w:iCs/>
          <w:color w:val="000000"/>
        </w:rPr>
        <w:t>MoSICom</w:t>
      </w:r>
      <w:proofErr w:type="spellEnd"/>
      <w:r>
        <w:rPr>
          <w:rFonts w:ascii="Arial" w:hAnsi="Arial" w:cs="Arial"/>
          <w:i/>
          <w:iCs/>
          <w:color w:val="000000"/>
        </w:rPr>
        <w:t>)</w:t>
      </w:r>
      <w:r>
        <w:rPr>
          <w:rFonts w:ascii="Arial" w:hAnsi="Arial" w:cs="Arial"/>
          <w:color w:val="000000"/>
        </w:rPr>
        <w:t xml:space="preserve">, pp.1–6. </w:t>
      </w:r>
      <w:proofErr w:type="spellStart"/>
      <w:r>
        <w:rPr>
          <w:rFonts w:ascii="Arial" w:hAnsi="Arial" w:cs="Arial"/>
          <w:color w:val="000000"/>
        </w:rPr>
        <w:t>doi:https</w:t>
      </w:r>
      <w:proofErr w:type="spellEnd"/>
      <w:r>
        <w:rPr>
          <w:rFonts w:ascii="Arial" w:hAnsi="Arial" w:cs="Arial"/>
          <w:color w:val="000000"/>
        </w:rPr>
        <w:t>://doi.org/10.1109/mosicom67153.2025.11398221.</w:t>
      </w:r>
    </w:p>
    <w:p w14:paraId="5CE0D541" w14:textId="77777777" w:rsidR="00A4142D" w:rsidRDefault="00A4142D" w:rsidP="00A4142D">
      <w:pPr>
        <w:pStyle w:val="NormalWeb"/>
        <w:spacing w:before="0" w:beforeAutospacing="0" w:after="240" w:afterAutospacing="0" w:line="360" w:lineRule="atLeast"/>
        <w:rPr>
          <w:rFonts w:ascii="Arial" w:hAnsi="Arial" w:cs="Arial"/>
          <w:color w:val="000000"/>
        </w:rPr>
      </w:pPr>
      <w:proofErr w:type="spellStart"/>
      <w:r>
        <w:rPr>
          <w:rFonts w:ascii="Arial" w:hAnsi="Arial" w:cs="Arial"/>
          <w:color w:val="000000"/>
        </w:rPr>
        <w:t>Tamilselvan</w:t>
      </w:r>
      <w:proofErr w:type="spellEnd"/>
      <w:r>
        <w:rPr>
          <w:rFonts w:ascii="Arial" w:hAnsi="Arial" w:cs="Arial"/>
          <w:color w:val="000000"/>
        </w:rPr>
        <w:t xml:space="preserve"> P, </w:t>
      </w:r>
      <w:proofErr w:type="spellStart"/>
      <w:r>
        <w:rPr>
          <w:rFonts w:ascii="Arial" w:hAnsi="Arial" w:cs="Arial"/>
          <w:color w:val="000000"/>
        </w:rPr>
        <w:t>Arulini</w:t>
      </w:r>
      <w:proofErr w:type="spellEnd"/>
      <w:r>
        <w:rPr>
          <w:rFonts w:ascii="Arial" w:hAnsi="Arial" w:cs="Arial"/>
          <w:color w:val="000000"/>
        </w:rPr>
        <w:t xml:space="preserve"> K, </w:t>
      </w:r>
      <w:proofErr w:type="spellStart"/>
      <w:r>
        <w:rPr>
          <w:rFonts w:ascii="Arial" w:hAnsi="Arial" w:cs="Arial"/>
          <w:color w:val="000000"/>
        </w:rPr>
        <w:t>Ezhilarasi</w:t>
      </w:r>
      <w:proofErr w:type="spellEnd"/>
      <w:r>
        <w:rPr>
          <w:rFonts w:ascii="Arial" w:hAnsi="Arial" w:cs="Arial"/>
          <w:color w:val="000000"/>
        </w:rPr>
        <w:t xml:space="preserve"> T, </w:t>
      </w:r>
      <w:proofErr w:type="spellStart"/>
      <w:r>
        <w:rPr>
          <w:rFonts w:ascii="Arial" w:hAnsi="Arial" w:cs="Arial"/>
          <w:color w:val="000000"/>
        </w:rPr>
        <w:t>Vijayakrishnan</w:t>
      </w:r>
      <w:proofErr w:type="spellEnd"/>
      <w:r>
        <w:rPr>
          <w:rFonts w:ascii="Arial" w:hAnsi="Arial" w:cs="Arial"/>
          <w:color w:val="000000"/>
        </w:rPr>
        <w:t xml:space="preserve"> S, Parthiban S and Balamurugan </w:t>
      </w:r>
      <w:proofErr w:type="spellStart"/>
      <w:r>
        <w:rPr>
          <w:rFonts w:ascii="Arial" w:hAnsi="Arial" w:cs="Arial"/>
          <w:color w:val="000000"/>
        </w:rPr>
        <w:t>Easwaran</w:t>
      </w:r>
      <w:proofErr w:type="spellEnd"/>
      <w:r>
        <w:rPr>
          <w:rFonts w:ascii="Arial" w:hAnsi="Arial" w:cs="Arial"/>
          <w:color w:val="000000"/>
        </w:rPr>
        <w:t xml:space="preserve"> (2025). Exploring the Role of Artificial Intelligence in Enhancing Talent Acquisition and Employee Retention Strategies.</w:t>
      </w:r>
      <w:r>
        <w:rPr>
          <w:rStyle w:val="apple-converted-space"/>
          <w:rFonts w:ascii="Arial" w:eastAsiaTheme="majorEastAsia" w:hAnsi="Arial" w:cs="Arial"/>
          <w:color w:val="000000"/>
        </w:rPr>
        <w:t> </w:t>
      </w:r>
      <w:r>
        <w:rPr>
          <w:rFonts w:ascii="Arial" w:hAnsi="Arial" w:cs="Arial"/>
          <w:i/>
          <w:iCs/>
          <w:color w:val="000000"/>
        </w:rPr>
        <w:t>2025 International Conference on Automation and Computation</w:t>
      </w:r>
      <w:r>
        <w:rPr>
          <w:rFonts w:ascii="Arial" w:hAnsi="Arial" w:cs="Arial"/>
          <w:color w:val="000000"/>
        </w:rPr>
        <w:t xml:space="preserve">, pp.64–68. </w:t>
      </w:r>
      <w:proofErr w:type="spellStart"/>
      <w:r>
        <w:rPr>
          <w:rFonts w:ascii="Arial" w:hAnsi="Arial" w:cs="Arial"/>
          <w:color w:val="000000"/>
        </w:rPr>
        <w:t>doi:https</w:t>
      </w:r>
      <w:proofErr w:type="spellEnd"/>
      <w:r>
        <w:rPr>
          <w:rFonts w:ascii="Arial" w:hAnsi="Arial" w:cs="Arial"/>
          <w:color w:val="000000"/>
        </w:rPr>
        <w:t>://doi.org/10.1109/autocom64127.2025.10957076.</w:t>
      </w:r>
    </w:p>
    <w:p w14:paraId="386203FE" w14:textId="77777777" w:rsidR="00A4142D" w:rsidRDefault="00A4142D" w:rsidP="00A4142D">
      <w:pPr>
        <w:pStyle w:val="NormalWeb"/>
        <w:spacing w:before="0" w:beforeAutospacing="0" w:after="240" w:afterAutospacing="0" w:line="360" w:lineRule="atLeast"/>
        <w:rPr>
          <w:rFonts w:ascii="Arial" w:hAnsi="Arial" w:cs="Arial"/>
          <w:color w:val="000000"/>
        </w:rPr>
      </w:pPr>
      <w:proofErr w:type="spellStart"/>
      <w:r>
        <w:rPr>
          <w:rFonts w:ascii="Arial" w:hAnsi="Arial" w:cs="Arial"/>
          <w:color w:val="000000"/>
        </w:rPr>
        <w:t>Topa</w:t>
      </w:r>
      <w:proofErr w:type="spellEnd"/>
      <w:r>
        <w:rPr>
          <w:rFonts w:ascii="Arial" w:hAnsi="Arial" w:cs="Arial"/>
          <w:color w:val="000000"/>
        </w:rPr>
        <w:t>, G., Aranda-</w:t>
      </w:r>
      <w:proofErr w:type="spellStart"/>
      <w:r>
        <w:rPr>
          <w:rFonts w:ascii="Arial" w:hAnsi="Arial" w:cs="Arial"/>
          <w:color w:val="000000"/>
        </w:rPr>
        <w:t>Carmena</w:t>
      </w:r>
      <w:proofErr w:type="spellEnd"/>
      <w:r>
        <w:rPr>
          <w:rFonts w:ascii="Arial" w:hAnsi="Arial" w:cs="Arial"/>
          <w:color w:val="000000"/>
        </w:rPr>
        <w:t>, M. and De-Maria, B. (2022). Psychological Contract Breach and Outcomes: A Systematic Review of Reviews.</w:t>
      </w:r>
      <w:r>
        <w:rPr>
          <w:rStyle w:val="apple-converted-space"/>
          <w:rFonts w:ascii="Arial" w:eastAsiaTheme="majorEastAsia" w:hAnsi="Arial" w:cs="Arial"/>
          <w:color w:val="000000"/>
        </w:rPr>
        <w:t> </w:t>
      </w:r>
      <w:r>
        <w:rPr>
          <w:rFonts w:ascii="Arial" w:hAnsi="Arial" w:cs="Arial"/>
          <w:i/>
          <w:iCs/>
          <w:color w:val="000000"/>
        </w:rPr>
        <w:t>International Journal of Environmental Research and Public Health</w:t>
      </w:r>
      <w:r>
        <w:rPr>
          <w:rFonts w:ascii="Arial" w:hAnsi="Arial" w:cs="Arial"/>
          <w:color w:val="000000"/>
        </w:rPr>
        <w:t>, 19(23), p.15527.</w:t>
      </w:r>
    </w:p>
    <w:p w14:paraId="070BE024" w14:textId="77777777" w:rsidR="00A4142D" w:rsidRPr="00A4142D" w:rsidRDefault="00A4142D" w:rsidP="00A4142D"/>
    <w:sectPr w:rsidR="00A4142D" w:rsidRPr="00A4142D" w:rsidSect="00E1317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2A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0A6"/>
    <w:rsid w:val="00080A2C"/>
    <w:rsid w:val="001F2D0F"/>
    <w:rsid w:val="003F57E0"/>
    <w:rsid w:val="0077204D"/>
    <w:rsid w:val="009B2DAF"/>
    <w:rsid w:val="00A4142D"/>
    <w:rsid w:val="00AB15B3"/>
    <w:rsid w:val="00D600A6"/>
    <w:rsid w:val="00DA07E4"/>
    <w:rsid w:val="00E13170"/>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135E7"/>
  <w15:chartTrackingRefBased/>
  <w15:docId w15:val="{6877A609-81ED-C248-9564-688BFEA90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00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00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00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00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00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00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00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00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00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00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00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00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00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00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00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00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00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00A6"/>
    <w:rPr>
      <w:rFonts w:eastAsiaTheme="majorEastAsia" w:cstheme="majorBidi"/>
      <w:color w:val="272727" w:themeColor="text1" w:themeTint="D8"/>
    </w:rPr>
  </w:style>
  <w:style w:type="paragraph" w:styleId="Title">
    <w:name w:val="Title"/>
    <w:basedOn w:val="Normal"/>
    <w:next w:val="Normal"/>
    <w:link w:val="TitleChar"/>
    <w:uiPriority w:val="10"/>
    <w:qFormat/>
    <w:rsid w:val="00D600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00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00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00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00A6"/>
    <w:pPr>
      <w:spacing w:before="160"/>
      <w:jc w:val="center"/>
    </w:pPr>
    <w:rPr>
      <w:i/>
      <w:iCs/>
      <w:color w:val="404040" w:themeColor="text1" w:themeTint="BF"/>
    </w:rPr>
  </w:style>
  <w:style w:type="character" w:customStyle="1" w:styleId="QuoteChar">
    <w:name w:val="Quote Char"/>
    <w:basedOn w:val="DefaultParagraphFont"/>
    <w:link w:val="Quote"/>
    <w:uiPriority w:val="29"/>
    <w:rsid w:val="00D600A6"/>
    <w:rPr>
      <w:i/>
      <w:iCs/>
      <w:color w:val="404040" w:themeColor="text1" w:themeTint="BF"/>
    </w:rPr>
  </w:style>
  <w:style w:type="paragraph" w:styleId="ListParagraph">
    <w:name w:val="List Paragraph"/>
    <w:basedOn w:val="Normal"/>
    <w:uiPriority w:val="34"/>
    <w:qFormat/>
    <w:rsid w:val="00D600A6"/>
    <w:pPr>
      <w:ind w:left="720"/>
      <w:contextualSpacing/>
    </w:pPr>
  </w:style>
  <w:style w:type="character" w:styleId="IntenseEmphasis">
    <w:name w:val="Intense Emphasis"/>
    <w:basedOn w:val="DefaultParagraphFont"/>
    <w:uiPriority w:val="21"/>
    <w:qFormat/>
    <w:rsid w:val="00D600A6"/>
    <w:rPr>
      <w:i/>
      <w:iCs/>
      <w:color w:val="0F4761" w:themeColor="accent1" w:themeShade="BF"/>
    </w:rPr>
  </w:style>
  <w:style w:type="paragraph" w:styleId="IntenseQuote">
    <w:name w:val="Intense Quote"/>
    <w:basedOn w:val="Normal"/>
    <w:next w:val="Normal"/>
    <w:link w:val="IntenseQuoteChar"/>
    <w:uiPriority w:val="30"/>
    <w:qFormat/>
    <w:rsid w:val="00D600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00A6"/>
    <w:rPr>
      <w:i/>
      <w:iCs/>
      <w:color w:val="0F4761" w:themeColor="accent1" w:themeShade="BF"/>
    </w:rPr>
  </w:style>
  <w:style w:type="character" w:styleId="IntenseReference">
    <w:name w:val="Intense Reference"/>
    <w:basedOn w:val="DefaultParagraphFont"/>
    <w:uiPriority w:val="32"/>
    <w:qFormat/>
    <w:rsid w:val="00D600A6"/>
    <w:rPr>
      <w:b/>
      <w:bCs/>
      <w:smallCaps/>
      <w:color w:val="0F4761" w:themeColor="accent1" w:themeShade="BF"/>
      <w:spacing w:val="5"/>
    </w:rPr>
  </w:style>
  <w:style w:type="paragraph" w:customStyle="1" w:styleId="t-summary">
    <w:name w:val="t-summary"/>
    <w:basedOn w:val="Normal"/>
    <w:rsid w:val="00D600A6"/>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D600A6"/>
  </w:style>
  <w:style w:type="character" w:customStyle="1" w:styleId="text-white">
    <w:name w:val="text-white"/>
    <w:basedOn w:val="DefaultParagraphFont"/>
    <w:rsid w:val="00D600A6"/>
  </w:style>
  <w:style w:type="paragraph" w:styleId="TOCHeading">
    <w:name w:val="TOC Heading"/>
    <w:basedOn w:val="Heading1"/>
    <w:next w:val="Normal"/>
    <w:uiPriority w:val="39"/>
    <w:unhideWhenUsed/>
    <w:qFormat/>
    <w:rsid w:val="00D600A6"/>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D600A6"/>
    <w:pPr>
      <w:spacing w:before="120" w:after="0"/>
    </w:pPr>
    <w:rPr>
      <w:b/>
      <w:bCs/>
      <w:i/>
      <w:iCs/>
    </w:rPr>
  </w:style>
  <w:style w:type="paragraph" w:styleId="TOC2">
    <w:name w:val="toc 2"/>
    <w:basedOn w:val="Normal"/>
    <w:next w:val="Normal"/>
    <w:autoRedefine/>
    <w:uiPriority w:val="39"/>
    <w:semiHidden/>
    <w:unhideWhenUsed/>
    <w:rsid w:val="00D600A6"/>
    <w:pPr>
      <w:spacing w:before="120" w:after="0"/>
      <w:ind w:left="240"/>
    </w:pPr>
    <w:rPr>
      <w:b/>
      <w:bCs/>
      <w:sz w:val="22"/>
      <w:szCs w:val="22"/>
    </w:rPr>
  </w:style>
  <w:style w:type="paragraph" w:styleId="TOC3">
    <w:name w:val="toc 3"/>
    <w:basedOn w:val="Normal"/>
    <w:next w:val="Normal"/>
    <w:autoRedefine/>
    <w:uiPriority w:val="39"/>
    <w:semiHidden/>
    <w:unhideWhenUsed/>
    <w:rsid w:val="00D600A6"/>
    <w:pPr>
      <w:spacing w:after="0"/>
      <w:ind w:left="480"/>
    </w:pPr>
    <w:rPr>
      <w:sz w:val="20"/>
      <w:szCs w:val="20"/>
    </w:rPr>
  </w:style>
  <w:style w:type="paragraph" w:styleId="TOC4">
    <w:name w:val="toc 4"/>
    <w:basedOn w:val="Normal"/>
    <w:next w:val="Normal"/>
    <w:autoRedefine/>
    <w:uiPriority w:val="39"/>
    <w:semiHidden/>
    <w:unhideWhenUsed/>
    <w:rsid w:val="00D600A6"/>
    <w:pPr>
      <w:spacing w:after="0"/>
      <w:ind w:left="720"/>
    </w:pPr>
    <w:rPr>
      <w:sz w:val="20"/>
      <w:szCs w:val="20"/>
    </w:rPr>
  </w:style>
  <w:style w:type="paragraph" w:styleId="TOC5">
    <w:name w:val="toc 5"/>
    <w:basedOn w:val="Normal"/>
    <w:next w:val="Normal"/>
    <w:autoRedefine/>
    <w:uiPriority w:val="39"/>
    <w:semiHidden/>
    <w:unhideWhenUsed/>
    <w:rsid w:val="00D600A6"/>
    <w:pPr>
      <w:spacing w:after="0"/>
      <w:ind w:left="960"/>
    </w:pPr>
    <w:rPr>
      <w:sz w:val="20"/>
      <w:szCs w:val="20"/>
    </w:rPr>
  </w:style>
  <w:style w:type="paragraph" w:styleId="TOC6">
    <w:name w:val="toc 6"/>
    <w:basedOn w:val="Normal"/>
    <w:next w:val="Normal"/>
    <w:autoRedefine/>
    <w:uiPriority w:val="39"/>
    <w:semiHidden/>
    <w:unhideWhenUsed/>
    <w:rsid w:val="00D600A6"/>
    <w:pPr>
      <w:spacing w:after="0"/>
      <w:ind w:left="1200"/>
    </w:pPr>
    <w:rPr>
      <w:sz w:val="20"/>
      <w:szCs w:val="20"/>
    </w:rPr>
  </w:style>
  <w:style w:type="paragraph" w:styleId="TOC7">
    <w:name w:val="toc 7"/>
    <w:basedOn w:val="Normal"/>
    <w:next w:val="Normal"/>
    <w:autoRedefine/>
    <w:uiPriority w:val="39"/>
    <w:semiHidden/>
    <w:unhideWhenUsed/>
    <w:rsid w:val="00D600A6"/>
    <w:pPr>
      <w:spacing w:after="0"/>
      <w:ind w:left="1440"/>
    </w:pPr>
    <w:rPr>
      <w:sz w:val="20"/>
      <w:szCs w:val="20"/>
    </w:rPr>
  </w:style>
  <w:style w:type="paragraph" w:styleId="TOC8">
    <w:name w:val="toc 8"/>
    <w:basedOn w:val="Normal"/>
    <w:next w:val="Normal"/>
    <w:autoRedefine/>
    <w:uiPriority w:val="39"/>
    <w:semiHidden/>
    <w:unhideWhenUsed/>
    <w:rsid w:val="00D600A6"/>
    <w:pPr>
      <w:spacing w:after="0"/>
      <w:ind w:left="1680"/>
    </w:pPr>
    <w:rPr>
      <w:sz w:val="20"/>
      <w:szCs w:val="20"/>
    </w:rPr>
  </w:style>
  <w:style w:type="paragraph" w:styleId="TOC9">
    <w:name w:val="toc 9"/>
    <w:basedOn w:val="Normal"/>
    <w:next w:val="Normal"/>
    <w:autoRedefine/>
    <w:uiPriority w:val="39"/>
    <w:semiHidden/>
    <w:unhideWhenUsed/>
    <w:rsid w:val="00D600A6"/>
    <w:pPr>
      <w:spacing w:after="0"/>
      <w:ind w:left="1920"/>
    </w:pPr>
    <w:rPr>
      <w:sz w:val="20"/>
      <w:szCs w:val="20"/>
    </w:rPr>
  </w:style>
  <w:style w:type="character" w:styleId="Hyperlink">
    <w:name w:val="Hyperlink"/>
    <w:basedOn w:val="DefaultParagraphFont"/>
    <w:uiPriority w:val="99"/>
    <w:unhideWhenUsed/>
    <w:rsid w:val="00D600A6"/>
    <w:rPr>
      <w:color w:val="467886" w:themeColor="hyperlink"/>
      <w:u w:val="single"/>
    </w:rPr>
  </w:style>
  <w:style w:type="character" w:styleId="Strong">
    <w:name w:val="Strong"/>
    <w:basedOn w:val="DefaultParagraphFont"/>
    <w:uiPriority w:val="22"/>
    <w:qFormat/>
    <w:rsid w:val="00D600A6"/>
    <w:rPr>
      <w:b/>
      <w:bCs/>
    </w:rPr>
  </w:style>
  <w:style w:type="character" w:customStyle="1" w:styleId="whitespace-normal">
    <w:name w:val="whitespace-normal"/>
    <w:basedOn w:val="DefaultParagraphFont"/>
    <w:rsid w:val="00D600A6"/>
  </w:style>
  <w:style w:type="table" w:styleId="TableGrid">
    <w:name w:val="Table Grid"/>
    <w:basedOn w:val="TableNormal"/>
    <w:uiPriority w:val="39"/>
    <w:rsid w:val="00D600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D600A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2">
    <w:name w:val="Grid Table 2"/>
    <w:basedOn w:val="TableNormal"/>
    <w:uiPriority w:val="47"/>
    <w:rsid w:val="00D600A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D600A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urful">
    <w:name w:val="Grid Table 6 Colorful"/>
    <w:basedOn w:val="TableNormal"/>
    <w:uiPriority w:val="51"/>
    <w:rsid w:val="00D600A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7Colourful">
    <w:name w:val="Grid Table 7 Colorful"/>
    <w:basedOn w:val="TableNormal"/>
    <w:uiPriority w:val="52"/>
    <w:rsid w:val="00D600A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NormalWeb">
    <w:name w:val="Normal (Web)"/>
    <w:basedOn w:val="Normal"/>
    <w:uiPriority w:val="99"/>
    <w:semiHidden/>
    <w:unhideWhenUsed/>
    <w:rsid w:val="00A4142D"/>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877141">
      <w:bodyDiv w:val="1"/>
      <w:marLeft w:val="0"/>
      <w:marRight w:val="0"/>
      <w:marTop w:val="0"/>
      <w:marBottom w:val="0"/>
      <w:divBdr>
        <w:top w:val="none" w:sz="0" w:space="0" w:color="auto"/>
        <w:left w:val="none" w:sz="0" w:space="0" w:color="auto"/>
        <w:bottom w:val="none" w:sz="0" w:space="0" w:color="auto"/>
        <w:right w:val="none" w:sz="0" w:space="0" w:color="auto"/>
      </w:divBdr>
      <w:divsChild>
        <w:div w:id="1385981212">
          <w:marLeft w:val="0"/>
          <w:marRight w:val="0"/>
          <w:marTop w:val="0"/>
          <w:marBottom w:val="0"/>
          <w:divBdr>
            <w:top w:val="none" w:sz="0" w:space="0" w:color="auto"/>
            <w:left w:val="none" w:sz="0" w:space="0" w:color="auto"/>
            <w:bottom w:val="none" w:sz="0" w:space="0" w:color="auto"/>
            <w:right w:val="none" w:sz="0" w:space="0" w:color="auto"/>
          </w:divBdr>
        </w:div>
      </w:divsChild>
    </w:div>
    <w:div w:id="85811225">
      <w:bodyDiv w:val="1"/>
      <w:marLeft w:val="0"/>
      <w:marRight w:val="0"/>
      <w:marTop w:val="0"/>
      <w:marBottom w:val="0"/>
      <w:divBdr>
        <w:top w:val="none" w:sz="0" w:space="0" w:color="auto"/>
        <w:left w:val="none" w:sz="0" w:space="0" w:color="auto"/>
        <w:bottom w:val="none" w:sz="0" w:space="0" w:color="auto"/>
        <w:right w:val="none" w:sz="0" w:space="0" w:color="auto"/>
      </w:divBdr>
    </w:div>
    <w:div w:id="130023938">
      <w:bodyDiv w:val="1"/>
      <w:marLeft w:val="0"/>
      <w:marRight w:val="0"/>
      <w:marTop w:val="0"/>
      <w:marBottom w:val="0"/>
      <w:divBdr>
        <w:top w:val="none" w:sz="0" w:space="0" w:color="auto"/>
        <w:left w:val="none" w:sz="0" w:space="0" w:color="auto"/>
        <w:bottom w:val="none" w:sz="0" w:space="0" w:color="auto"/>
        <w:right w:val="none" w:sz="0" w:space="0" w:color="auto"/>
      </w:divBdr>
    </w:div>
    <w:div w:id="508641363">
      <w:bodyDiv w:val="1"/>
      <w:marLeft w:val="0"/>
      <w:marRight w:val="0"/>
      <w:marTop w:val="0"/>
      <w:marBottom w:val="0"/>
      <w:divBdr>
        <w:top w:val="none" w:sz="0" w:space="0" w:color="auto"/>
        <w:left w:val="none" w:sz="0" w:space="0" w:color="auto"/>
        <w:bottom w:val="none" w:sz="0" w:space="0" w:color="auto"/>
        <w:right w:val="none" w:sz="0" w:space="0" w:color="auto"/>
      </w:divBdr>
    </w:div>
    <w:div w:id="761530714">
      <w:bodyDiv w:val="1"/>
      <w:marLeft w:val="0"/>
      <w:marRight w:val="0"/>
      <w:marTop w:val="0"/>
      <w:marBottom w:val="0"/>
      <w:divBdr>
        <w:top w:val="none" w:sz="0" w:space="0" w:color="auto"/>
        <w:left w:val="none" w:sz="0" w:space="0" w:color="auto"/>
        <w:bottom w:val="none" w:sz="0" w:space="0" w:color="auto"/>
        <w:right w:val="none" w:sz="0" w:space="0" w:color="auto"/>
      </w:divBdr>
    </w:div>
    <w:div w:id="894972250">
      <w:bodyDiv w:val="1"/>
      <w:marLeft w:val="0"/>
      <w:marRight w:val="0"/>
      <w:marTop w:val="0"/>
      <w:marBottom w:val="0"/>
      <w:divBdr>
        <w:top w:val="none" w:sz="0" w:space="0" w:color="auto"/>
        <w:left w:val="none" w:sz="0" w:space="0" w:color="auto"/>
        <w:bottom w:val="none" w:sz="0" w:space="0" w:color="auto"/>
        <w:right w:val="none" w:sz="0" w:space="0" w:color="auto"/>
      </w:divBdr>
    </w:div>
    <w:div w:id="1193958418">
      <w:bodyDiv w:val="1"/>
      <w:marLeft w:val="0"/>
      <w:marRight w:val="0"/>
      <w:marTop w:val="0"/>
      <w:marBottom w:val="0"/>
      <w:divBdr>
        <w:top w:val="none" w:sz="0" w:space="0" w:color="auto"/>
        <w:left w:val="none" w:sz="0" w:space="0" w:color="auto"/>
        <w:bottom w:val="none" w:sz="0" w:space="0" w:color="auto"/>
        <w:right w:val="none" w:sz="0" w:space="0" w:color="auto"/>
      </w:divBdr>
    </w:div>
    <w:div w:id="1255699964">
      <w:bodyDiv w:val="1"/>
      <w:marLeft w:val="0"/>
      <w:marRight w:val="0"/>
      <w:marTop w:val="0"/>
      <w:marBottom w:val="0"/>
      <w:divBdr>
        <w:top w:val="none" w:sz="0" w:space="0" w:color="auto"/>
        <w:left w:val="none" w:sz="0" w:space="0" w:color="auto"/>
        <w:bottom w:val="none" w:sz="0" w:space="0" w:color="auto"/>
        <w:right w:val="none" w:sz="0" w:space="0" w:color="auto"/>
      </w:divBdr>
    </w:div>
    <w:div w:id="1848863570">
      <w:bodyDiv w:val="1"/>
      <w:marLeft w:val="0"/>
      <w:marRight w:val="0"/>
      <w:marTop w:val="0"/>
      <w:marBottom w:val="0"/>
      <w:divBdr>
        <w:top w:val="none" w:sz="0" w:space="0" w:color="auto"/>
        <w:left w:val="none" w:sz="0" w:space="0" w:color="auto"/>
        <w:bottom w:val="none" w:sz="0" w:space="0" w:color="auto"/>
        <w:right w:val="none" w:sz="0" w:space="0" w:color="auto"/>
      </w:divBdr>
    </w:div>
    <w:div w:id="1875387338">
      <w:bodyDiv w:val="1"/>
      <w:marLeft w:val="0"/>
      <w:marRight w:val="0"/>
      <w:marTop w:val="0"/>
      <w:marBottom w:val="0"/>
      <w:divBdr>
        <w:top w:val="none" w:sz="0" w:space="0" w:color="auto"/>
        <w:left w:val="none" w:sz="0" w:space="0" w:color="auto"/>
        <w:bottom w:val="none" w:sz="0" w:space="0" w:color="auto"/>
        <w:right w:val="none" w:sz="0" w:space="0" w:color="auto"/>
      </w:divBdr>
    </w:div>
    <w:div w:id="1945728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0F5516D-F921-BF48-A8CE-089F3EF80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2850</Words>
  <Characters>16248</Characters>
  <Application>Microsoft Office Word</Application>
  <DocSecurity>0</DocSecurity>
  <Lines>135</Lines>
  <Paragraphs>38</Paragraphs>
  <ScaleCrop>false</ScaleCrop>
  <Company/>
  <LinksUpToDate>false</LinksUpToDate>
  <CharactersWithSpaces>19060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mugford</dc:creator>
  <cp:keywords/>
  <dc:description/>
  <cp:lastModifiedBy>nia mugford</cp:lastModifiedBy>
  <cp:revision>2</cp:revision>
  <dcterms:created xsi:type="dcterms:W3CDTF">2026-05-01T20:39:00Z</dcterms:created>
  <dcterms:modified xsi:type="dcterms:W3CDTF">2026-05-01T20:39:00Z</dcterms:modified>
</cp:coreProperties>
</file>