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03A205" w14:textId="0DBF9633" w:rsidR="007D1328" w:rsidRDefault="003A497A" w:rsidP="003A497A">
      <w:r>
        <w:t xml:space="preserve">This essay </w:t>
      </w:r>
      <w:r w:rsidR="0069380E">
        <w:t xml:space="preserve">involved </w:t>
      </w:r>
      <w:r>
        <w:t xml:space="preserve">will discuss </w:t>
      </w:r>
      <w:r w:rsidR="00D73AE9">
        <w:t>Erikson’s</w:t>
      </w:r>
      <w:r w:rsidR="00FD41BF">
        <w:t xml:space="preserve"> (1963) theo</w:t>
      </w:r>
      <w:r w:rsidR="00D73AE9">
        <w:t xml:space="preserve">ry on identity crisis </w:t>
      </w:r>
      <w:r w:rsidR="007D1328">
        <w:t xml:space="preserve">in adolescence </w:t>
      </w:r>
      <w:r w:rsidR="00D73AE9">
        <w:t>Erikson believed that through out our life we had two conflicting</w:t>
      </w:r>
      <w:r w:rsidR="004F5172">
        <w:t xml:space="preserve"> </w:t>
      </w:r>
      <w:r w:rsidR="00D73AE9">
        <w:t>personality</w:t>
      </w:r>
      <w:r w:rsidR="004F5172">
        <w:t xml:space="preserve"> a negative personality and a negative one. Part of his theory was that a healthy development was in the healt</w:t>
      </w:r>
      <w:r w:rsidR="000D10B8">
        <w:t xml:space="preserve">hy outweighing the negative one meaning that if brought up in a healthy stable </w:t>
      </w:r>
      <w:r w:rsidR="00B9075B">
        <w:t>environment</w:t>
      </w:r>
      <w:r w:rsidR="000D10B8">
        <w:t xml:space="preserve"> they are more likely to grow up into a more secure and are less likely to take risk where the </w:t>
      </w:r>
      <w:r w:rsidR="00B9075B">
        <w:t>adolescence</w:t>
      </w:r>
      <w:r w:rsidR="000D10B8">
        <w:t xml:space="preserve"> who grow up in a negative </w:t>
      </w:r>
      <w:r w:rsidR="00B9075B">
        <w:t>environment</w:t>
      </w:r>
      <w:r w:rsidR="000D10B8">
        <w:t xml:space="preserve"> could be more likely growing up having a negative view and are more likely to be risk takers.</w:t>
      </w:r>
    </w:p>
    <w:p w14:paraId="516B4E7E" w14:textId="49D2B472" w:rsidR="001C234A" w:rsidRDefault="001C234A" w:rsidP="003A497A">
      <w:r>
        <w:t xml:space="preserve"> </w:t>
      </w:r>
      <w:r w:rsidR="007D1328">
        <w:t>During our adolescent years is when we are trying to find our personal identity o</w:t>
      </w:r>
      <w:r w:rsidR="00EE537B">
        <w:t>f where we belong in adult life</w:t>
      </w:r>
      <w:r w:rsidR="000D10B8">
        <w:t xml:space="preserve"> </w:t>
      </w:r>
      <w:r w:rsidR="00B9075B">
        <w:t>that</w:t>
      </w:r>
      <w:r w:rsidR="000D10B8">
        <w:t xml:space="preserve"> we want to be and become later on in </w:t>
      </w:r>
      <w:r w:rsidR="00B9075B">
        <w:t>life. His theory was in western societies adolescent was a delay to adulthood freeing them of reasonability’s helping them make the transition easier but it can also go the other way and have the opposite effect by not giving them as much responsibility as other society’s. Many</w:t>
      </w:r>
      <w:r>
        <w:t xml:space="preserve"> of which </w:t>
      </w:r>
      <w:r w:rsidR="00B9075B">
        <w:t>society’s</w:t>
      </w:r>
      <w:r w:rsidR="000D10B8">
        <w:t xml:space="preserve"> </w:t>
      </w:r>
      <w:r>
        <w:t xml:space="preserve">had some sort of celebration </w:t>
      </w:r>
      <w:r w:rsidR="000D10B8">
        <w:t xml:space="preserve">to show </w:t>
      </w:r>
      <w:r>
        <w:t>when the children reach adulthood.</w:t>
      </w:r>
    </w:p>
    <w:p w14:paraId="01803A04" w14:textId="36FAECC7" w:rsidR="00153296" w:rsidRDefault="001C234A" w:rsidP="00160158">
      <w:r>
        <w:t xml:space="preserve">This is the opposite in western industrialised nations </w:t>
      </w:r>
      <w:r w:rsidR="00B9369B">
        <w:t>who instead left them make their own life’s without help</w:t>
      </w:r>
      <w:r w:rsidR="000D10B8">
        <w:t xml:space="preserve"> or leaving them</w:t>
      </w:r>
      <w:r w:rsidR="00B9369B">
        <w:t xml:space="preserve"> without a clear path to follow </w:t>
      </w:r>
      <w:r w:rsidR="00B9075B">
        <w:t xml:space="preserve">making their own life’s and mistakes leaving them figure it out for themselves </w:t>
      </w:r>
      <w:r w:rsidR="00B9369B">
        <w:t>it could have been difficult for both the parent and the adolescents</w:t>
      </w:r>
      <w:r w:rsidR="00B9075B">
        <w:t xml:space="preserve"> during this time</w:t>
      </w:r>
      <w:r w:rsidR="00B9369B">
        <w:t xml:space="preserve">. Therefore the western society found it difficult to know where adolesense end and where adulthood began. </w:t>
      </w:r>
      <w:r w:rsidR="00160158">
        <w:t>Therefore</w:t>
      </w:r>
      <w:r w:rsidR="00B9075B">
        <w:t xml:space="preserve"> leave the adolensense </w:t>
      </w:r>
      <w:r w:rsidR="00160158">
        <w:t xml:space="preserve">feeling </w:t>
      </w:r>
      <w:r w:rsidR="00B9075B">
        <w:t>trapped</w:t>
      </w:r>
      <w:r w:rsidR="00160158">
        <w:t xml:space="preserve"> and asking </w:t>
      </w:r>
      <w:r w:rsidR="00B9075B">
        <w:t>“</w:t>
      </w:r>
      <w:r w:rsidR="00160158">
        <w:t>who they are</w:t>
      </w:r>
      <w:r w:rsidR="00B9075B">
        <w:t>”</w:t>
      </w:r>
      <w:r w:rsidR="00160158">
        <w:t xml:space="preserve"> and </w:t>
      </w:r>
      <w:r w:rsidR="00B9075B">
        <w:t>“</w:t>
      </w:r>
      <w:r w:rsidR="00160158">
        <w:t>what t</w:t>
      </w:r>
      <w:r w:rsidR="00B9075B">
        <w:t>hey will be one day” a way</w:t>
      </w:r>
      <w:r w:rsidR="00160158">
        <w:t xml:space="preserve"> of expressing this was through risk </w:t>
      </w:r>
      <w:r w:rsidR="00B9075B">
        <w:t>taking behavior</w:t>
      </w:r>
      <w:r w:rsidR="00160158">
        <w:t xml:space="preserve">. This lead Erikson to </w:t>
      </w:r>
      <w:r w:rsidR="00B9075B">
        <w:t>believe</w:t>
      </w:r>
      <w:r w:rsidR="00160158">
        <w:t xml:space="preserve"> that the way the achieved this</w:t>
      </w:r>
      <w:r w:rsidR="00B9075B">
        <w:t xml:space="preserve"> and make them grow onto a healthy adulthood was only</w:t>
      </w:r>
      <w:r w:rsidR="00160158">
        <w:t xml:space="preserve"> when they choose a career</w:t>
      </w:r>
      <w:r w:rsidR="00B9075B">
        <w:t xml:space="preserve"> path</w:t>
      </w:r>
      <w:r w:rsidR="00160158">
        <w:t xml:space="preserve"> or a role in life. </w:t>
      </w:r>
      <w:r w:rsidR="00B9075B">
        <w:t>Failing to do this can end up in a role confusion where he believed it effected peoples life in several areas including intimacy making them fear commitment, time perspective not being able to plan for the future, industry making it hard for them to get into work and a negative identity which can lead to taking drugs or living a negative life which is related to risk taking as teenagers often seek out excitement and risk this was believed to be to take some control over their lives or to make their lives more exciting  but (Price and  Crapo, 1999)  that this changed once they had transitioned into adult hood this enabled them adjust to change and enjoy a sense of community .</w:t>
      </w:r>
    </w:p>
    <w:p w14:paraId="11564DFF" w14:textId="77777777" w:rsidR="00B9075B" w:rsidRDefault="00B9075B" w:rsidP="00160158"/>
    <w:p w14:paraId="535A7086" w14:textId="77777777" w:rsidR="00B9075B" w:rsidRDefault="00B9075B" w:rsidP="00160158"/>
    <w:p w14:paraId="64CF54AC" w14:textId="24E7EE1B" w:rsidR="00167400" w:rsidRDefault="00FE3A92" w:rsidP="00160158">
      <w:r>
        <w:t xml:space="preserve">Anxiety and depression is linked to a lower performance in school it is believed that a adolescence with high anxiety or depression are lower than those without it is between the ages of 12-13 it looks at the relationship between negative affects and, worry, working memory and academic study they done a study between eighty participants from a secondary school they give the children between 12-13 years a self report questionnaire which they then had to fill out with parents permission the self report measured anxiety, depression and worrying about tests and academic performance the results showed that the children with anxiety and depression had a more likely chance of lower academic  performance . When worrying about tests the results also showed that they had a lower academic performance study 2 was a test to see the presence of indirect effects on academic performance in working memory tasks and academic performance through self-report questionnaire’s they picked at random 31 </w:t>
      </w:r>
      <w:r>
        <w:lastRenderedPageBreak/>
        <w:t xml:space="preserve">pupils half were tested in the morning and half were tested in the afternoon in two groups. The results were that while most aspects of the working memory had a better academic performance it still showed children with anxiety and depression worried about test more leading to a lower performance than children without showing it had a negative effect on their school study and work than the children who didn’t have anxiety or depression </w:t>
      </w:r>
      <w:bookmarkStart w:id="0" w:name="_GoBack"/>
      <w:bookmarkEnd w:id="0"/>
      <w:r w:rsidR="004F6D6A">
        <w:t xml:space="preserve"> </w:t>
      </w:r>
    </w:p>
    <w:p w14:paraId="00F02740" w14:textId="77777777" w:rsidR="00167400" w:rsidRDefault="00167400" w:rsidP="00160158"/>
    <w:p w14:paraId="181E70C9" w14:textId="77777777" w:rsidR="00167400" w:rsidRDefault="00167400" w:rsidP="00160158"/>
    <w:p w14:paraId="62D97AC7" w14:textId="77777777" w:rsidR="00167400" w:rsidRDefault="00167400" w:rsidP="00160158"/>
    <w:p w14:paraId="4C480CA1" w14:textId="27D37F75" w:rsidR="00167400" w:rsidRDefault="00167400" w:rsidP="00160158">
      <w:r>
        <w:t xml:space="preserve">                                                  References</w:t>
      </w:r>
    </w:p>
    <w:p w14:paraId="0319670A" w14:textId="77777777" w:rsidR="00167400" w:rsidRDefault="00167400" w:rsidP="00160158"/>
    <w:p w14:paraId="0092A95A" w14:textId="06BD4961" w:rsidR="00167400" w:rsidRDefault="00167400" w:rsidP="00160158">
      <w:r>
        <w:t>1.</w:t>
      </w:r>
      <w:r w:rsidR="00982648">
        <w:t xml:space="preserve"> </w:t>
      </w:r>
      <w:r>
        <w:t xml:space="preserve">Adult drinking habits in </w:t>
      </w:r>
      <w:r w:rsidR="00C319B9">
        <w:t>Great Britain</w:t>
      </w:r>
      <w:r>
        <w:t xml:space="preserve">: 2005 to 2016. Release date: 3 May 2016. Office for National Statistics, </w:t>
      </w:r>
      <w:hyperlink r:id="rId6" w:history="1">
        <w:r w:rsidR="00982648" w:rsidRPr="007923CD">
          <w:rPr>
            <w:rStyle w:val="Hyperlink"/>
          </w:rPr>
          <w:t>https://www.ons.gov.uk/peoplepopulationandcommunity/healthandsocialcare/drugusealcoholandsmoking/bulletins/opinionsandlifestylesurveyadultdrinkinghabitsgreatbritain/2005to2016</w:t>
        </w:r>
      </w:hyperlink>
      <w:r w:rsidR="00982648">
        <w:t xml:space="preserve"> </w:t>
      </w:r>
    </w:p>
    <w:p w14:paraId="153D2412" w14:textId="77777777" w:rsidR="00982648" w:rsidRDefault="00982648" w:rsidP="00160158"/>
    <w:p w14:paraId="659D93A3" w14:textId="7DAC6FD7" w:rsidR="00982648" w:rsidRDefault="00982648" w:rsidP="00160158">
      <w:r>
        <w:t>2. Book Chapter – Psychological Re</w:t>
      </w:r>
      <w:r w:rsidR="00142B87">
        <w:t xml:space="preserve">sponse to Sport Injury </w:t>
      </w:r>
      <w:r w:rsidR="00C319B9">
        <w:t>by Lynne</w:t>
      </w:r>
      <w:r w:rsidR="00142B87">
        <w:t xml:space="preserve"> Evans, Ian. D. Mitchell and Stuart Jones in the Book called Literature reviews in Sport Psychology by Sheldon Hanton and Stephen.D.Mellalieu. Nova Science Publications Hauppage, NY. Pages 289-319. </w:t>
      </w:r>
    </w:p>
    <w:p w14:paraId="0F91BAB9" w14:textId="77777777" w:rsidR="00142B87" w:rsidRDefault="00142B87" w:rsidP="00160158"/>
    <w:p w14:paraId="0E679394" w14:textId="668B3B0C" w:rsidR="00142B87" w:rsidRDefault="00142B87" w:rsidP="00160158">
      <w:r>
        <w:t xml:space="preserve">3. </w:t>
      </w:r>
      <w:r w:rsidR="008E48A0">
        <w:t xml:space="preserve">Bulling and suicide: What’s the connection? August 11, 2017. Melissa Holt. The Conversation. </w:t>
      </w:r>
      <w:hyperlink r:id="rId7" w:history="1">
        <w:r w:rsidR="00C319B9" w:rsidRPr="007923CD">
          <w:rPr>
            <w:rStyle w:val="Hyperlink"/>
          </w:rPr>
          <w:t>http://theconversation.com/bullying-and-suicid-whats-the-connection-82353</w:t>
        </w:r>
      </w:hyperlink>
      <w:r w:rsidR="00C319B9">
        <w:t xml:space="preserve"> </w:t>
      </w:r>
      <w:r w:rsidR="008E48A0">
        <w:t xml:space="preserve"> </w:t>
      </w:r>
    </w:p>
    <w:p w14:paraId="03C27B09" w14:textId="77777777" w:rsidR="008E48A0" w:rsidRDefault="008E48A0" w:rsidP="00160158"/>
    <w:p w14:paraId="56F6B048" w14:textId="0DD31E81" w:rsidR="008E48A0" w:rsidRDefault="008E48A0" w:rsidP="00160158">
      <w:r>
        <w:t>4.Conference poster- Supporting adolescents struggling with appearance- altering conditions: the feasibility of using and online psychosocial intervention (YP Face IT) in primary care. Heidi Williamson, Centre for Appearance Research, University of the West of England, Annual Primary Care Conference, Royal College of General Practioners</w:t>
      </w:r>
      <w:r w:rsidR="00C319B9">
        <w:t>, 12-14 October  2016</w:t>
      </w:r>
    </w:p>
    <w:p w14:paraId="28B6F49E" w14:textId="77777777" w:rsidR="00C319B9" w:rsidRDefault="00C319B9" w:rsidP="00160158"/>
    <w:p w14:paraId="5B4B920D" w14:textId="40B44848" w:rsidR="00C319B9" w:rsidRDefault="00C319B9" w:rsidP="00160158">
      <w:r>
        <w:t xml:space="preserve">5. Computerised cognitive behavioural therapy. 10 September 2017. Mental Health Foundation (Audio podcast) http://www.mentalhealth.org .uk/podcasts-and-videos/computerised-cognitive-behavioural-therapy </w:t>
      </w:r>
    </w:p>
    <w:p w14:paraId="7745EAD0" w14:textId="7D2EDBCE" w:rsidR="00C319B9" w:rsidRDefault="00C319B9" w:rsidP="00160158">
      <w:r>
        <w:t xml:space="preserve"> </w:t>
      </w:r>
    </w:p>
    <w:p w14:paraId="5F45DA9B" w14:textId="592EF8CF" w:rsidR="00C319B9" w:rsidRDefault="00C319B9" w:rsidP="00160158">
      <w:r>
        <w:t>6.Cromby, J., Harper, D., &amp; Rea</w:t>
      </w:r>
      <w:r w:rsidR="001F5436">
        <w:t xml:space="preserve">vey, P. (Eds.), 2013, Psychology, Mental </w:t>
      </w:r>
      <w:r w:rsidR="00FE3A92">
        <w:t>Health and</w:t>
      </w:r>
      <w:r w:rsidR="001F5436">
        <w:t xml:space="preserve"> Distress. Basingstoke: Palgrave Macmillan.</w:t>
      </w:r>
    </w:p>
    <w:p w14:paraId="38113233" w14:textId="77777777" w:rsidR="001F5436" w:rsidRDefault="001F5436" w:rsidP="00160158"/>
    <w:p w14:paraId="02406919" w14:textId="7C896EF4" w:rsidR="001F5436" w:rsidRDefault="001F5436" w:rsidP="00160158">
      <w:r>
        <w:t xml:space="preserve">7.Davey, G. (2014) </w:t>
      </w:r>
      <w:r w:rsidR="00FE3A92">
        <w:t>Psychopathology</w:t>
      </w:r>
      <w:r>
        <w:t>: Research, Assessment, and Treatment in Clinical Psychology. (2</w:t>
      </w:r>
      <w:r w:rsidRPr="001F5436">
        <w:rPr>
          <w:vertAlign w:val="superscript"/>
        </w:rPr>
        <w:t>nd</w:t>
      </w:r>
      <w:r>
        <w:t xml:space="preserve"> ed) Oxford, Blackwell.</w:t>
      </w:r>
    </w:p>
    <w:p w14:paraId="009D9D93" w14:textId="77777777" w:rsidR="001F5436" w:rsidRDefault="001F5436" w:rsidP="00160158"/>
    <w:p w14:paraId="19E3627C" w14:textId="4DAFDBC7" w:rsidR="001F5436" w:rsidRDefault="001F5436" w:rsidP="00160158">
      <w:r>
        <w:t>8. Doctoral dissertation, Stigma and mental illness: are there cultural differences? Shemin Mohamed, 2011, University of East Anglia, EThOS, uk.bl.ethos.573771</w:t>
      </w:r>
    </w:p>
    <w:p w14:paraId="6228AE34" w14:textId="77777777" w:rsidR="001F5436" w:rsidRDefault="001F5436" w:rsidP="00160158"/>
    <w:p w14:paraId="6E8F47CB" w14:textId="77C2DADA" w:rsidR="001F5436" w:rsidRDefault="00C277CB" w:rsidP="00160158">
      <w:r>
        <w:t xml:space="preserve">9. Eating disorders in men rise by 70% in NHS figures, The Guardian, 31 July 2017 htts://www.theguardian.com/society/2017/jul/31/eating-disorders-in-men-rise-by-70-in-nhs-figures </w:t>
      </w:r>
    </w:p>
    <w:p w14:paraId="6795C566" w14:textId="77777777" w:rsidR="00C277CB" w:rsidRDefault="00C277CB" w:rsidP="00160158"/>
    <w:p w14:paraId="0952E69E" w14:textId="3122B429" w:rsidR="00C277CB" w:rsidRDefault="00C277CB" w:rsidP="00160158">
      <w:r>
        <w:t>10. Geekie, J.</w:t>
      </w:r>
      <w:r w:rsidR="00FE3A92">
        <w:t>, &amp;</w:t>
      </w:r>
      <w:r>
        <w:t xml:space="preserve"> Read, J. (2009). Making sense of madness: </w:t>
      </w:r>
      <w:r w:rsidR="00FE3A92">
        <w:t>Contesting the</w:t>
      </w:r>
      <w:r>
        <w:t xml:space="preserve"> meaning of schizophrenia. London: Routledge Taylor &amp; Francis. (E-book). http:// </w:t>
      </w:r>
      <w:hyperlink r:id="rId8" w:history="1">
        <w:r w:rsidRPr="007923CD">
          <w:rPr>
            <w:rStyle w:val="Hyperlink"/>
          </w:rPr>
          <w:t>www.tsndfebooks.com/doi/view/10.4324/9780203878422</w:t>
        </w:r>
      </w:hyperlink>
    </w:p>
    <w:p w14:paraId="5E489DE8" w14:textId="77777777" w:rsidR="00C277CB" w:rsidRDefault="00C277CB" w:rsidP="00160158"/>
    <w:p w14:paraId="482CB571" w14:textId="5E71828B" w:rsidR="00C277CB" w:rsidRDefault="00C277CB" w:rsidP="00160158">
      <w:r>
        <w:t>11.</w:t>
      </w:r>
      <w:r w:rsidR="00F327DB">
        <w:t>Happiness and subjective wellbeing across nations. Open University Press. New York, N.Y.2011.Kate Hefferon and Ilona Boniwell Positive psychology: theory, research and applications. Pages 44-75.</w:t>
      </w:r>
    </w:p>
    <w:p w14:paraId="3F208A96" w14:textId="77777777" w:rsidR="00F327DB" w:rsidRDefault="00F327DB" w:rsidP="00160158"/>
    <w:p w14:paraId="43A9F779" w14:textId="657C120F" w:rsidR="00F327DB" w:rsidRDefault="00F327DB" w:rsidP="00160158">
      <w:r>
        <w:t>12. Left inferior parietal lobe engagement in social cognition and language. Doi: 10.1016/j.neubiorev.2016.02.024-Bzdok, Gessa, Hartwigsen, Reid</w:t>
      </w:r>
      <w:r w:rsidR="00FE3A92">
        <w:t>, A</w:t>
      </w:r>
      <w:r>
        <w:t>., Laird, A. R., Fox, P.T.</w:t>
      </w:r>
      <w:r w:rsidR="00FE3A92">
        <w:t>, &amp;</w:t>
      </w:r>
      <w:r>
        <w:t xml:space="preserve"> Eickhoff</w:t>
      </w:r>
      <w:r w:rsidR="00FE3A92">
        <w:t>, S.B</w:t>
      </w:r>
      <w:r>
        <w:t>., 2016,Neuro</w:t>
      </w:r>
      <w:r w:rsidR="00B72FE7">
        <w:t>science &amp; Biobehavioural Reviews, volume 68, pp. 319-334</w:t>
      </w:r>
      <w:r w:rsidR="00826E76">
        <w:t>.</w:t>
      </w:r>
    </w:p>
    <w:p w14:paraId="665B5A8E" w14:textId="77777777" w:rsidR="00826E76" w:rsidRDefault="00826E76" w:rsidP="00160158"/>
    <w:p w14:paraId="00DEDCDF" w14:textId="16C785B7" w:rsidR="00826E76" w:rsidRDefault="00826E76" w:rsidP="00160158">
      <w:r>
        <w:t xml:space="preserve">13. National Institute of Clinical Excellence, Social and emotional wellbeing of </w:t>
      </w:r>
      <w:r w:rsidR="00FE3A92">
        <w:t>vulnerable</w:t>
      </w:r>
      <w:r>
        <w:t xml:space="preserve"> children under 5, 6 June 2017 </w:t>
      </w:r>
      <w:hyperlink r:id="rId9" w:history="1">
        <w:r w:rsidRPr="00750770">
          <w:rPr>
            <w:rStyle w:val="Hyperlink"/>
          </w:rPr>
          <w:t>http://pathways.nice.org.uk/pathways/social-and-emotional-wellbeing-for-children-and-young-people</w:t>
        </w:r>
      </w:hyperlink>
      <w:r>
        <w:t xml:space="preserve"> </w:t>
      </w:r>
    </w:p>
    <w:p w14:paraId="0A762E44" w14:textId="77777777" w:rsidR="00826E76" w:rsidRDefault="00826E76" w:rsidP="00160158"/>
    <w:p w14:paraId="72D9AEEE" w14:textId="4027FC7F" w:rsidR="00826E76" w:rsidRDefault="00826E76" w:rsidP="00160158">
      <w:r>
        <w:t xml:space="preserve">14.”Necessary but not sufficient? Phelps, Ceri, Masoumeh Minou, Andrew Baker, Carol Hughes, Helen French, Wayne Hawkins, Andrew Leeuwenberg, Rebecca Crabtree, and Paul B. Hutchings. Engaging young people in the development of and avatar-based online intervention designed to provide psychosocial support to young people </w:t>
      </w:r>
      <w:r w:rsidR="005261B9">
        <w:t>affected by their own or a family member’s cancer diagnosis.” Health Expectations 20, no. 3, 2017, pp. 459-470.</w:t>
      </w:r>
    </w:p>
    <w:p w14:paraId="7C756EC8" w14:textId="77777777" w:rsidR="005261B9" w:rsidRDefault="005261B9" w:rsidP="00160158"/>
    <w:p w14:paraId="590E6821" w14:textId="3F6C34B1" w:rsidR="005261B9" w:rsidRDefault="005261B9" w:rsidP="00160158">
      <w:r>
        <w:t>15. Oral presentation- Families experience of Poverty Stigma in Education. British Psychological Society, 9-11 September,2015, Developmental Psychology Section, Suzanne Day, University of Central Lancashire.</w:t>
      </w:r>
    </w:p>
    <w:p w14:paraId="18BDAB95" w14:textId="77777777" w:rsidR="005261B9" w:rsidRDefault="005261B9" w:rsidP="00160158"/>
    <w:p w14:paraId="352E41AB" w14:textId="3284DA92" w:rsidR="005261B9" w:rsidRDefault="005261B9" w:rsidP="00160158">
      <w:r>
        <w:t>16. Positive psychology: theory, research and applications. Kate Hefferon and Ilona Boniwell. Open University Press. New York</w:t>
      </w:r>
      <w:r w:rsidR="003E7225">
        <w:t>, 2011.</w:t>
      </w:r>
    </w:p>
    <w:p w14:paraId="4448A8E9" w14:textId="77777777" w:rsidR="003E7225" w:rsidRDefault="003E7225" w:rsidP="00160158"/>
    <w:p w14:paraId="2DC1EA68" w14:textId="4418493E" w:rsidR="003E7225" w:rsidRDefault="003E7225" w:rsidP="00160158">
      <w:r>
        <w:t xml:space="preserve">17.September 18, 2017, Women know better than men what other women are thinking and feeling, Research Digest, The British Psychological Society, Emma Young, </w:t>
      </w:r>
      <w:hyperlink r:id="rId10" w:history="1">
        <w:r w:rsidRPr="00750770">
          <w:rPr>
            <w:rStyle w:val="Hyperlink"/>
          </w:rPr>
          <w:t>http://digest.bps.org.uk/2017/09/18/women-know-better-than-men-what-other-women-are-thinking-and-feeling/</w:t>
        </w:r>
      </w:hyperlink>
      <w:r>
        <w:t xml:space="preserve">. </w:t>
      </w:r>
    </w:p>
    <w:p w14:paraId="72BE9E0C" w14:textId="77777777" w:rsidR="003E7225" w:rsidRDefault="003E7225" w:rsidP="00160158"/>
    <w:p w14:paraId="39ADFDC5" w14:textId="77777777" w:rsidR="00343BD2" w:rsidRDefault="003E7225" w:rsidP="00160158">
      <w:r>
        <w:t>18. Should we ‘hug a hoodie’? Protocol for a systematic review and meta-analysis of interventions with young people not in employment, education or training (so-called NEETs). 2014. Systematic Reviews doi: 10.1186/2046-4053-3-73 Emily J Oliver, Lauren Mawn, Helen J Stain, Clare L Ba</w:t>
      </w:r>
      <w:r w:rsidR="00343BD2">
        <w:t>mbra, Carole Torgerson, Anita Oliver and Chris Bridle, vol 3. Num 1, 73. Doi: 1-.1186/2046-4053-3-73</w:t>
      </w:r>
    </w:p>
    <w:p w14:paraId="442AAD83" w14:textId="77777777" w:rsidR="00343BD2" w:rsidRDefault="00343BD2" w:rsidP="00160158"/>
    <w:p w14:paraId="10E248E3" w14:textId="77777777" w:rsidR="00343BD2" w:rsidRDefault="00343BD2" w:rsidP="00160158">
      <w:r>
        <w:t>19. Silver Linings Playbook (2012). David Russell (director) and Donna Gigliotti (producer). The Weinstein Company, US.</w:t>
      </w:r>
    </w:p>
    <w:p w14:paraId="72AA57C8" w14:textId="77777777" w:rsidR="00343BD2" w:rsidRDefault="00343BD2" w:rsidP="00160158"/>
    <w:p w14:paraId="3DD7DF93" w14:textId="77777777" w:rsidR="00343BD2" w:rsidRDefault="00343BD2" w:rsidP="00160158">
      <w:r>
        <w:t>20.  Vartanian, Lenny R., Tara Trewartha, and Eric J. Vanman. “Disgust predicts prejudice and discrimination toward individuals with obesity.” Journal of Applied Social Psychology 46, No 6 (2016): 369-375.</w:t>
      </w:r>
    </w:p>
    <w:p w14:paraId="6FD0B828" w14:textId="77777777" w:rsidR="00343BD2" w:rsidRDefault="00343BD2" w:rsidP="00160158"/>
    <w:p w14:paraId="15C219FD" w14:textId="1DA8CD17" w:rsidR="003E7225" w:rsidRPr="00D73AE9" w:rsidRDefault="003E7225" w:rsidP="00160158">
      <w:r>
        <w:t xml:space="preserve"> </w:t>
      </w:r>
    </w:p>
    <w:sectPr w:rsidR="003E7225" w:rsidRPr="00D73AE9" w:rsidSect="00F7111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BD5"/>
    <w:rsid w:val="000D10B8"/>
    <w:rsid w:val="00142B87"/>
    <w:rsid w:val="00153296"/>
    <w:rsid w:val="00160158"/>
    <w:rsid w:val="00167400"/>
    <w:rsid w:val="001C234A"/>
    <w:rsid w:val="001F5436"/>
    <w:rsid w:val="00343BD2"/>
    <w:rsid w:val="003A497A"/>
    <w:rsid w:val="003E7225"/>
    <w:rsid w:val="004F5172"/>
    <w:rsid w:val="004F6D6A"/>
    <w:rsid w:val="005261B9"/>
    <w:rsid w:val="0069380E"/>
    <w:rsid w:val="006A70BF"/>
    <w:rsid w:val="00740BD5"/>
    <w:rsid w:val="007D1328"/>
    <w:rsid w:val="00826E76"/>
    <w:rsid w:val="008E48A0"/>
    <w:rsid w:val="00982648"/>
    <w:rsid w:val="00B72FE7"/>
    <w:rsid w:val="00B9075B"/>
    <w:rsid w:val="00B9369B"/>
    <w:rsid w:val="00C277CB"/>
    <w:rsid w:val="00C319B9"/>
    <w:rsid w:val="00C359DA"/>
    <w:rsid w:val="00D23966"/>
    <w:rsid w:val="00D73AE9"/>
    <w:rsid w:val="00DD75B3"/>
    <w:rsid w:val="00DF44A7"/>
    <w:rsid w:val="00ED5A4D"/>
    <w:rsid w:val="00EE537B"/>
    <w:rsid w:val="00F327DB"/>
    <w:rsid w:val="00F71117"/>
    <w:rsid w:val="00FD41BF"/>
    <w:rsid w:val="00FE3A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F50B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3A497A"/>
    <w:pPr>
      <w:spacing w:before="120"/>
    </w:pPr>
    <w:rPr>
      <w:b/>
      <w:sz w:val="22"/>
      <w:szCs w:val="22"/>
    </w:rPr>
  </w:style>
  <w:style w:type="paragraph" w:styleId="TOC2">
    <w:name w:val="toc 2"/>
    <w:basedOn w:val="Normal"/>
    <w:next w:val="Normal"/>
    <w:autoRedefine/>
    <w:uiPriority w:val="39"/>
    <w:unhideWhenUsed/>
    <w:rsid w:val="003A497A"/>
    <w:pPr>
      <w:ind w:left="240"/>
    </w:pPr>
    <w:rPr>
      <w:i/>
      <w:sz w:val="22"/>
      <w:szCs w:val="22"/>
    </w:rPr>
  </w:style>
  <w:style w:type="paragraph" w:styleId="TOC3">
    <w:name w:val="toc 3"/>
    <w:basedOn w:val="Normal"/>
    <w:next w:val="Normal"/>
    <w:autoRedefine/>
    <w:uiPriority w:val="39"/>
    <w:unhideWhenUsed/>
    <w:rsid w:val="003A497A"/>
    <w:pPr>
      <w:ind w:left="480"/>
    </w:pPr>
    <w:rPr>
      <w:sz w:val="22"/>
      <w:szCs w:val="22"/>
    </w:rPr>
  </w:style>
  <w:style w:type="paragraph" w:styleId="TOC4">
    <w:name w:val="toc 4"/>
    <w:basedOn w:val="Normal"/>
    <w:next w:val="Normal"/>
    <w:autoRedefine/>
    <w:uiPriority w:val="39"/>
    <w:unhideWhenUsed/>
    <w:rsid w:val="003A497A"/>
    <w:pPr>
      <w:ind w:left="720"/>
    </w:pPr>
    <w:rPr>
      <w:sz w:val="20"/>
      <w:szCs w:val="20"/>
    </w:rPr>
  </w:style>
  <w:style w:type="paragraph" w:styleId="TOC5">
    <w:name w:val="toc 5"/>
    <w:basedOn w:val="Normal"/>
    <w:next w:val="Normal"/>
    <w:autoRedefine/>
    <w:uiPriority w:val="39"/>
    <w:unhideWhenUsed/>
    <w:rsid w:val="003A497A"/>
    <w:pPr>
      <w:ind w:left="960"/>
    </w:pPr>
    <w:rPr>
      <w:sz w:val="20"/>
      <w:szCs w:val="20"/>
    </w:rPr>
  </w:style>
  <w:style w:type="paragraph" w:styleId="TOC6">
    <w:name w:val="toc 6"/>
    <w:basedOn w:val="Normal"/>
    <w:next w:val="Normal"/>
    <w:autoRedefine/>
    <w:uiPriority w:val="39"/>
    <w:unhideWhenUsed/>
    <w:rsid w:val="003A497A"/>
    <w:pPr>
      <w:ind w:left="1200"/>
    </w:pPr>
    <w:rPr>
      <w:sz w:val="20"/>
      <w:szCs w:val="20"/>
    </w:rPr>
  </w:style>
  <w:style w:type="paragraph" w:styleId="TOC7">
    <w:name w:val="toc 7"/>
    <w:basedOn w:val="Normal"/>
    <w:next w:val="Normal"/>
    <w:autoRedefine/>
    <w:uiPriority w:val="39"/>
    <w:unhideWhenUsed/>
    <w:rsid w:val="003A497A"/>
    <w:pPr>
      <w:ind w:left="1440"/>
    </w:pPr>
    <w:rPr>
      <w:sz w:val="20"/>
      <w:szCs w:val="20"/>
    </w:rPr>
  </w:style>
  <w:style w:type="paragraph" w:styleId="TOC8">
    <w:name w:val="toc 8"/>
    <w:basedOn w:val="Normal"/>
    <w:next w:val="Normal"/>
    <w:autoRedefine/>
    <w:uiPriority w:val="39"/>
    <w:unhideWhenUsed/>
    <w:rsid w:val="003A497A"/>
    <w:pPr>
      <w:ind w:left="1680"/>
    </w:pPr>
    <w:rPr>
      <w:sz w:val="20"/>
      <w:szCs w:val="20"/>
    </w:rPr>
  </w:style>
  <w:style w:type="paragraph" w:styleId="TOC9">
    <w:name w:val="toc 9"/>
    <w:basedOn w:val="Normal"/>
    <w:next w:val="Normal"/>
    <w:autoRedefine/>
    <w:uiPriority w:val="39"/>
    <w:unhideWhenUsed/>
    <w:rsid w:val="003A497A"/>
    <w:pPr>
      <w:ind w:left="1920"/>
    </w:pPr>
    <w:rPr>
      <w:sz w:val="20"/>
      <w:szCs w:val="20"/>
    </w:rPr>
  </w:style>
  <w:style w:type="character" w:styleId="Hyperlink">
    <w:name w:val="Hyperlink"/>
    <w:basedOn w:val="DefaultParagraphFont"/>
    <w:uiPriority w:val="99"/>
    <w:unhideWhenUsed/>
    <w:rsid w:val="0016740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3A497A"/>
    <w:pPr>
      <w:spacing w:before="120"/>
    </w:pPr>
    <w:rPr>
      <w:b/>
      <w:sz w:val="22"/>
      <w:szCs w:val="22"/>
    </w:rPr>
  </w:style>
  <w:style w:type="paragraph" w:styleId="TOC2">
    <w:name w:val="toc 2"/>
    <w:basedOn w:val="Normal"/>
    <w:next w:val="Normal"/>
    <w:autoRedefine/>
    <w:uiPriority w:val="39"/>
    <w:unhideWhenUsed/>
    <w:rsid w:val="003A497A"/>
    <w:pPr>
      <w:ind w:left="240"/>
    </w:pPr>
    <w:rPr>
      <w:i/>
      <w:sz w:val="22"/>
      <w:szCs w:val="22"/>
    </w:rPr>
  </w:style>
  <w:style w:type="paragraph" w:styleId="TOC3">
    <w:name w:val="toc 3"/>
    <w:basedOn w:val="Normal"/>
    <w:next w:val="Normal"/>
    <w:autoRedefine/>
    <w:uiPriority w:val="39"/>
    <w:unhideWhenUsed/>
    <w:rsid w:val="003A497A"/>
    <w:pPr>
      <w:ind w:left="480"/>
    </w:pPr>
    <w:rPr>
      <w:sz w:val="22"/>
      <w:szCs w:val="22"/>
    </w:rPr>
  </w:style>
  <w:style w:type="paragraph" w:styleId="TOC4">
    <w:name w:val="toc 4"/>
    <w:basedOn w:val="Normal"/>
    <w:next w:val="Normal"/>
    <w:autoRedefine/>
    <w:uiPriority w:val="39"/>
    <w:unhideWhenUsed/>
    <w:rsid w:val="003A497A"/>
    <w:pPr>
      <w:ind w:left="720"/>
    </w:pPr>
    <w:rPr>
      <w:sz w:val="20"/>
      <w:szCs w:val="20"/>
    </w:rPr>
  </w:style>
  <w:style w:type="paragraph" w:styleId="TOC5">
    <w:name w:val="toc 5"/>
    <w:basedOn w:val="Normal"/>
    <w:next w:val="Normal"/>
    <w:autoRedefine/>
    <w:uiPriority w:val="39"/>
    <w:unhideWhenUsed/>
    <w:rsid w:val="003A497A"/>
    <w:pPr>
      <w:ind w:left="960"/>
    </w:pPr>
    <w:rPr>
      <w:sz w:val="20"/>
      <w:szCs w:val="20"/>
    </w:rPr>
  </w:style>
  <w:style w:type="paragraph" w:styleId="TOC6">
    <w:name w:val="toc 6"/>
    <w:basedOn w:val="Normal"/>
    <w:next w:val="Normal"/>
    <w:autoRedefine/>
    <w:uiPriority w:val="39"/>
    <w:unhideWhenUsed/>
    <w:rsid w:val="003A497A"/>
    <w:pPr>
      <w:ind w:left="1200"/>
    </w:pPr>
    <w:rPr>
      <w:sz w:val="20"/>
      <w:szCs w:val="20"/>
    </w:rPr>
  </w:style>
  <w:style w:type="paragraph" w:styleId="TOC7">
    <w:name w:val="toc 7"/>
    <w:basedOn w:val="Normal"/>
    <w:next w:val="Normal"/>
    <w:autoRedefine/>
    <w:uiPriority w:val="39"/>
    <w:unhideWhenUsed/>
    <w:rsid w:val="003A497A"/>
    <w:pPr>
      <w:ind w:left="1440"/>
    </w:pPr>
    <w:rPr>
      <w:sz w:val="20"/>
      <w:szCs w:val="20"/>
    </w:rPr>
  </w:style>
  <w:style w:type="paragraph" w:styleId="TOC8">
    <w:name w:val="toc 8"/>
    <w:basedOn w:val="Normal"/>
    <w:next w:val="Normal"/>
    <w:autoRedefine/>
    <w:uiPriority w:val="39"/>
    <w:unhideWhenUsed/>
    <w:rsid w:val="003A497A"/>
    <w:pPr>
      <w:ind w:left="1680"/>
    </w:pPr>
    <w:rPr>
      <w:sz w:val="20"/>
      <w:szCs w:val="20"/>
    </w:rPr>
  </w:style>
  <w:style w:type="paragraph" w:styleId="TOC9">
    <w:name w:val="toc 9"/>
    <w:basedOn w:val="Normal"/>
    <w:next w:val="Normal"/>
    <w:autoRedefine/>
    <w:uiPriority w:val="39"/>
    <w:unhideWhenUsed/>
    <w:rsid w:val="003A497A"/>
    <w:pPr>
      <w:ind w:left="1920"/>
    </w:pPr>
    <w:rPr>
      <w:sz w:val="20"/>
      <w:szCs w:val="20"/>
    </w:rPr>
  </w:style>
  <w:style w:type="character" w:styleId="Hyperlink">
    <w:name w:val="Hyperlink"/>
    <w:basedOn w:val="DefaultParagraphFont"/>
    <w:uiPriority w:val="99"/>
    <w:unhideWhenUsed/>
    <w:rsid w:val="001674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ons.gov.uk/peoplepopulationandcommunity/healthandsocialcare/drugusealcoholandsmoking/bulletins/opinionsandlifestylesurveyadultdrinkinghabitsgreatbritain/2005to2016" TargetMode="External"/><Relationship Id="rId7" Type="http://schemas.openxmlformats.org/officeDocument/2006/relationships/hyperlink" Target="http://theconversation.com/bullying-and-suicid-whats-the-connection-82353" TargetMode="External"/><Relationship Id="rId8" Type="http://schemas.openxmlformats.org/officeDocument/2006/relationships/hyperlink" Target="http://www.tsndfebooks.com/doi/view/10.4324/9780203878422" TargetMode="External"/><Relationship Id="rId9" Type="http://schemas.openxmlformats.org/officeDocument/2006/relationships/hyperlink" Target="http://pathways.nice.org.uk/pathways/social-and-emotional-wellbeing-for-children-and-young-people" TargetMode="External"/><Relationship Id="rId10" Type="http://schemas.openxmlformats.org/officeDocument/2006/relationships/hyperlink" Target="http://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13514-72D8-6E40-9173-797B964B4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4</Pages>
  <Words>1374</Words>
  <Characters>7835</Characters>
  <Application>Microsoft Macintosh Word</Application>
  <DocSecurity>0</DocSecurity>
  <Lines>65</Lines>
  <Paragraphs>18</Paragraphs>
  <ScaleCrop>false</ScaleCrop>
  <Company>Trinity Saint David</Company>
  <LinksUpToDate>false</LinksUpToDate>
  <CharactersWithSpaces>9191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MacLoanLib10</dc:creator>
  <cp:keywords/>
  <dc:description/>
  <cp:lastModifiedBy>MacLoanLib10</cp:lastModifiedBy>
  <cp:revision>13</cp:revision>
  <dcterms:created xsi:type="dcterms:W3CDTF">2017-11-12T15:43:00Z</dcterms:created>
  <dcterms:modified xsi:type="dcterms:W3CDTF">2017-11-21T12:28:00Z</dcterms:modified>
</cp:coreProperties>
</file>