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Journal Article Critique.</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Article </w:t>
      </w:r>
      <w:proofErr w:type="gramStart"/>
      <w:r>
        <w:rPr>
          <w:rFonts w:ascii="Times New Roman" w:hAnsi="Times New Roman" w:cs="Times New Roman"/>
          <w:sz w:val="24"/>
          <w:szCs w:val="24"/>
        </w:rPr>
        <w:t>Title :</w:t>
      </w:r>
      <w:proofErr w:type="gramEnd"/>
      <w:r>
        <w:rPr>
          <w:rFonts w:ascii="Times New Roman" w:hAnsi="Times New Roman" w:cs="Times New Roman"/>
          <w:sz w:val="24"/>
          <w:szCs w:val="24"/>
        </w:rPr>
        <w:t xml:space="preserve"> Inclusion: the role of special and mainstream schools.</w:t>
      </w:r>
    </w:p>
    <w:p>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Author :</w:t>
      </w:r>
      <w:proofErr w:type="gramEnd"/>
      <w:r>
        <w:rPr>
          <w:rFonts w:ascii="Times New Roman" w:hAnsi="Times New Roman" w:cs="Times New Roman"/>
          <w:sz w:val="24"/>
          <w:szCs w:val="24"/>
        </w:rPr>
        <w:t xml:space="preserve"> Anne Shaw.</w:t>
      </w:r>
    </w:p>
    <w:p>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Source :</w:t>
      </w:r>
      <w:proofErr w:type="gramEnd"/>
      <w:r>
        <w:rPr>
          <w:rFonts w:ascii="Times New Roman" w:hAnsi="Times New Roman" w:cs="Times New Roman"/>
          <w:sz w:val="24"/>
          <w:szCs w:val="24"/>
        </w:rPr>
        <w:t xml:space="preserve"> British Journal of Education.</w:t>
      </w:r>
    </w:p>
    <w:p>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Volume :</w:t>
      </w:r>
      <w:proofErr w:type="gramEnd"/>
      <w:r>
        <w:rPr>
          <w:rFonts w:ascii="Times New Roman" w:hAnsi="Times New Roman" w:cs="Times New Roman"/>
          <w:sz w:val="24"/>
          <w:szCs w:val="24"/>
        </w:rPr>
        <w:t xml:space="preserve"> 44</w:t>
      </w:r>
    </w:p>
    <w:p>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Number :</w:t>
      </w:r>
      <w:proofErr w:type="gramEnd"/>
      <w:r>
        <w:rPr>
          <w:rFonts w:ascii="Times New Roman" w:hAnsi="Times New Roman" w:cs="Times New Roman"/>
          <w:sz w:val="24"/>
          <w:szCs w:val="24"/>
        </w:rPr>
        <w:t xml:space="preserve"> 3 </w:t>
      </w:r>
    </w:p>
    <w:p>
      <w:pPr>
        <w:spacing w:line="360" w:lineRule="auto"/>
        <w:rPr>
          <w:rFonts w:ascii="Times New Roman" w:hAnsi="Times New Roman" w:cs="Times New Roman"/>
          <w:sz w:val="24"/>
          <w:szCs w:val="24"/>
        </w:rPr>
      </w:pPr>
      <w:r>
        <w:rPr>
          <w:rFonts w:ascii="Times New Roman" w:hAnsi="Times New Roman" w:cs="Times New Roman"/>
          <w:sz w:val="24"/>
          <w:szCs w:val="24"/>
        </w:rPr>
        <w:t>Date of publication- February 2017.</w:t>
      </w:r>
    </w:p>
    <w:p>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Pages :</w:t>
      </w:r>
      <w:proofErr w:type="gramEnd"/>
      <w:r>
        <w:rPr>
          <w:rFonts w:ascii="Times New Roman" w:hAnsi="Times New Roman" w:cs="Times New Roman"/>
          <w:sz w:val="24"/>
          <w:szCs w:val="24"/>
        </w:rPr>
        <w:t xml:space="preserve"> 292-307 (reference list 307-312)</w:t>
      </w:r>
    </w:p>
    <w:p>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Author background.</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author, Anne Shaw is currently Curriculum Leader for Early years Care and Education at Salford City College.   She has played an active role in education since graduating in 1982 achieving a BA Ed. in Primary and Special Education.  From this, she sought additional experience by training in a special school and continued her professional development to become a Special Educational Needs coordinator in mainstream primary schools. Evidently, she has an excellent understanding of both special and mainstream provisions and therefore, has experienced the benefits and challenges of inclusive education for all pupils. Regarding this article and research made into the topic of inclusion, she states: </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t>I enjoyed researching the topic and am delighted to read my work in print. I hope I have helped the students I teach realise that publishing research is in everyone’s reach.</w:t>
      </w:r>
    </w:p>
    <w:p>
      <w:pPr>
        <w:spacing w:line="360" w:lineRule="auto"/>
        <w:jc w:val="right"/>
        <w:rPr>
          <w:rFonts w:ascii="Times New Roman" w:hAnsi="Times New Roman" w:cs="Times New Roman"/>
          <w:sz w:val="24"/>
          <w:szCs w:val="24"/>
        </w:rPr>
      </w:pPr>
      <w:r>
        <w:rPr>
          <w:rFonts w:ascii="Times New Roman" w:hAnsi="Times New Roman" w:cs="Times New Roman"/>
          <w:sz w:val="24"/>
          <w:szCs w:val="24"/>
        </w:rPr>
        <w:t>(Shaw, Salford City College, 2017)</w:t>
      </w:r>
    </w:p>
    <w:p>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Title.</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title of this journal article, “Inclusion: the role of Special and Mainstream schools” (Shaw, 2017) is short, to the point and gives an honest overall insight into the nature of the article which discusses the role of special and mainstream schools in the matter of inclusion. While the title might suggest an obvious overview of inclusion, it gives no indication of specific details.  Some examples here might include specification of pupil age, key stage, location of provisions and specialist provisions involved (Moderate Learning Difficulties, Autistic Spectrum Disorder or Hearing Impairment for instance), thus, researchers might </w:t>
      </w:r>
      <w:r>
        <w:rPr>
          <w:rFonts w:ascii="Times New Roman" w:hAnsi="Times New Roman" w:cs="Times New Roman"/>
          <w:sz w:val="24"/>
          <w:szCs w:val="24"/>
        </w:rPr>
        <w:lastRenderedPageBreak/>
        <w:t xml:space="preserve">overlook the extensive research inside as the title could be viewed as perhaps too concise, regardless of its suitability.    </w:t>
      </w:r>
    </w:p>
    <w:p>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Abstract</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an informative abstract which references a short historical overview on inclusion found in the Warnock Report (1978) and the Education Act (1981).  These documents were published recently before Anne Shaw graduated with a degree in Primary and Special Education.  Her research is appropriate, significant and fundamental to the debate of inclusive education of pupils with learning disabilities.   The author also refers to a shift in the clarification of inclusion in 2005 which highlights the continued research and monitoring of inclusive education in both special and mainstream schools.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abstract highlights locations of this research by listing countries in which the research has taken place.  These locations are various points from across the globe including the United Kingdom, Ireland, New Zealand and the Netherlands. The author gives insight into views and research from different governments, different ethnical views and education systems.  However, concentrating on research made in economically stable countries, she might leave readers with questions.   It might have been beneficial to research countries that have different education systems due to lack of funding or even schools with no special education provisions at all.  This would have argued the need for special and mainstream educations to be universally inclusive on a global capacity, as opposed to the evaluation of provisions funded in economically developed countries only.  It is possible that from this, the need for inclusion in specialist and mainstream provisions could have reached a clearer conclusion.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author’s main findings are honest in reporting that no clear decisions or conclusions were made regarding the inclusive roles of special and mainstream schools.  This highlights the tensions between agenda and standards of education.  It is essential for readers of the article to know this information because there seem to be no clear concrete findings.  Essentially, this encourages the reader to evaluate their own opinions and experiences about inclusion. The author wisely suggests continued extensive research into the inclusive education of both special and mainstream schools. The chosen conclusion here gives opportunity for readers to continue researching and make their own conclusions as educators and researchers will understand that every school, every experience and every child are very different. </w:t>
      </w:r>
    </w:p>
    <w:p>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author thus combines two recommendations in her abstract- the development of special-mainstream school partnership links and a continued approach to comparing pupils’ outcomes in different types of provisions.   Perhaps this aversion to research recommendations would explain the author’s reluctance to clearly identify a concrete conclusion in the role of special and mainstream schools.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key words given at the end of the abstract are suitable and highlight the overall purpose and rationale of the research made, suitably reflecting arguments made by the author.  The key words appear frequently throughout the article and are suitably emphasised and evaluated by research made, the key words are a true reflection of the article topic. The majority of the title is made up of these key words and the remaining word not used in the title plays an essential part in the arguments made to the role of inclusion in special and mainstream schools.  Possible additional key words might include ‘Special Educational needs’, ‘Integration’ and ‘segregation’ as there is an emphasis on these words and areas of inclusive education made by the author in this article.   However, there are constraints when writing a journal article and these may have impacted on number of key words the author would have been allowed to include, giving possible limited choices. </w:t>
      </w:r>
    </w:p>
    <w:p>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Introduction.</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introductory paragraphs, give an overview of research, policies and practice already implemented with regards to inclusion.  The author revisits the Warnock report (1978) which links this with an up to date Department for Education report (2016) opposing the climate of inclusion in special and mainstream schools due to increased special school placements.  The tone of the introduction appears descriptive by clearly presenting four areas of the author’s research.  The first, presenting literature reviewing policy and practice in special schools to present day.  The second, discussing benefits and challenges of special schools.  The third, presenting the values and challenges of mainstream schools.  The fourth and final section, discussing the role of special and educational provisions and opinions of pupils with an array of needs in comparison with mainstream pupils.  The reader is therefore suitably presented with purpose and clear rationale of the author’s research where a solid argument has already begun to evaluate the role of inclusion in special and mainstream schools.  The introduction gives a sense of wanting to explore supporting and opposing research into inclusion.  Despite the extensive research referenced in the introductory paragraphs, there is a gap between literature available between 1981 and 2000.  Inevitably, this might lead readers to believe that </w:t>
      </w:r>
      <w:r>
        <w:rPr>
          <w:rFonts w:ascii="Times New Roman" w:hAnsi="Times New Roman" w:cs="Times New Roman"/>
          <w:sz w:val="24"/>
          <w:szCs w:val="24"/>
        </w:rPr>
        <w:lastRenderedPageBreak/>
        <w:t xml:space="preserve">some questions or issues surrounding the role of inclusion might have gone unanswered.  Some areas for discussion might have included what inclusion may have looked like in economically strained settings and if an evaluation of inclusion for both males and females in special and mainstream schools has taken place in previous years; presenting comparisons between effects of inclusion on both genres, for example.  </w:t>
      </w:r>
    </w:p>
    <w:p>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Literature review analysis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author presents a series of subtle and pressing arguments indicating that she has carried out suitable in-depth research. She references and explains policies, procedures and data collection methods well, ensuring the research made includes a range of needs of pupils, pupil ages, pupil / staff / parent views and also a varied collection of referenced materials.  The research and arguments present strengths, weaknesses and next steps for the role of inclusion in schools.  This has ensured, that inclusion is a topic continuously monitored, reviewed and researched by schools- making inclusion a key component of each pupil’s education.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reference list is extensive and the author has used a selection of websites, books, journals, pamphlets and sources/documents from education systems within and outside of the UK, giving a diverse range of perspectives.   Though it may be questioned why countries with struggling economies were not included in this research.  The article would benefit from research surrounding this area, depicting how some of the best education systems in the world monitor, evaluate and address the role of inclusion within mainstream and special school provisions in comparison with how schools in economically deprived countries approach inclusive education.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is a clear starting point to the argument beginning around 40 years ago challenging the statement of inclusion in Warnock’s report (1979) and the Education Act (1981).  The author has also referenced the Centre for Studies on Inclusive Education (1989), regarding the inclusion of mainstream provisions and temporary withdrawal of students and presents a brief summary on page 296 of research surrounding inclusion dating back the last thirty seven years.  This research highlights the increase of special school placements, even though inclusion in mainstream schools was implemented and improved.  However, much of the research throughout the article is more recently dated from 2002 to 2017, the year of publication.  The implication here applies to the possible lack of research, policies and practice surrounding inclusive education during this period of time between the years of 1989 </w:t>
      </w:r>
      <w:r>
        <w:rPr>
          <w:rFonts w:ascii="Times New Roman" w:hAnsi="Times New Roman" w:cs="Times New Roman"/>
          <w:sz w:val="24"/>
          <w:szCs w:val="24"/>
        </w:rPr>
        <w:lastRenderedPageBreak/>
        <w:t>and 2002.  This may have been a period of time where Warnock’s report and inclusive approaches to education were being suitably implemented, monitored and reviewed, resulting in a possible lack of research.</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Each issue raised by the author has been supported by convincing evidence by use of studies, policies and research made by collection of pupil / staff / parent interviews, questionnaires and case studies.  The points have been suitably organised into four main areas.  Each part is constructed clearly and allows readers to access and fully understand the article topic. The organised layout into four main areas gives opportunity for readers to read and compare all four sections or to choose specific parts of inclusion for their own personal research.  Under each heading is a descriptive summary of background information, with literature supporting and opposing the evidence and research made.  This provides details of data collection methods and possible implications.  There is also a summary to conclude each article sub heading.  This summarises key points discussed and encourages the reader to constantly evaluate their thoughts and personal opinions on the topic of inclusion.  It would strengthen the article to be presented with the personal thoughts of the author for each part discussed, as she has experience and knowledge from years of teaching that less experienced educators would certainly benefit from reading.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author’s research is a well collected series of interrelated concepts important to the role of inclusion.  Within her article, she references research to different degrees of inclusion, ranges of needs, pupil opinions, parent and staff perspectives, the quality of provisions and transition between key stages.  </w:t>
      </w:r>
    </w:p>
    <w:p>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 xml:space="preserve">Data: collection of methods.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article examines data from a range of sources including documents, surveys, questionnaires, interviews, comparisons and learner views.   The use of these data collecting methods is vitally important, so roles of special and mainstream school in inclusion can be identified and evaluated respectfully regarding pupil, parent and staff and perspectives.  However, it does not seem clear what studies and data collecting the author has done herself.  It would strengthen the article to present readers with case studies of personal experiences, evaluating challenges of inclusion experiences by the author.  Inclusion might have presented barriers for pupils in her class to access their education, this might also have been an area of professional development for her as an educator and SEN coordinator.  The author’s own </w:t>
      </w:r>
      <w:r>
        <w:rPr>
          <w:rFonts w:ascii="Times New Roman" w:hAnsi="Times New Roman" w:cs="Times New Roman"/>
          <w:sz w:val="24"/>
          <w:szCs w:val="24"/>
        </w:rPr>
        <w:lastRenderedPageBreak/>
        <w:t xml:space="preserve">personal views, findings and research appear to be an invaluable contribution to the field of inclusion.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author describes all methods used and occasionally includes additional information such as with whom they were used, ages and gender of participants, where methods were implemented (country) and outcomes of the method used.  There is evidence of author recommendations based on her research and personal findings.  Results are presented in paragraphs of numbers and percentages.  Due to the nature of the data, the use of tables and graphs presented in a correlated approach would ensure accessibility for the all readers to view.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many strengths surrounding the data and research used.   A detailed and well written series of data collection methods have been presented from a range of age pupils and adults from primary and secondary school perspectives.  This gives a detailed overview of pupils from both key stages as their experiences may inevitably be very different.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strength of this article is that research has been collated from pupils with a variety of needs.  The evidence presents the reader with a range of viewpoints as each pupil, regardless of need, will have different views and experiences of inclusion, whether they attend a special or mainstream school.  I feel that this is significantly presented.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is evidence of research from both special and mainstream schools which is appropriate to the purpose of this article.  However, the number of pupils researched in both provisions were not equal, neither was their age or need specified.   The outcome was discovered as a clear increase for special school placements.  It can be argued that literary support might not present a valid conclusion without specific reference to age, gender and need of the pupils involved.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samples were taken from a number of different counties in different countries.  A deeper insight into these counties would surely affect pupil outcomes, need and ethical issues as there are counties more deprived than others.  This, I feel, is an important aspect of any study sample and a national viewpoint should have to be taken into consideration to compare results of economically stable and unstable countries / counties, highlighting the economic effect on inclusion in schools.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author references Black (2014) and his use of questionnaires to stakeholders in 2010 regarding transitions to key stage three provisions from special schools (Black, 2014 as cited </w:t>
      </w:r>
      <w:r>
        <w:rPr>
          <w:rFonts w:ascii="Times New Roman" w:hAnsi="Times New Roman" w:cs="Times New Roman"/>
          <w:sz w:val="24"/>
          <w:szCs w:val="24"/>
        </w:rPr>
        <w:lastRenderedPageBreak/>
        <w:t>in Shaw, 2017 p. 298) .  Questionnaires were only completed by pupils from special schools.  However, pupils with Additional learning needs also attend mainstream schools and would be undertaking the process of transition to key stage 3 too. These pupil views would be of benefit to depict the realistic role and support provided during inclusion and transition from special schools and mainstream schools as they could have been compared.  It would also be interesting to know if reasonable adjustments were required for pupils to access the questionnaires.  This method does not specify the need of participants and whether or not additional resources were needed for pupils to access them.  How pupils were able to access these methods of data would give a broader understanding regarding how confidently and honestly pupils were able to answer the questionnaires.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Research in 2012 gave perspectives of education systems outside that of the United Kingdom’s education system.  This research was completed in the Netherlands by </w:t>
      </w:r>
      <w:proofErr w:type="spellStart"/>
      <w:r>
        <w:rPr>
          <w:rFonts w:ascii="Times New Roman" w:hAnsi="Times New Roman" w:cs="Times New Roman"/>
          <w:sz w:val="24"/>
          <w:szCs w:val="24"/>
        </w:rPr>
        <w:t>Stoutjesdijk</w:t>
      </w:r>
      <w:proofErr w:type="spellEnd"/>
      <w:r>
        <w:rPr>
          <w:rFonts w:ascii="Times New Roman" w:hAnsi="Times New Roman" w:cs="Times New Roman"/>
          <w:sz w:val="24"/>
          <w:szCs w:val="24"/>
        </w:rPr>
        <w:t xml:space="preserve"> (2012). The samples from this research included 235 pupils from a specialist Emotional, Behavioural Disorder (EBD) School to 111 pupils with EBD in a mainstream setting.  The research concluded advantageous next steps for both provisions and also encouraged the reader to research more about school support and resources.  However, it may be argued that a sample of pupils with equal number of gender, age and sample size would have given a true reflection.  With more than 100 pupil difference between the schools, a randomly selected or carefully selected sample of pupils with varying needs, equal gender participants might have given more robust results for evaluation and comparisons to be made.  </w:t>
      </w:r>
    </w:p>
    <w:p>
      <w:pPr>
        <w:spacing w:line="360" w:lineRule="auto"/>
        <w:rPr>
          <w:rFonts w:ascii="Times New Roman" w:hAnsi="Times New Roman" w:cs="Times New Roman"/>
          <w:sz w:val="24"/>
          <w:szCs w:val="24"/>
        </w:rPr>
      </w:pPr>
    </w:p>
    <w:p>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Conclusion.</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article suitably contributes to the argument of inclusion and its role within special and mainstream education by presenting research and literature to support and oppose arguments made.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Inevitably, areas of the role of inclusion are left unanswered by inconsistent approaches to research references by the author.  Areas such as questionnaires only completed by males with diagnosis of ASD, interviews for special schools regarding transition and more parent views taken on board as opposed to school staff, leave questions unanswered and research left to be explored by the reader, and author it appears.    </w:t>
      </w:r>
    </w:p>
    <w:p>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There are many relevant references to research made by the author throughout the article.  Even where I agree or disagree, the author challenges my own opinion by presenting literature that encourages me to re-evaluate my views. On this well researched and documented basis, I feel the author intends to leave readers with a sense of indecisiveness.  This was, after all, the author’s conclusion of the research made, thus, encouraging the reader to carry out her recommendations made in the abstract for continued extensive research.</w:t>
      </w: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p>
    <w:p>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An evaluation of reading interventions in a learning support centre classroom.</w:t>
      </w:r>
    </w:p>
    <w:p>
      <w:pPr>
        <w:spacing w:line="360" w:lineRule="auto"/>
        <w:jc w:val="center"/>
        <w:rPr>
          <w:rFonts w:ascii="Times New Roman" w:hAnsi="Times New Roman" w:cs="Times New Roman"/>
          <w:sz w:val="24"/>
          <w:szCs w:val="24"/>
          <w:u w:val="single"/>
        </w:rPr>
      </w:pPr>
    </w:p>
    <w:p>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Introduction.</w:t>
      </w:r>
    </w:p>
    <w:p>
      <w:pPr>
        <w:spacing w:line="360" w:lineRule="auto"/>
        <w:ind w:firstLine="360"/>
        <w:rPr>
          <w:rFonts w:ascii="Times New Roman" w:hAnsi="Times New Roman" w:cs="Times New Roman"/>
          <w:sz w:val="24"/>
          <w:szCs w:val="24"/>
        </w:rPr>
      </w:pPr>
      <w:r>
        <w:rPr>
          <w:rFonts w:ascii="Times New Roman" w:hAnsi="Times New Roman" w:cs="Times New Roman"/>
          <w:sz w:val="24"/>
          <w:szCs w:val="24"/>
        </w:rPr>
        <w:t>This small scale evaluative study was facilitated in a small primary school in Seven Sisters, in the Local Authority of Neath Port Talbot.    The school has 120 pupils on roll, aged 3-11 years including 15 nursery pupils who attend part-time.  41% of these pupils receive free school meals, an average taken from a three year rolling average and above the national average of 18%.  6% of pupils are looked after children under the care of the local authority. 50 (41.6%) of the 120 pupils on role are recorded on the school’s Additional Learning Needs (ALN) register and receive support or a more challenging curriculum through Individual Education Plans (IEPs) and outside agency recommendations. This is well above the national average of 21%.   22% (11/50) of these pupils are at the School Action stage of the graduated response, 36% (18/50) are School Action Plus, 34 % (17/50) are statemented pupils and 8% (4/50) are More Able and Talented.  Within the school, there are two Learning Support Centre (LSC) provisions that offer bespoke education experiences for pupils with a Statement of Moderate Leaning Difficulties (MLD). These LSC provisions provide placements for 17 pupils. The majority of these pupils are transported in to</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school as they live outside the catchment area.  The school consists of four classes of mixed year mainstream pupils, an LSC class based in the infants (LSC1) and an LSC class based in the juniors (LSC2- See Appendix one for pupil details).  There are six classes in total.  Staff numbers include six teachers, nine support staff and five lunchtime staff.  My roles and responsibilities within the school include Junior LSC class teacher, Additional Learning Coordinator (Junior Department), Healthy School’s coordinator, RE coordinator and Wellbeing subject coordinator.   </w:t>
      </w:r>
    </w:p>
    <w:p>
      <w:pPr>
        <w:spacing w:line="360" w:lineRule="auto"/>
        <w:ind w:firstLine="360"/>
        <w:rPr>
          <w:rFonts w:ascii="Times New Roman" w:hAnsi="Times New Roman" w:cs="Times New Roman"/>
          <w:sz w:val="24"/>
          <w:szCs w:val="24"/>
        </w:rPr>
      </w:pPr>
    </w:p>
    <w:p>
      <w:pPr>
        <w:spacing w:line="360" w:lineRule="auto"/>
        <w:ind w:firstLine="360"/>
        <w:rPr>
          <w:rFonts w:ascii="Times New Roman" w:hAnsi="Times New Roman" w:cs="Times New Roman"/>
          <w:sz w:val="24"/>
          <w:szCs w:val="24"/>
        </w:rPr>
      </w:pPr>
    </w:p>
    <w:p>
      <w:pPr>
        <w:spacing w:line="360" w:lineRule="auto"/>
        <w:ind w:firstLine="360"/>
        <w:rPr>
          <w:rFonts w:ascii="Times New Roman" w:hAnsi="Times New Roman" w:cs="Times New Roman"/>
          <w:sz w:val="24"/>
          <w:szCs w:val="24"/>
        </w:rPr>
      </w:pPr>
    </w:p>
    <w:p>
      <w:pPr>
        <w:spacing w:line="360" w:lineRule="auto"/>
        <w:ind w:firstLine="360"/>
        <w:rPr>
          <w:rFonts w:ascii="Times New Roman" w:hAnsi="Times New Roman" w:cs="Times New Roman"/>
          <w:sz w:val="24"/>
          <w:szCs w:val="24"/>
        </w:rPr>
      </w:pPr>
    </w:p>
    <w:p>
      <w:pPr>
        <w:spacing w:line="360" w:lineRule="auto"/>
        <w:ind w:firstLine="360"/>
        <w:rPr>
          <w:rFonts w:ascii="Times New Roman" w:hAnsi="Times New Roman" w:cs="Times New Roman"/>
          <w:sz w:val="24"/>
          <w:szCs w:val="24"/>
        </w:rPr>
      </w:pPr>
    </w:p>
    <w:p>
      <w:pPr>
        <w:spacing w:line="360" w:lineRule="auto"/>
        <w:ind w:firstLine="360"/>
        <w:rPr>
          <w:rFonts w:ascii="Times New Roman" w:hAnsi="Times New Roman" w:cs="Times New Roman"/>
          <w:sz w:val="24"/>
          <w:szCs w:val="24"/>
        </w:rPr>
      </w:pPr>
    </w:p>
    <w:p>
      <w:pPr>
        <w:spacing w:line="360" w:lineRule="auto"/>
        <w:ind w:firstLine="360"/>
        <w:rPr>
          <w:rFonts w:ascii="Times New Roman" w:hAnsi="Times New Roman" w:cs="Times New Roman"/>
          <w:sz w:val="24"/>
          <w:szCs w:val="24"/>
        </w:rPr>
      </w:pPr>
      <w:r>
        <w:rPr>
          <w:rFonts w:ascii="Times New Roman" w:hAnsi="Times New Roman" w:cs="Times New Roman"/>
          <w:sz w:val="24"/>
          <w:szCs w:val="24"/>
        </w:rPr>
        <w:lastRenderedPageBreak/>
        <w:t xml:space="preserve">The evaluative area of reading interventions was chosen to reflect a target in the School’s Improvement Plan (2018) to ‘improve the basic reading skills of pupils’. </w:t>
      </w:r>
    </w:p>
    <w:p>
      <w:pPr>
        <w:spacing w:line="360" w:lineRule="auto"/>
        <w:ind w:firstLine="360"/>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45720" distB="45720" distL="114300" distR="114300" simplePos="0" relativeHeight="251663360" behindDoc="0" locked="0" layoutInCell="1" allowOverlap="1">
                <wp:simplePos x="0" y="0"/>
                <wp:positionH relativeFrom="column">
                  <wp:posOffset>241300</wp:posOffset>
                </wp:positionH>
                <wp:positionV relativeFrom="paragraph">
                  <wp:posOffset>7620</wp:posOffset>
                </wp:positionV>
                <wp:extent cx="5073650" cy="2120900"/>
                <wp:effectExtent l="0" t="0" r="12700"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3650" cy="2120900"/>
                        </a:xfrm>
                        <a:prstGeom prst="rect">
                          <a:avLst/>
                        </a:prstGeom>
                        <a:solidFill>
                          <a:srgbClr val="FFFFFF"/>
                        </a:solidFill>
                        <a:ln w="9525">
                          <a:solidFill>
                            <a:schemeClr val="bg1"/>
                          </a:solidFill>
                          <a:miter lim="800000"/>
                          <a:headEnd/>
                          <a:tailEnd/>
                        </a:ln>
                      </wps:spPr>
                      <wps:txbx>
                        <w:txbxContent>
                          <w:p>
                            <w:pPr>
                              <w:ind w:firstLine="360"/>
                              <w:rPr>
                                <w:rFonts w:ascii="Times New Roman" w:hAnsi="Times New Roman" w:cs="Times New Roman"/>
                                <w:sz w:val="24"/>
                              </w:rPr>
                            </w:pPr>
                            <w:r>
                              <w:rPr>
                                <w:rFonts w:ascii="Times New Roman" w:hAnsi="Times New Roman" w:cs="Times New Roman"/>
                                <w:sz w:val="24"/>
                              </w:rPr>
                              <w:t>Monitoring demonstrates the need to develop -</w:t>
                            </w:r>
                          </w:p>
                          <w:p>
                            <w:pPr>
                              <w:pStyle w:val="ListParagraph"/>
                              <w:numPr>
                                <w:ilvl w:val="0"/>
                                <w:numId w:val="6"/>
                              </w:numPr>
                              <w:rPr>
                                <w:rFonts w:ascii="Times New Roman" w:hAnsi="Times New Roman" w:cs="Times New Roman"/>
                                <w:sz w:val="24"/>
                              </w:rPr>
                            </w:pPr>
                            <w:r>
                              <w:rPr>
                                <w:rFonts w:ascii="Times New Roman" w:hAnsi="Times New Roman" w:cs="Times New Roman"/>
                                <w:sz w:val="24"/>
                              </w:rPr>
                              <w:t>Phonic skills - minority of pupils have phonic skills that hinder fluency and ability to self-correct;</w:t>
                            </w:r>
                          </w:p>
                          <w:p>
                            <w:pPr>
                              <w:pStyle w:val="ListParagraph"/>
                              <w:numPr>
                                <w:ilvl w:val="0"/>
                                <w:numId w:val="6"/>
                              </w:numPr>
                              <w:rPr>
                                <w:rFonts w:ascii="Times New Roman" w:hAnsi="Times New Roman" w:cs="Times New Roman"/>
                                <w:sz w:val="24"/>
                              </w:rPr>
                            </w:pPr>
                            <w:r>
                              <w:rPr>
                                <w:rFonts w:ascii="Times New Roman" w:hAnsi="Times New Roman" w:cs="Times New Roman"/>
                                <w:sz w:val="24"/>
                              </w:rPr>
                              <w:t>Scanning – minority of pupils scan for information more effectively;</w:t>
                            </w:r>
                          </w:p>
                          <w:p>
                            <w:pPr>
                              <w:pStyle w:val="ListParagraph"/>
                              <w:numPr>
                                <w:ilvl w:val="0"/>
                                <w:numId w:val="6"/>
                              </w:numPr>
                              <w:rPr>
                                <w:rFonts w:ascii="Times New Roman" w:hAnsi="Times New Roman" w:cs="Times New Roman"/>
                                <w:sz w:val="24"/>
                              </w:rPr>
                            </w:pPr>
                            <w:r>
                              <w:rPr>
                                <w:rFonts w:ascii="Times New Roman" w:hAnsi="Times New Roman" w:cs="Times New Roman"/>
                                <w:sz w:val="24"/>
                              </w:rPr>
                              <w:t>Extended responses - many pupils need to improve their ability to give extended responses about the text they read, by referring to supporting evidence;</w:t>
                            </w:r>
                          </w:p>
                          <w:p>
                            <w:pPr>
                              <w:pStyle w:val="ListParagraph"/>
                              <w:numPr>
                                <w:ilvl w:val="0"/>
                                <w:numId w:val="6"/>
                              </w:numPr>
                              <w:rPr>
                                <w:rFonts w:ascii="Times New Roman" w:hAnsi="Times New Roman" w:cs="Times New Roman"/>
                                <w:sz w:val="24"/>
                              </w:rPr>
                            </w:pPr>
                            <w:r>
                              <w:rPr>
                                <w:rFonts w:ascii="Times New Roman" w:hAnsi="Times New Roman" w:cs="Times New Roman"/>
                                <w:sz w:val="24"/>
                              </w:rPr>
                              <w:t>Inference - many pupils find it difficult to infer meaning;</w:t>
                            </w:r>
                          </w:p>
                          <w:p>
                            <w:pPr>
                              <w:pStyle w:val="ListParagraph"/>
                              <w:numPr>
                                <w:ilvl w:val="0"/>
                                <w:numId w:val="6"/>
                              </w:numPr>
                            </w:pPr>
                            <w:r>
                              <w:rPr>
                                <w:rFonts w:ascii="Times New Roman" w:hAnsi="Times New Roman" w:cs="Times New Roman"/>
                                <w:sz w:val="24"/>
                              </w:rPr>
                              <w:t>Authorial intent – many pupils need to develop their understanding of authorial intent.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9pt;margin-top:.6pt;width:399.5pt;height:16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" strokecolor="white [3212]">
                <v:textbox>
                  <w:txbxContent>
                    <w:p w:rsidR="00CD52B1" w:rsidRPr="00DA3498" w:rsidRDefault="00CD52B1">
                      <w:pPr>
                        <w:ind w:firstLine="360"/>
                        <w:rPr>
                          <w:rFonts w:ascii="Times New Roman" w:hAnsi="Times New Roman" w:cs="Times New Roman"/>
                          <w:sz w:val="24"/>
                        </w:rPr>
                      </w:pPr>
                      <w:r w:rsidRPr="00DA3498">
                        <w:rPr>
                          <w:rFonts w:ascii="Times New Roman" w:hAnsi="Times New Roman" w:cs="Times New Roman"/>
                          <w:sz w:val="24"/>
                        </w:rPr>
                        <w:t>Monitoring demonstrates the need to develop -</w:t>
                      </w:r>
                    </w:p>
                    <w:p w:rsidR="00CD52B1" w:rsidRPr="00DA3498" w:rsidRDefault="00CD52B1">
                      <w:pPr>
                        <w:pStyle w:val="ListParagraph"/>
                        <w:numPr>
                          <w:ilvl w:val="0"/>
                          <w:numId w:val="6"/>
                        </w:numPr>
                        <w:rPr>
                          <w:rFonts w:ascii="Times New Roman" w:hAnsi="Times New Roman" w:cs="Times New Roman"/>
                          <w:sz w:val="24"/>
                        </w:rPr>
                      </w:pPr>
                      <w:r w:rsidRPr="00DA3498">
                        <w:rPr>
                          <w:rFonts w:ascii="Times New Roman" w:hAnsi="Times New Roman" w:cs="Times New Roman"/>
                          <w:sz w:val="24"/>
                        </w:rPr>
                        <w:t>Phonic skills - minority of pupils have phonic skills that hinder fluency and ability to self-correct;</w:t>
                      </w:r>
                    </w:p>
                    <w:p w:rsidR="00CD52B1" w:rsidRPr="00DA3498" w:rsidRDefault="00CD52B1">
                      <w:pPr>
                        <w:pStyle w:val="ListParagraph"/>
                        <w:numPr>
                          <w:ilvl w:val="0"/>
                          <w:numId w:val="6"/>
                        </w:numPr>
                        <w:rPr>
                          <w:rFonts w:ascii="Times New Roman" w:hAnsi="Times New Roman" w:cs="Times New Roman"/>
                          <w:sz w:val="24"/>
                        </w:rPr>
                      </w:pPr>
                      <w:r w:rsidRPr="00DA3498">
                        <w:rPr>
                          <w:rFonts w:ascii="Times New Roman" w:hAnsi="Times New Roman" w:cs="Times New Roman"/>
                          <w:sz w:val="24"/>
                        </w:rPr>
                        <w:t>Scanning – minority of pupils scan for information more effectively;</w:t>
                      </w:r>
                    </w:p>
                    <w:p w:rsidR="00CD52B1" w:rsidRPr="00DA3498" w:rsidRDefault="00CD52B1">
                      <w:pPr>
                        <w:pStyle w:val="ListParagraph"/>
                        <w:numPr>
                          <w:ilvl w:val="0"/>
                          <w:numId w:val="6"/>
                        </w:numPr>
                        <w:rPr>
                          <w:rFonts w:ascii="Times New Roman" w:hAnsi="Times New Roman" w:cs="Times New Roman"/>
                          <w:sz w:val="24"/>
                        </w:rPr>
                      </w:pPr>
                      <w:r w:rsidRPr="00DA3498">
                        <w:rPr>
                          <w:rFonts w:ascii="Times New Roman" w:hAnsi="Times New Roman" w:cs="Times New Roman"/>
                          <w:sz w:val="24"/>
                        </w:rPr>
                        <w:t>Extended responses - many pupils need to improve their ability to give extended responses about the text they read, by referring to supporting evidence;</w:t>
                      </w:r>
                    </w:p>
                    <w:p w:rsidR="00CD52B1" w:rsidRPr="00DA3498" w:rsidRDefault="00CD52B1">
                      <w:pPr>
                        <w:pStyle w:val="ListParagraph"/>
                        <w:numPr>
                          <w:ilvl w:val="0"/>
                          <w:numId w:val="6"/>
                        </w:numPr>
                        <w:rPr>
                          <w:rFonts w:ascii="Times New Roman" w:hAnsi="Times New Roman" w:cs="Times New Roman"/>
                          <w:sz w:val="24"/>
                        </w:rPr>
                      </w:pPr>
                      <w:r w:rsidRPr="00DA3498">
                        <w:rPr>
                          <w:rFonts w:ascii="Times New Roman" w:hAnsi="Times New Roman" w:cs="Times New Roman"/>
                          <w:sz w:val="24"/>
                        </w:rPr>
                        <w:t>Inference - many pupils find it difficult to infer meaning;</w:t>
                      </w:r>
                    </w:p>
                    <w:p w:rsidR="00CD52B1" w:rsidRDefault="00CD52B1" w:rsidP="00E763A2">
                      <w:pPr>
                        <w:pStyle w:val="ListParagraph"/>
                        <w:numPr>
                          <w:ilvl w:val="0"/>
                          <w:numId w:val="6"/>
                        </w:numPr>
                      </w:pPr>
                      <w:r w:rsidRPr="00E763A2">
                        <w:rPr>
                          <w:rFonts w:ascii="Times New Roman" w:hAnsi="Times New Roman" w:cs="Times New Roman"/>
                          <w:sz w:val="24"/>
                        </w:rPr>
                        <w:t>Authorial intent – many pupils need to develop their und</w:t>
                      </w:r>
                      <w:r w:rsidR="00563C5B">
                        <w:rPr>
                          <w:rFonts w:ascii="Times New Roman" w:hAnsi="Times New Roman" w:cs="Times New Roman"/>
                          <w:sz w:val="24"/>
                        </w:rPr>
                        <w:t>erstanding of authorial intent.</w:t>
                      </w:r>
                    </w:p>
                  </w:txbxContent>
                </v:textbox>
              </v:shape>
            </w:pict>
          </mc:Fallback>
        </mc:AlternateContent>
      </w:r>
    </w:p>
    <w:p>
      <w:pPr>
        <w:spacing w:line="360" w:lineRule="auto"/>
        <w:ind w:firstLine="360"/>
        <w:rPr>
          <w:rFonts w:ascii="Times New Roman" w:hAnsi="Times New Roman" w:cs="Times New Roman"/>
          <w:sz w:val="24"/>
          <w:szCs w:val="24"/>
        </w:rPr>
      </w:pPr>
    </w:p>
    <w:p>
      <w:pPr>
        <w:spacing w:line="360" w:lineRule="auto"/>
        <w:ind w:firstLine="360"/>
        <w:rPr>
          <w:rFonts w:ascii="Times New Roman" w:hAnsi="Times New Roman" w:cs="Times New Roman"/>
          <w:sz w:val="24"/>
          <w:szCs w:val="24"/>
        </w:rPr>
      </w:pPr>
    </w:p>
    <w:p>
      <w:pPr>
        <w:spacing w:line="360" w:lineRule="auto"/>
        <w:ind w:firstLine="360"/>
        <w:rPr>
          <w:rFonts w:ascii="Times New Roman" w:hAnsi="Times New Roman" w:cs="Times New Roman"/>
          <w:sz w:val="24"/>
          <w:szCs w:val="24"/>
        </w:rPr>
      </w:pPr>
    </w:p>
    <w:p>
      <w:pPr>
        <w:spacing w:line="360" w:lineRule="auto"/>
        <w:ind w:firstLine="360"/>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jc w:val="right"/>
        <w:rPr>
          <w:rFonts w:ascii="Times New Roman" w:hAnsi="Times New Roman" w:cs="Times New Roman"/>
          <w:sz w:val="24"/>
          <w:szCs w:val="24"/>
        </w:rPr>
      </w:pPr>
      <w:r>
        <w:rPr>
          <w:rFonts w:ascii="Times New Roman" w:hAnsi="Times New Roman" w:cs="Times New Roman"/>
          <w:sz w:val="24"/>
          <w:szCs w:val="24"/>
        </w:rPr>
        <w:t>(School Improvement Plan, 2018, Priority 2. See Appendix 2)</w:t>
      </w:r>
    </w:p>
    <w:p>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This target was generated by concerns raised from national test data.  The data demonstrated that 36% of pupils had a reading age of six months or lower than their chronological age.  Certain areas of the national test data – in particular retrieval and inference skills were highlighted areas of development with scores 25% below that of the national average.  In response to this data, assessments and teaching to embed basic reading skills was included in the School Development Plan.     An inclusive approach was taken when discussing and implementing strategies and next steps to develop this area.   Procedures and strategies included </w:t>
      </w:r>
      <w:proofErr w:type="spellStart"/>
      <w:r>
        <w:rPr>
          <w:rFonts w:ascii="Times New Roman" w:hAnsi="Times New Roman" w:cs="Times New Roman"/>
          <w:sz w:val="24"/>
          <w:szCs w:val="24"/>
        </w:rPr>
        <w:t>Schonell</w:t>
      </w:r>
      <w:proofErr w:type="spellEnd"/>
      <w:r>
        <w:rPr>
          <w:rFonts w:ascii="Times New Roman" w:hAnsi="Times New Roman" w:cs="Times New Roman"/>
          <w:sz w:val="24"/>
          <w:szCs w:val="24"/>
        </w:rPr>
        <w:t xml:space="preserve"> reading assessments, reading interventions and IEPs, INCERTS assessments and pupil questionnaires.  </w:t>
      </w:r>
      <w:proofErr w:type="spellStart"/>
      <w:r>
        <w:rPr>
          <w:rFonts w:ascii="Times New Roman" w:hAnsi="Times New Roman" w:cs="Times New Roman"/>
          <w:sz w:val="24"/>
          <w:szCs w:val="24"/>
        </w:rPr>
        <w:t>Schonell</w:t>
      </w:r>
      <w:proofErr w:type="spellEnd"/>
      <w:r>
        <w:rPr>
          <w:rFonts w:ascii="Times New Roman" w:hAnsi="Times New Roman" w:cs="Times New Roman"/>
          <w:sz w:val="24"/>
          <w:szCs w:val="24"/>
        </w:rPr>
        <w:t xml:space="preserve"> reading assessments were carried out to score reading ages against chronological ages.  Reading schemes were implemented by support staff for pupils who are falling below their chronological reading ages to develop reading fluency and comprehension skills.  Pupil IEP discussions and questionnaires informed reading attitudes and activities in class.  INCERTS assessments highlighted an overview of each pupils reading skills and abilities at the beginning and end of the study, these assessments were also used to inform next steps.  From a personal perspective, I chose the area of reading interventions and strategies as I feel it is, and always has been, an essential part of all pupils’ education.  If pupils find difficulties in reading then, I believe it inhibits their access to other subject areas and experiences.  In my experience, most pupils want to try and be more independent: especially when reading.  When I began my teaching career, I decided</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to make this a priority within my classroom through individual activities, pair/group activities, IEP targets and integrated activities.  I believe these strategies will </w:t>
      </w:r>
      <w:r>
        <w:rPr>
          <w:rFonts w:ascii="Times New Roman" w:hAnsi="Times New Roman" w:cs="Times New Roman"/>
          <w:sz w:val="24"/>
          <w:szCs w:val="24"/>
        </w:rPr>
        <w:lastRenderedPageBreak/>
        <w:t xml:space="preserve">further develop the reading skills of all pupils, regardless of their needs and abilities, giving them the confidence to transfer skills to the best of their ability and feel a sense of achievement.    </w:t>
      </w:r>
    </w:p>
    <w:p>
      <w:pPr>
        <w:spacing w:line="360" w:lineRule="auto"/>
        <w:ind w:firstLine="360"/>
        <w:rPr>
          <w:rFonts w:ascii="Times New Roman" w:hAnsi="Times New Roman" w:cs="Times New Roman"/>
          <w:sz w:val="24"/>
          <w:szCs w:val="24"/>
        </w:rPr>
      </w:pPr>
    </w:p>
    <w:p>
      <w:pPr>
        <w:pStyle w:val="ListParagraph"/>
        <w:numPr>
          <w:ilvl w:val="0"/>
          <w:numId w:val="5"/>
        </w:num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Broader context.</w:t>
      </w:r>
    </w:p>
    <w:p>
      <w:pPr>
        <w:spacing w:line="360" w:lineRule="auto"/>
        <w:ind w:firstLine="360"/>
        <w:rPr>
          <w:rFonts w:ascii="Times New Roman" w:hAnsi="Times New Roman" w:cs="Times New Roman"/>
          <w:sz w:val="24"/>
          <w:szCs w:val="24"/>
        </w:rPr>
      </w:pPr>
      <w:r>
        <w:rPr>
          <w:rFonts w:ascii="Times New Roman" w:hAnsi="Times New Roman" w:cs="Times New Roman"/>
          <w:sz w:val="24"/>
          <w:szCs w:val="24"/>
        </w:rPr>
        <w:t>On a more national level, this chosen topic of reading interventions and strategies relates closely to that of inclusion and a child-centred approach, especially when concerning the education of pupils with Additional Learning Needs (ALN).  As a mainstream school with MLD specialist provisions, the school faces the challenge of ensuring all pupils; regardless of age, background, difficulty or disability access a learning environment suitable to their individual needs by the implementation of school resources and interventions through inclusion.   The Additional Learning Needs and Educational Tribunal Act published in 2018, states the following about pupils’ with ALN:</w:t>
      </w:r>
    </w:p>
    <w:p>
      <w:pPr>
        <w:autoSpaceDE w:val="0"/>
        <w:autoSpaceDN w:val="0"/>
        <w:adjustRightInd w:val="0"/>
        <w:spacing w:after="0" w:line="360" w:lineRule="auto"/>
        <w:jc w:val="center"/>
        <w:rPr>
          <w:rFonts w:ascii="Times New Roman" w:hAnsi="Times New Roman" w:cs="Times New Roman"/>
          <w:bCs/>
          <w:sz w:val="24"/>
          <w:szCs w:val="24"/>
        </w:rPr>
      </w:pPr>
      <w:r>
        <w:rPr>
          <w:rFonts w:ascii="Times New Roman" w:hAnsi="Times New Roman" w:cs="Times New Roman"/>
          <w:bCs/>
          <w:noProof/>
          <w:sz w:val="24"/>
          <w:szCs w:val="24"/>
          <w:lang w:eastAsia="en-GB"/>
        </w:rPr>
        <mc:AlternateContent>
          <mc:Choice Requires="wps">
            <w:drawing>
              <wp:anchor distT="45720" distB="45720" distL="114300" distR="114300" simplePos="0" relativeHeight="251659264" behindDoc="0" locked="0" layoutInCell="1" allowOverlap="1">
                <wp:simplePos x="0" y="0"/>
                <wp:positionH relativeFrom="margin">
                  <wp:posOffset>114300</wp:posOffset>
                </wp:positionH>
                <wp:positionV relativeFrom="paragraph">
                  <wp:posOffset>1270</wp:posOffset>
                </wp:positionV>
                <wp:extent cx="5380892" cy="3048000"/>
                <wp:effectExtent l="0" t="0" r="1079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80892" cy="3048000"/>
                        </a:xfrm>
                        <a:prstGeom prst="rect">
                          <a:avLst/>
                        </a:prstGeom>
                        <a:solidFill>
                          <a:srgbClr val="FFFFFF"/>
                        </a:solidFill>
                        <a:ln w="9525">
                          <a:solidFill>
                            <a:schemeClr val="bg1"/>
                          </a:solidFill>
                          <a:miter lim="800000"/>
                          <a:headEnd/>
                          <a:tailEnd/>
                        </a:ln>
                      </wps:spPr>
                      <wps:txbx>
                        <w:txbxContent>
                          <w:p>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52 Children with Additional Learning Needs in mainstream maintained schools</w:t>
                            </w:r>
                          </w:p>
                          <w:p>
                            <w:pPr>
                              <w:autoSpaceDE w:val="0"/>
                              <w:autoSpaceDN w:val="0"/>
                              <w:adjustRightInd w:val="0"/>
                              <w:spacing w:after="0" w:line="240" w:lineRule="auto"/>
                              <w:rPr>
                                <w:rFonts w:ascii="Times New Roman" w:hAnsi="Times New Roman" w:cs="Times New Roman"/>
                                <w:sz w:val="24"/>
                                <w:szCs w:val="24"/>
                              </w:rPr>
                            </w:pPr>
                          </w:p>
                          <w:p>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(1) Where a child with additional learning needs is being educated in a mainstream maintained school in Wales, those concerned with making additional learning provision for the child must secure that the child engages in the activities of the school together with children who do not have additional learning needs.</w:t>
                            </w:r>
                          </w:p>
                          <w:p>
                            <w:pPr>
                              <w:autoSpaceDE w:val="0"/>
                              <w:autoSpaceDN w:val="0"/>
                              <w:adjustRightInd w:val="0"/>
                              <w:spacing w:after="0" w:line="240" w:lineRule="auto"/>
                              <w:rPr>
                                <w:rFonts w:ascii="Times New Roman" w:hAnsi="Times New Roman" w:cs="Times New Roman"/>
                                <w:sz w:val="24"/>
                                <w:szCs w:val="24"/>
                              </w:rPr>
                            </w:pPr>
                          </w:p>
                          <w:p>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(2) The duty in subsection (1) applies only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far as is reasonably practicable and compatible</w:t>
                            </w:r>
                          </w:p>
                          <w:p>
                            <w:pPr>
                              <w:autoSpaceDE w:val="0"/>
                              <w:autoSpaceDN w:val="0"/>
                              <w:adjustRightInd w:val="0"/>
                              <w:spacing w:after="0" w:line="240" w:lineRule="auto"/>
                              <w:rPr>
                                <w:rFonts w:ascii="Times New Roman" w:hAnsi="Times New Roman" w:cs="Times New Roman"/>
                                <w:sz w:val="24"/>
                                <w:szCs w:val="24"/>
                              </w:rPr>
                            </w:pPr>
                            <w:proofErr w:type="gramStart"/>
                            <w:r>
                              <w:rPr>
                                <w:rFonts w:ascii="Times New Roman" w:hAnsi="Times New Roman" w:cs="Times New Roman"/>
                                <w:sz w:val="24"/>
                                <w:szCs w:val="24"/>
                              </w:rPr>
                              <w:t>with</w:t>
                            </w:r>
                            <w:proofErr w:type="gramEnd"/>
                            <w:r>
                              <w:rPr>
                                <w:rFonts w:ascii="Times New Roman" w:hAnsi="Times New Roman" w:cs="Times New Roman"/>
                                <w:sz w:val="24"/>
                                <w:szCs w:val="24"/>
                              </w:rPr>
                              <w:t>—</w:t>
                            </w:r>
                          </w:p>
                          <w:p>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(a)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child receiving the additional learning provision called for by his or her additional learning needs,</w:t>
                            </w:r>
                          </w:p>
                          <w:p>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(b)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provision of efficient education for the children with whom he or she will be educated, and</w:t>
                            </w:r>
                          </w:p>
                          <w:p>
                            <w:pPr>
                              <w:rPr>
                                <w:rFonts w:ascii="Times New Roman" w:hAnsi="Times New Roman" w:cs="Times New Roman"/>
                                <w:sz w:val="24"/>
                                <w:szCs w:val="24"/>
                              </w:rPr>
                            </w:pPr>
                            <w:r>
                              <w:rPr>
                                <w:rFonts w:ascii="Times New Roman" w:hAnsi="Times New Roman" w:cs="Times New Roman"/>
                                <w:sz w:val="24"/>
                                <w:szCs w:val="24"/>
                              </w:rPr>
                              <w:t>(c) the efficient use of resources.</w:t>
                            </w:r>
                          </w:p>
                          <w:p>
                            <w:pPr>
                              <w:jc w:val="right"/>
                              <w:rPr>
                                <w:rFonts w:ascii="Times New Roman" w:hAnsi="Times New Roman" w:cs="Times New Roman"/>
                                <w:sz w:val="24"/>
                                <w:szCs w:val="24"/>
                                <w:highlight w:val="yellow"/>
                              </w:rPr>
                            </w:pPr>
                            <w:r>
                              <w:rPr>
                                <w:rFonts w:ascii="Times New Roman" w:hAnsi="Times New Roman" w:cs="Times New Roman"/>
                                <w:sz w:val="24"/>
                                <w:szCs w:val="24"/>
                              </w:rPr>
                              <w:t>(Welsh Assembly Government, 2018, p. 45)</w:t>
                            </w:r>
                            <w:r>
                              <w:rPr>
                                <w:rFonts w:ascii="Times New Roman" w:hAnsi="Times New Roman" w:cs="Times New Roman"/>
                                <w:sz w:val="24"/>
                                <w:szCs w:val="24"/>
                                <w:highlight w:val="yellow"/>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7" type="#_x0000_t202" style="position:absolute;left:0;text-align:left;margin-left:9pt;margin-top:.1pt;width:423.7pt;height:240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" strokecolor="white [3212]">
                <v:textbox>
                  <w:txbxContent>
                    <w:p w:rsidR="00CD52B1" w:rsidRPr="00DA3498" w:rsidRDefault="00CD52B1">
                      <w:pPr>
                        <w:autoSpaceDE w:val="0"/>
                        <w:autoSpaceDN w:val="0"/>
                        <w:adjustRightInd w:val="0"/>
                        <w:spacing w:after="0" w:line="240" w:lineRule="auto"/>
                        <w:rPr>
                          <w:rFonts w:ascii="Times New Roman" w:hAnsi="Times New Roman" w:cs="Times New Roman"/>
                          <w:sz w:val="24"/>
                          <w:szCs w:val="24"/>
                        </w:rPr>
                      </w:pPr>
                      <w:r w:rsidRPr="00DA3498">
                        <w:rPr>
                          <w:rFonts w:ascii="Times New Roman" w:hAnsi="Times New Roman" w:cs="Times New Roman"/>
                          <w:sz w:val="24"/>
                          <w:szCs w:val="24"/>
                        </w:rPr>
                        <w:t xml:space="preserve">52 Children </w:t>
                      </w:r>
                      <w:r>
                        <w:rPr>
                          <w:rFonts w:ascii="Times New Roman" w:hAnsi="Times New Roman" w:cs="Times New Roman"/>
                          <w:sz w:val="24"/>
                          <w:szCs w:val="24"/>
                        </w:rPr>
                        <w:t>w</w:t>
                      </w:r>
                      <w:r w:rsidRPr="00DA3498">
                        <w:rPr>
                          <w:rFonts w:ascii="Times New Roman" w:hAnsi="Times New Roman" w:cs="Times New Roman"/>
                          <w:sz w:val="24"/>
                          <w:szCs w:val="24"/>
                        </w:rPr>
                        <w:t>ith Additional Learning Needs in mainstream maintained schools</w:t>
                      </w:r>
                    </w:p>
                    <w:p w:rsidR="00CD52B1" w:rsidRPr="00DA3498" w:rsidRDefault="00CD52B1">
                      <w:pPr>
                        <w:autoSpaceDE w:val="0"/>
                        <w:autoSpaceDN w:val="0"/>
                        <w:adjustRightInd w:val="0"/>
                        <w:spacing w:after="0" w:line="240" w:lineRule="auto"/>
                        <w:rPr>
                          <w:rFonts w:ascii="Times New Roman" w:hAnsi="Times New Roman" w:cs="Times New Roman"/>
                          <w:sz w:val="24"/>
                          <w:szCs w:val="24"/>
                        </w:rPr>
                      </w:pPr>
                    </w:p>
                    <w:p w:rsidR="00CD52B1" w:rsidRPr="00DA3498" w:rsidRDefault="00CD52B1">
                      <w:pPr>
                        <w:autoSpaceDE w:val="0"/>
                        <w:autoSpaceDN w:val="0"/>
                        <w:adjustRightInd w:val="0"/>
                        <w:spacing w:after="0" w:line="240" w:lineRule="auto"/>
                        <w:rPr>
                          <w:rFonts w:ascii="Times New Roman" w:hAnsi="Times New Roman" w:cs="Times New Roman"/>
                          <w:sz w:val="24"/>
                          <w:szCs w:val="24"/>
                        </w:rPr>
                      </w:pPr>
                      <w:r w:rsidRPr="00DA3498">
                        <w:rPr>
                          <w:rFonts w:ascii="Times New Roman" w:hAnsi="Times New Roman" w:cs="Times New Roman"/>
                          <w:sz w:val="24"/>
                          <w:szCs w:val="24"/>
                        </w:rPr>
                        <w:t>(1) Where a child with additional learning needs is being educated in a mainstream maintained school in Wales, those concerned with making additional learning provision for the child must secure that the child engages in the activities of the school together with children who do not have additional learning needs.</w:t>
                      </w:r>
                    </w:p>
                    <w:p w:rsidR="00CD52B1" w:rsidRPr="00DA3498" w:rsidRDefault="00CD52B1">
                      <w:pPr>
                        <w:autoSpaceDE w:val="0"/>
                        <w:autoSpaceDN w:val="0"/>
                        <w:adjustRightInd w:val="0"/>
                        <w:spacing w:after="0" w:line="240" w:lineRule="auto"/>
                        <w:rPr>
                          <w:rFonts w:ascii="Times New Roman" w:hAnsi="Times New Roman" w:cs="Times New Roman"/>
                          <w:sz w:val="24"/>
                          <w:szCs w:val="24"/>
                        </w:rPr>
                      </w:pPr>
                    </w:p>
                    <w:p w:rsidR="00CD52B1" w:rsidRPr="00DA3498" w:rsidRDefault="00CD52B1">
                      <w:pPr>
                        <w:autoSpaceDE w:val="0"/>
                        <w:autoSpaceDN w:val="0"/>
                        <w:adjustRightInd w:val="0"/>
                        <w:spacing w:after="0" w:line="240" w:lineRule="auto"/>
                        <w:rPr>
                          <w:rFonts w:ascii="Times New Roman" w:hAnsi="Times New Roman" w:cs="Times New Roman"/>
                          <w:sz w:val="24"/>
                          <w:szCs w:val="24"/>
                        </w:rPr>
                      </w:pPr>
                      <w:r w:rsidRPr="00DA3498">
                        <w:rPr>
                          <w:rFonts w:ascii="Times New Roman" w:hAnsi="Times New Roman" w:cs="Times New Roman"/>
                          <w:sz w:val="24"/>
                          <w:szCs w:val="24"/>
                        </w:rPr>
                        <w:t xml:space="preserve">(2) The duty in subsection (1) applies only </w:t>
                      </w:r>
                      <w:proofErr w:type="gramStart"/>
                      <w:r w:rsidRPr="00DA3498">
                        <w:rPr>
                          <w:rFonts w:ascii="Times New Roman" w:hAnsi="Times New Roman" w:cs="Times New Roman"/>
                          <w:sz w:val="24"/>
                          <w:szCs w:val="24"/>
                        </w:rPr>
                        <w:t>so</w:t>
                      </w:r>
                      <w:proofErr w:type="gramEnd"/>
                      <w:r w:rsidRPr="00DA3498">
                        <w:rPr>
                          <w:rFonts w:ascii="Times New Roman" w:hAnsi="Times New Roman" w:cs="Times New Roman"/>
                          <w:sz w:val="24"/>
                          <w:szCs w:val="24"/>
                        </w:rPr>
                        <w:t xml:space="preserve"> far as is reasonably practicable and compatible</w:t>
                      </w:r>
                    </w:p>
                    <w:p w:rsidR="00CD52B1" w:rsidRPr="00DA3498" w:rsidRDefault="00CD52B1">
                      <w:pPr>
                        <w:autoSpaceDE w:val="0"/>
                        <w:autoSpaceDN w:val="0"/>
                        <w:adjustRightInd w:val="0"/>
                        <w:spacing w:after="0" w:line="240" w:lineRule="auto"/>
                        <w:rPr>
                          <w:rFonts w:ascii="Times New Roman" w:hAnsi="Times New Roman" w:cs="Times New Roman"/>
                          <w:sz w:val="24"/>
                          <w:szCs w:val="24"/>
                        </w:rPr>
                      </w:pPr>
                      <w:proofErr w:type="gramStart"/>
                      <w:r w:rsidRPr="00DA3498">
                        <w:rPr>
                          <w:rFonts w:ascii="Times New Roman" w:hAnsi="Times New Roman" w:cs="Times New Roman"/>
                          <w:sz w:val="24"/>
                          <w:szCs w:val="24"/>
                        </w:rPr>
                        <w:t>with</w:t>
                      </w:r>
                      <w:proofErr w:type="gramEnd"/>
                      <w:r w:rsidRPr="00DA3498">
                        <w:rPr>
                          <w:rFonts w:ascii="Times New Roman" w:hAnsi="Times New Roman" w:cs="Times New Roman"/>
                          <w:sz w:val="24"/>
                          <w:szCs w:val="24"/>
                        </w:rPr>
                        <w:t>—</w:t>
                      </w:r>
                    </w:p>
                    <w:p w:rsidR="00CD52B1" w:rsidRPr="00DA3498" w:rsidRDefault="00CD52B1">
                      <w:pPr>
                        <w:autoSpaceDE w:val="0"/>
                        <w:autoSpaceDN w:val="0"/>
                        <w:adjustRightInd w:val="0"/>
                        <w:spacing w:after="0" w:line="240" w:lineRule="auto"/>
                        <w:rPr>
                          <w:rFonts w:ascii="Times New Roman" w:hAnsi="Times New Roman" w:cs="Times New Roman"/>
                          <w:sz w:val="24"/>
                          <w:szCs w:val="24"/>
                        </w:rPr>
                      </w:pPr>
                      <w:r w:rsidRPr="00DA3498">
                        <w:rPr>
                          <w:rFonts w:ascii="Times New Roman" w:hAnsi="Times New Roman" w:cs="Times New Roman"/>
                          <w:sz w:val="24"/>
                          <w:szCs w:val="24"/>
                        </w:rPr>
                        <w:t xml:space="preserve">(a) </w:t>
                      </w:r>
                      <w:proofErr w:type="gramStart"/>
                      <w:r w:rsidRPr="00DA3498">
                        <w:rPr>
                          <w:rFonts w:ascii="Times New Roman" w:hAnsi="Times New Roman" w:cs="Times New Roman"/>
                          <w:sz w:val="24"/>
                          <w:szCs w:val="24"/>
                        </w:rPr>
                        <w:t>the</w:t>
                      </w:r>
                      <w:proofErr w:type="gramEnd"/>
                      <w:r w:rsidRPr="00DA3498">
                        <w:rPr>
                          <w:rFonts w:ascii="Times New Roman" w:hAnsi="Times New Roman" w:cs="Times New Roman"/>
                          <w:sz w:val="24"/>
                          <w:szCs w:val="24"/>
                        </w:rPr>
                        <w:t xml:space="preserve"> child receiving the additional learning provision called for by his or her additional learning needs,</w:t>
                      </w:r>
                    </w:p>
                    <w:p w:rsidR="00CD52B1" w:rsidRPr="00DA3498" w:rsidRDefault="00CD52B1">
                      <w:pPr>
                        <w:autoSpaceDE w:val="0"/>
                        <w:autoSpaceDN w:val="0"/>
                        <w:adjustRightInd w:val="0"/>
                        <w:spacing w:after="0" w:line="240" w:lineRule="auto"/>
                        <w:rPr>
                          <w:rFonts w:ascii="Times New Roman" w:hAnsi="Times New Roman" w:cs="Times New Roman"/>
                          <w:sz w:val="24"/>
                          <w:szCs w:val="24"/>
                        </w:rPr>
                      </w:pPr>
                      <w:r w:rsidRPr="00DA3498">
                        <w:rPr>
                          <w:rFonts w:ascii="Times New Roman" w:hAnsi="Times New Roman" w:cs="Times New Roman"/>
                          <w:sz w:val="24"/>
                          <w:szCs w:val="24"/>
                        </w:rPr>
                        <w:t xml:space="preserve">(b) </w:t>
                      </w:r>
                      <w:proofErr w:type="gramStart"/>
                      <w:r w:rsidRPr="00DA3498">
                        <w:rPr>
                          <w:rFonts w:ascii="Times New Roman" w:hAnsi="Times New Roman" w:cs="Times New Roman"/>
                          <w:sz w:val="24"/>
                          <w:szCs w:val="24"/>
                        </w:rPr>
                        <w:t>the</w:t>
                      </w:r>
                      <w:proofErr w:type="gramEnd"/>
                      <w:r w:rsidRPr="00DA3498">
                        <w:rPr>
                          <w:rFonts w:ascii="Times New Roman" w:hAnsi="Times New Roman" w:cs="Times New Roman"/>
                          <w:sz w:val="24"/>
                          <w:szCs w:val="24"/>
                        </w:rPr>
                        <w:t xml:space="preserve"> provision of efficient education for the children with whom he or she will be educated, and</w:t>
                      </w:r>
                    </w:p>
                    <w:p w:rsidR="00CD52B1" w:rsidRPr="00DA3498" w:rsidRDefault="00CD52B1">
                      <w:pPr>
                        <w:rPr>
                          <w:rFonts w:ascii="Times New Roman" w:hAnsi="Times New Roman" w:cs="Times New Roman"/>
                          <w:sz w:val="24"/>
                          <w:szCs w:val="24"/>
                        </w:rPr>
                      </w:pPr>
                      <w:r w:rsidRPr="00DA3498">
                        <w:rPr>
                          <w:rFonts w:ascii="Times New Roman" w:hAnsi="Times New Roman" w:cs="Times New Roman"/>
                          <w:sz w:val="24"/>
                          <w:szCs w:val="24"/>
                        </w:rPr>
                        <w:t>(c) the efficient use of resources.</w:t>
                      </w:r>
                    </w:p>
                    <w:p w:rsidR="00CD52B1" w:rsidRPr="00D351AA" w:rsidRDefault="00CD52B1" w:rsidP="00005FF2">
                      <w:pPr>
                        <w:jc w:val="right"/>
                        <w:rPr>
                          <w:rFonts w:ascii="Times New Roman" w:hAnsi="Times New Roman" w:cs="Times New Roman"/>
                          <w:sz w:val="24"/>
                          <w:szCs w:val="24"/>
                          <w:highlight w:val="yellow"/>
                        </w:rPr>
                      </w:pPr>
                      <w:r w:rsidRPr="00D351AA">
                        <w:rPr>
                          <w:rFonts w:ascii="Times New Roman" w:hAnsi="Times New Roman" w:cs="Times New Roman"/>
                          <w:sz w:val="24"/>
                          <w:szCs w:val="24"/>
                        </w:rPr>
                        <w:t>(</w:t>
                      </w:r>
                      <w:r>
                        <w:rPr>
                          <w:rFonts w:ascii="Times New Roman" w:hAnsi="Times New Roman" w:cs="Times New Roman"/>
                          <w:sz w:val="24"/>
                          <w:szCs w:val="24"/>
                        </w:rPr>
                        <w:t xml:space="preserve">Welsh </w:t>
                      </w:r>
                      <w:r w:rsidR="005B750D">
                        <w:rPr>
                          <w:rFonts w:ascii="Times New Roman" w:hAnsi="Times New Roman" w:cs="Times New Roman"/>
                          <w:sz w:val="24"/>
                          <w:szCs w:val="24"/>
                        </w:rPr>
                        <w:t xml:space="preserve">Assembly </w:t>
                      </w:r>
                      <w:r w:rsidR="005B3879">
                        <w:rPr>
                          <w:rFonts w:ascii="Times New Roman" w:hAnsi="Times New Roman" w:cs="Times New Roman"/>
                          <w:sz w:val="24"/>
                          <w:szCs w:val="24"/>
                        </w:rPr>
                        <w:t>Government,</w:t>
                      </w:r>
                      <w:r w:rsidRPr="00D351AA">
                        <w:rPr>
                          <w:rFonts w:ascii="Times New Roman" w:hAnsi="Times New Roman" w:cs="Times New Roman"/>
                          <w:sz w:val="24"/>
                          <w:szCs w:val="24"/>
                        </w:rPr>
                        <w:t xml:space="preserve"> 2018, </w:t>
                      </w:r>
                      <w:r>
                        <w:rPr>
                          <w:rFonts w:ascii="Times New Roman" w:hAnsi="Times New Roman" w:cs="Times New Roman"/>
                          <w:sz w:val="24"/>
                          <w:szCs w:val="24"/>
                        </w:rPr>
                        <w:t>p</w:t>
                      </w:r>
                      <w:r w:rsidR="00EF1C12">
                        <w:rPr>
                          <w:rFonts w:ascii="Times New Roman" w:hAnsi="Times New Roman" w:cs="Times New Roman"/>
                          <w:sz w:val="24"/>
                          <w:szCs w:val="24"/>
                        </w:rPr>
                        <w:t xml:space="preserve">. </w:t>
                      </w:r>
                      <w:bookmarkStart w:id="1" w:name="_GoBack"/>
                      <w:bookmarkEnd w:id="1"/>
                      <w:r>
                        <w:rPr>
                          <w:rFonts w:ascii="Times New Roman" w:hAnsi="Times New Roman" w:cs="Times New Roman"/>
                          <w:sz w:val="24"/>
                          <w:szCs w:val="24"/>
                        </w:rPr>
                        <w:t>45</w:t>
                      </w:r>
                      <w:r w:rsidRPr="00D351AA">
                        <w:rPr>
                          <w:rFonts w:ascii="Times New Roman" w:hAnsi="Times New Roman" w:cs="Times New Roman"/>
                          <w:sz w:val="24"/>
                          <w:szCs w:val="24"/>
                        </w:rPr>
                        <w:t>)</w:t>
                      </w:r>
                      <w:r w:rsidRPr="00D351AA">
                        <w:rPr>
                          <w:rFonts w:ascii="Times New Roman" w:hAnsi="Times New Roman" w:cs="Times New Roman"/>
                          <w:sz w:val="24"/>
                          <w:szCs w:val="24"/>
                          <w:highlight w:val="yellow"/>
                        </w:rPr>
                        <w:t xml:space="preserve"> </w:t>
                      </w:r>
                    </w:p>
                  </w:txbxContent>
                </v:textbox>
                <w10:wrap anchorx="margin"/>
              </v:shape>
            </w:pict>
          </mc:Fallback>
        </mc:AlternateContent>
      </w:r>
    </w:p>
    <w:p>
      <w:pPr>
        <w:autoSpaceDE w:val="0"/>
        <w:autoSpaceDN w:val="0"/>
        <w:adjustRightInd w:val="0"/>
        <w:spacing w:after="0" w:line="360" w:lineRule="auto"/>
        <w:jc w:val="center"/>
        <w:rPr>
          <w:rFonts w:ascii="Times New Roman" w:hAnsi="Times New Roman" w:cs="Times New Roman"/>
          <w:bCs/>
          <w:sz w:val="24"/>
          <w:szCs w:val="24"/>
        </w:rPr>
      </w:pPr>
    </w:p>
    <w:p>
      <w:pPr>
        <w:autoSpaceDE w:val="0"/>
        <w:autoSpaceDN w:val="0"/>
        <w:adjustRightInd w:val="0"/>
        <w:spacing w:after="0" w:line="360" w:lineRule="auto"/>
        <w:jc w:val="center"/>
        <w:rPr>
          <w:rFonts w:ascii="Times New Roman" w:hAnsi="Times New Roman" w:cs="Times New Roman"/>
          <w:bCs/>
          <w:sz w:val="24"/>
          <w:szCs w:val="24"/>
        </w:rPr>
      </w:pPr>
    </w:p>
    <w:p>
      <w:pPr>
        <w:autoSpaceDE w:val="0"/>
        <w:autoSpaceDN w:val="0"/>
        <w:adjustRightInd w:val="0"/>
        <w:spacing w:after="0" w:line="360" w:lineRule="auto"/>
        <w:jc w:val="center"/>
        <w:rPr>
          <w:rFonts w:ascii="Times New Roman" w:hAnsi="Times New Roman" w:cs="Times New Roman"/>
          <w:bCs/>
          <w:sz w:val="24"/>
          <w:szCs w:val="24"/>
        </w:rPr>
      </w:pPr>
    </w:p>
    <w:p>
      <w:pPr>
        <w:autoSpaceDE w:val="0"/>
        <w:autoSpaceDN w:val="0"/>
        <w:adjustRightInd w:val="0"/>
        <w:spacing w:after="0" w:line="360" w:lineRule="auto"/>
        <w:jc w:val="center"/>
        <w:rPr>
          <w:rFonts w:ascii="Times New Roman" w:hAnsi="Times New Roman" w:cs="Times New Roman"/>
          <w:bCs/>
          <w:sz w:val="24"/>
          <w:szCs w:val="24"/>
        </w:rPr>
      </w:pPr>
    </w:p>
    <w:p>
      <w:pPr>
        <w:autoSpaceDE w:val="0"/>
        <w:autoSpaceDN w:val="0"/>
        <w:adjustRightInd w:val="0"/>
        <w:spacing w:after="0" w:line="360" w:lineRule="auto"/>
        <w:jc w:val="center"/>
        <w:rPr>
          <w:rFonts w:ascii="Times New Roman" w:hAnsi="Times New Roman" w:cs="Times New Roman"/>
          <w:bCs/>
          <w:sz w:val="24"/>
          <w:szCs w:val="24"/>
        </w:rPr>
      </w:pPr>
    </w:p>
    <w:p>
      <w:pPr>
        <w:autoSpaceDE w:val="0"/>
        <w:autoSpaceDN w:val="0"/>
        <w:adjustRightInd w:val="0"/>
        <w:spacing w:after="0" w:line="360" w:lineRule="auto"/>
        <w:jc w:val="center"/>
        <w:rPr>
          <w:rFonts w:ascii="Times New Roman" w:hAnsi="Times New Roman" w:cs="Times New Roman"/>
          <w:bCs/>
          <w:sz w:val="24"/>
          <w:szCs w:val="24"/>
        </w:rPr>
      </w:pPr>
    </w:p>
    <w:p>
      <w:pPr>
        <w:autoSpaceDE w:val="0"/>
        <w:autoSpaceDN w:val="0"/>
        <w:adjustRightInd w:val="0"/>
        <w:spacing w:after="0" w:line="360" w:lineRule="auto"/>
        <w:jc w:val="center"/>
        <w:rPr>
          <w:rFonts w:ascii="Times New Roman" w:hAnsi="Times New Roman" w:cs="Times New Roman"/>
          <w:bCs/>
          <w:sz w:val="24"/>
          <w:szCs w:val="24"/>
        </w:rPr>
      </w:pPr>
    </w:p>
    <w:p>
      <w:pPr>
        <w:autoSpaceDE w:val="0"/>
        <w:autoSpaceDN w:val="0"/>
        <w:adjustRightInd w:val="0"/>
        <w:spacing w:after="0" w:line="360" w:lineRule="auto"/>
        <w:jc w:val="center"/>
        <w:rPr>
          <w:rFonts w:ascii="Times New Roman" w:hAnsi="Times New Roman" w:cs="Times New Roman"/>
          <w:bCs/>
          <w:sz w:val="24"/>
          <w:szCs w:val="24"/>
        </w:rPr>
      </w:pPr>
    </w:p>
    <w:p>
      <w:pPr>
        <w:autoSpaceDE w:val="0"/>
        <w:autoSpaceDN w:val="0"/>
        <w:adjustRightInd w:val="0"/>
        <w:spacing w:after="0" w:line="360" w:lineRule="auto"/>
        <w:jc w:val="center"/>
        <w:rPr>
          <w:rFonts w:ascii="Times New Roman" w:hAnsi="Times New Roman" w:cs="Times New Roman"/>
          <w:bCs/>
          <w:sz w:val="24"/>
          <w:szCs w:val="24"/>
        </w:rPr>
      </w:pPr>
    </w:p>
    <w:p>
      <w:pPr>
        <w:autoSpaceDE w:val="0"/>
        <w:autoSpaceDN w:val="0"/>
        <w:adjustRightInd w:val="0"/>
        <w:spacing w:after="0" w:line="360" w:lineRule="auto"/>
        <w:jc w:val="center"/>
        <w:rPr>
          <w:rFonts w:ascii="Times New Roman" w:hAnsi="Times New Roman" w:cs="Times New Roman"/>
          <w:bCs/>
          <w:sz w:val="24"/>
          <w:szCs w:val="24"/>
        </w:rPr>
      </w:pPr>
    </w:p>
    <w:p>
      <w:pPr>
        <w:autoSpaceDE w:val="0"/>
        <w:autoSpaceDN w:val="0"/>
        <w:adjustRightInd w:val="0"/>
        <w:spacing w:after="0" w:line="360" w:lineRule="auto"/>
        <w:jc w:val="center"/>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r>
        <w:rPr>
          <w:rFonts w:ascii="Times New Roman" w:hAnsi="Times New Roman" w:cs="Times New Roman"/>
          <w:bCs/>
          <w:sz w:val="24"/>
          <w:szCs w:val="24"/>
        </w:rPr>
        <w:t>In support of this, the schools’ ALN policy clearly states that:</w:t>
      </w:r>
    </w:p>
    <w:p>
      <w:pPr>
        <w:autoSpaceDE w:val="0"/>
        <w:autoSpaceDN w:val="0"/>
        <w:adjustRightInd w:val="0"/>
        <w:spacing w:after="0" w:line="360" w:lineRule="auto"/>
        <w:rPr>
          <w:rFonts w:ascii="Times New Roman" w:hAnsi="Times New Roman" w:cs="Times New Roman"/>
          <w:bCs/>
          <w:sz w:val="24"/>
          <w:szCs w:val="24"/>
        </w:rPr>
      </w:pPr>
      <w:r>
        <w:rPr>
          <w:rFonts w:ascii="Times New Roman" w:hAnsi="Times New Roman" w:cs="Times New Roman"/>
          <w:bCs/>
          <w:noProof/>
          <w:sz w:val="24"/>
          <w:szCs w:val="24"/>
          <w:lang w:eastAsia="en-GB"/>
        </w:rPr>
        <mc:AlternateContent>
          <mc:Choice Requires="wps">
            <w:drawing>
              <wp:anchor distT="45720" distB="45720" distL="114300" distR="114300" simplePos="0" relativeHeight="251661312" behindDoc="0" locked="0" layoutInCell="1" allowOverlap="1">
                <wp:simplePos x="0" y="0"/>
                <wp:positionH relativeFrom="margin">
                  <wp:posOffset>501650</wp:posOffset>
                </wp:positionH>
                <wp:positionV relativeFrom="paragraph">
                  <wp:posOffset>76200</wp:posOffset>
                </wp:positionV>
                <wp:extent cx="5111750" cy="1588770"/>
                <wp:effectExtent l="0" t="0" r="12700" b="2603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1750" cy="1588770"/>
                        </a:xfrm>
                        <a:prstGeom prst="rect">
                          <a:avLst/>
                        </a:prstGeom>
                        <a:noFill/>
                        <a:ln w="9525">
                          <a:solidFill>
                            <a:schemeClr val="bg1"/>
                          </a:solidFill>
                          <a:miter lim="800000"/>
                          <a:headEnd/>
                          <a:tailEnd/>
                        </a:ln>
                      </wps:spPr>
                      <wps:txbx>
                        <w:txbxContent>
                          <w:p>
                            <w:pPr>
                              <w:pStyle w:val="paragraph"/>
                              <w:textAlignment w:val="baseline"/>
                              <w:rPr>
                                <w:lang w:val="en-US"/>
                              </w:rPr>
                            </w:pPr>
                            <w:r>
                              <w:rPr>
                                <w:rStyle w:val="normaltextrun1"/>
                              </w:rPr>
                              <w:t xml:space="preserve">We endeavour to </w:t>
                            </w:r>
                            <w:r>
                              <w:rPr>
                                <w:rStyle w:val="contextualspellingandgrammarerror"/>
                              </w:rPr>
                              <w:t>provide:-</w:t>
                            </w:r>
                            <w:r>
                              <w:rPr>
                                <w:rStyle w:val="eop"/>
                                <w:lang w:val="en-US"/>
                              </w:rPr>
                              <w:t> </w:t>
                            </w:r>
                          </w:p>
                          <w:p>
                            <w:pPr>
                              <w:pStyle w:val="paragraph"/>
                              <w:numPr>
                                <w:ilvl w:val="0"/>
                                <w:numId w:val="1"/>
                              </w:numPr>
                              <w:ind w:left="360" w:firstLine="0"/>
                              <w:textAlignment w:val="baseline"/>
                              <w:rPr>
                                <w:lang w:val="en-US"/>
                              </w:rPr>
                            </w:pPr>
                            <w:r>
                              <w:rPr>
                                <w:rStyle w:val="normaltextrun1"/>
                              </w:rPr>
                              <w:t>accessibility of materials across year groups to enable pupils to work at an appropriate level, be it higher or lower than that of the peer group</w:t>
                            </w:r>
                            <w:r>
                              <w:rPr>
                                <w:rStyle w:val="eop"/>
                                <w:lang w:val="en-US"/>
                              </w:rPr>
                              <w:t> </w:t>
                            </w:r>
                          </w:p>
                          <w:p>
                            <w:pPr>
                              <w:pStyle w:val="paragraph"/>
                              <w:numPr>
                                <w:ilvl w:val="0"/>
                                <w:numId w:val="1"/>
                              </w:numPr>
                              <w:ind w:left="360" w:firstLine="0"/>
                              <w:textAlignment w:val="baseline"/>
                              <w:rPr>
                                <w:lang w:val="en-US"/>
                              </w:rPr>
                            </w:pPr>
                            <w:r>
                              <w:rPr>
                                <w:rStyle w:val="normaltextrun1"/>
                              </w:rPr>
                              <w:t>Accessibility of resources</w:t>
                            </w:r>
                            <w:r>
                              <w:rPr>
                                <w:rStyle w:val="eop"/>
                                <w:lang w:val="en-US"/>
                              </w:rPr>
                              <w:t> </w:t>
                            </w:r>
                          </w:p>
                          <w:p>
                            <w:pPr>
                              <w:pStyle w:val="paragraph"/>
                              <w:numPr>
                                <w:ilvl w:val="0"/>
                                <w:numId w:val="1"/>
                              </w:numPr>
                              <w:ind w:left="360" w:firstLine="0"/>
                              <w:textAlignment w:val="baseline"/>
                              <w:rPr>
                                <w:rStyle w:val="normaltextrun1"/>
                                <w:lang w:val="en-US"/>
                              </w:rPr>
                            </w:pPr>
                            <w:r>
                              <w:rPr>
                                <w:rStyle w:val="normaltextrun1"/>
                              </w:rPr>
                              <w:t>Opportunities for integration into mainstream classes.</w:t>
                            </w:r>
                          </w:p>
                          <w:p>
                            <w:pPr>
                              <w:pStyle w:val="paragraph"/>
                              <w:textAlignment w:val="baseline"/>
                              <w:rPr>
                                <w:rStyle w:val="normaltextrun1"/>
                                <w:rFonts w:ascii="Calibri" w:hAnsi="Calibri" w:cs="Calibri"/>
                              </w:rPr>
                            </w:pPr>
                          </w:p>
                          <w:p>
                            <w:pPr>
                              <w:pStyle w:val="paragraph"/>
                              <w:jc w:val="right"/>
                              <w:textAlignment w:val="baseline"/>
                            </w:pPr>
                            <w:r>
                              <w:rPr>
                                <w:rStyle w:val="normaltextrun1"/>
                              </w:rPr>
                              <w:t>(Rudge, L, 2017, p. 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39.5pt;margin-top:6pt;width:402.5pt;height:125.1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" filled="f" strokecolor="white [3212]">
                <v:textbox style="mso-fit-shape-to-text:t">
                  <w:txbxContent>
                    <w:p w:rsidR="00CD52B1" w:rsidRPr="00DA3498" w:rsidRDefault="00CD52B1">
                      <w:pPr>
                        <w:pStyle w:val="paragraph"/>
                        <w:textAlignment w:val="baseline"/>
                        <w:rPr>
                          <w:lang w:val="en-US"/>
                        </w:rPr>
                      </w:pPr>
                      <w:r w:rsidRPr="00DA3498">
                        <w:rPr>
                          <w:rStyle w:val="normaltextrun1"/>
                        </w:rPr>
                        <w:t xml:space="preserve">We endeavour to </w:t>
                      </w:r>
                      <w:r w:rsidRPr="00DA3498">
                        <w:rPr>
                          <w:rStyle w:val="contextualspellingandgrammarerror"/>
                        </w:rPr>
                        <w:t>provide:-</w:t>
                      </w:r>
                      <w:r w:rsidRPr="00DA3498">
                        <w:rPr>
                          <w:rStyle w:val="eop"/>
                          <w:lang w:val="en-US"/>
                        </w:rPr>
                        <w:t> </w:t>
                      </w:r>
                    </w:p>
                    <w:p w:rsidR="00CD52B1" w:rsidRPr="00DA3498" w:rsidRDefault="00CD52B1">
                      <w:pPr>
                        <w:pStyle w:val="paragraph"/>
                        <w:numPr>
                          <w:ilvl w:val="0"/>
                          <w:numId w:val="1"/>
                        </w:numPr>
                        <w:ind w:left="360" w:firstLine="0"/>
                        <w:textAlignment w:val="baseline"/>
                        <w:rPr>
                          <w:lang w:val="en-US"/>
                        </w:rPr>
                      </w:pPr>
                      <w:r w:rsidRPr="00DA3498">
                        <w:rPr>
                          <w:rStyle w:val="normaltextrun1"/>
                        </w:rPr>
                        <w:t>accessibility of materials across year groups to enable pupils to work at an appropriate level, be it higher or lower than that of the peer group</w:t>
                      </w:r>
                      <w:r w:rsidRPr="00DA3498">
                        <w:rPr>
                          <w:rStyle w:val="eop"/>
                          <w:lang w:val="en-US"/>
                        </w:rPr>
                        <w:t> </w:t>
                      </w:r>
                    </w:p>
                    <w:p w:rsidR="00CD52B1" w:rsidRPr="00DA3498" w:rsidRDefault="00CD52B1">
                      <w:pPr>
                        <w:pStyle w:val="paragraph"/>
                        <w:numPr>
                          <w:ilvl w:val="0"/>
                          <w:numId w:val="1"/>
                        </w:numPr>
                        <w:ind w:left="360" w:firstLine="0"/>
                        <w:textAlignment w:val="baseline"/>
                        <w:rPr>
                          <w:lang w:val="en-US"/>
                        </w:rPr>
                      </w:pPr>
                      <w:r w:rsidRPr="00DA3498">
                        <w:rPr>
                          <w:rStyle w:val="normaltextrun1"/>
                        </w:rPr>
                        <w:t>Accessibility of resources</w:t>
                      </w:r>
                      <w:r w:rsidRPr="00DA3498">
                        <w:rPr>
                          <w:rStyle w:val="eop"/>
                          <w:lang w:val="en-US"/>
                        </w:rPr>
                        <w:t> </w:t>
                      </w:r>
                    </w:p>
                    <w:p w:rsidR="00CD52B1" w:rsidRPr="00DA3498" w:rsidRDefault="00CD52B1">
                      <w:pPr>
                        <w:pStyle w:val="paragraph"/>
                        <w:numPr>
                          <w:ilvl w:val="0"/>
                          <w:numId w:val="1"/>
                        </w:numPr>
                        <w:ind w:left="360" w:firstLine="0"/>
                        <w:textAlignment w:val="baseline"/>
                        <w:rPr>
                          <w:rStyle w:val="normaltextrun1"/>
                          <w:lang w:val="en-US"/>
                        </w:rPr>
                      </w:pPr>
                      <w:r w:rsidRPr="00DA3498">
                        <w:rPr>
                          <w:rStyle w:val="normaltextrun1"/>
                        </w:rPr>
                        <w:t>Opportunities for integration into mainstream classes.</w:t>
                      </w:r>
                    </w:p>
                    <w:p w:rsidR="00CD52B1" w:rsidRPr="00DA3498" w:rsidRDefault="00CD52B1">
                      <w:pPr>
                        <w:pStyle w:val="paragraph"/>
                        <w:textAlignment w:val="baseline"/>
                        <w:rPr>
                          <w:rStyle w:val="normaltextrun1"/>
                          <w:rFonts w:ascii="Calibri" w:hAnsi="Calibri" w:cs="Calibri"/>
                        </w:rPr>
                      </w:pPr>
                    </w:p>
                    <w:p w:rsidR="00CD52B1" w:rsidRPr="00D351AA" w:rsidRDefault="005B3879" w:rsidP="009F6223">
                      <w:pPr>
                        <w:pStyle w:val="paragraph"/>
                        <w:jc w:val="right"/>
                        <w:textAlignment w:val="baseline"/>
                      </w:pPr>
                      <w:r>
                        <w:rPr>
                          <w:rStyle w:val="normaltextrun1"/>
                        </w:rPr>
                        <w:t>(Rudge, L,</w:t>
                      </w:r>
                      <w:r w:rsidR="00CD52B1">
                        <w:rPr>
                          <w:rStyle w:val="normaltextrun1"/>
                        </w:rPr>
                        <w:t xml:space="preserve"> 2017, p</w:t>
                      </w:r>
                      <w:r w:rsidR="00997A50">
                        <w:rPr>
                          <w:rStyle w:val="normaltextrun1"/>
                        </w:rPr>
                        <w:t xml:space="preserve">. </w:t>
                      </w:r>
                      <w:r w:rsidR="00CD52B1" w:rsidRPr="00DA3498">
                        <w:rPr>
                          <w:rStyle w:val="normaltextrun1"/>
                        </w:rPr>
                        <w:t>4)</w:t>
                      </w:r>
                    </w:p>
                  </w:txbxContent>
                </v:textbox>
                <w10:wrap anchorx="margin"/>
              </v:shape>
            </w:pict>
          </mc:Fallback>
        </mc:AlternateContent>
      </w: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r>
        <w:rPr>
          <w:rFonts w:ascii="Times New Roman" w:hAnsi="Times New Roman" w:cs="Times New Roman"/>
          <w:bCs/>
          <w:sz w:val="24"/>
          <w:szCs w:val="24"/>
        </w:rPr>
        <w:lastRenderedPageBreak/>
        <w:t>The above documents reference the importance of resources and integration in a child’s education, supporting their learning and the transferring of skills, in short, tailoring an education that is suitable for the individual child.</w:t>
      </w: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ind w:firstLine="720"/>
        <w:rPr>
          <w:rFonts w:ascii="Times New Roman" w:hAnsi="Times New Roman" w:cs="Times New Roman"/>
          <w:bCs/>
          <w:sz w:val="24"/>
          <w:szCs w:val="24"/>
        </w:rPr>
      </w:pPr>
      <w:r>
        <w:rPr>
          <w:rFonts w:ascii="Times New Roman" w:hAnsi="Times New Roman" w:cs="Times New Roman"/>
          <w:bCs/>
          <w:sz w:val="24"/>
          <w:szCs w:val="24"/>
        </w:rPr>
        <w:t>Furthermore, the School’s Estyn inspection report published in January 2018 has recommended to “improve the accuracy of pupil’s reading (and handwriting) in Key stage 2” (Estyn, 2018, p, 3).  Within the report the inspectors observed that:</w:t>
      </w:r>
    </w:p>
    <w:p>
      <w:pPr>
        <w:autoSpaceDE w:val="0"/>
        <w:autoSpaceDN w:val="0"/>
        <w:adjustRightInd w:val="0"/>
        <w:spacing w:after="0" w:line="360" w:lineRule="auto"/>
        <w:ind w:firstLine="720"/>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r>
        <w:rPr>
          <w:rFonts w:ascii="Times New Roman" w:hAnsi="Times New Roman" w:cs="Times New Roman"/>
          <w:bCs/>
          <w:noProof/>
          <w:sz w:val="24"/>
          <w:szCs w:val="24"/>
          <w:lang w:eastAsia="en-GB"/>
        </w:rPr>
        <mc:AlternateContent>
          <mc:Choice Requires="wps">
            <w:drawing>
              <wp:anchor distT="45720" distB="45720" distL="114300" distR="114300" simplePos="0" relativeHeight="251667456" behindDoc="0" locked="0" layoutInCell="1" allowOverlap="1">
                <wp:simplePos x="0" y="0"/>
                <wp:positionH relativeFrom="column">
                  <wp:posOffset>649605</wp:posOffset>
                </wp:positionH>
                <wp:positionV relativeFrom="paragraph">
                  <wp:posOffset>10160</wp:posOffset>
                </wp:positionV>
                <wp:extent cx="4712335" cy="1588770"/>
                <wp:effectExtent l="0" t="0" r="12065" b="1143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12335" cy="1588770"/>
                        </a:xfrm>
                        <a:prstGeom prst="rect">
                          <a:avLst/>
                        </a:prstGeom>
                        <a:solidFill>
                          <a:srgbClr val="FFFFFF"/>
                        </a:solidFill>
                        <a:ln w="9525">
                          <a:solidFill>
                            <a:schemeClr val="bg1"/>
                          </a:solidFill>
                          <a:miter lim="800000"/>
                          <a:headEnd/>
                          <a:tailEnd/>
                        </a:ln>
                      </wps:spPr>
                      <wps:txbx>
                        <w:txbxContent>
                          <w:p>
                            <w:pPr>
                              <w:pStyle w:val="paragraph"/>
                              <w:textAlignment w:val="baseline"/>
                              <w:rPr>
                                <w:rStyle w:val="normaltextrun1"/>
                              </w:rPr>
                            </w:pPr>
                            <w:r>
                              <w:rPr>
                                <w:rStyle w:val="normaltextrun1"/>
                              </w:rPr>
                              <w:t>Pupils in the Learning Support Centre classes respond well to the care and support they receive and make good progress towards their individual targets…A majority (of pupils) in Key stage 2 read aloud accurately, although a minority of pupils read hesitantly, with little expression and with limited understanding.  Most have the necessary skills to enable them to sound out unfamiliar words and to deduce their meaning form their context.</w:t>
                            </w:r>
                          </w:p>
                          <w:p>
                            <w:pPr>
                              <w:pStyle w:val="paragraph"/>
                              <w:textAlignment w:val="baseline"/>
                              <w:rPr>
                                <w:rStyle w:val="normaltextrun1"/>
                                <w:i/>
                              </w:rPr>
                            </w:pPr>
                          </w:p>
                          <w:p>
                            <w:pPr>
                              <w:pStyle w:val="paragraph"/>
                              <w:ind w:left="360"/>
                              <w:jc w:val="right"/>
                              <w:textAlignment w:val="baseline"/>
                              <w:rPr>
                                <w:lang w:val="en-US"/>
                              </w:rPr>
                            </w:pPr>
                            <w:r>
                              <w:rPr>
                                <w:lang w:val="en-US"/>
                              </w:rPr>
                              <w:t>(</w:t>
                            </w:r>
                            <w:proofErr w:type="spellStart"/>
                            <w:r>
                              <w:rPr>
                                <w:lang w:val="en-US"/>
                              </w:rPr>
                              <w:t>Estyn</w:t>
                            </w:r>
                            <w:proofErr w:type="spellEnd"/>
                            <w:r>
                              <w:rPr>
                                <w:lang w:val="en-US"/>
                              </w:rPr>
                              <w:t xml:space="preserve">, 2018, p. 4)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51.15pt;margin-top:.8pt;width:371.05pt;height:125.1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" strokecolor="white [3212]">
                <v:textbox style="mso-fit-shape-to-text:t">
                  <w:txbxContent>
                    <w:p w:rsidR="00CD52B1" w:rsidRPr="00DA3498" w:rsidRDefault="00CD52B1">
                      <w:pPr>
                        <w:pStyle w:val="paragraph"/>
                        <w:textAlignment w:val="baseline"/>
                        <w:rPr>
                          <w:rStyle w:val="normaltextrun1"/>
                        </w:rPr>
                      </w:pPr>
                      <w:r w:rsidRPr="00DA3498">
                        <w:rPr>
                          <w:rStyle w:val="normaltextrun1"/>
                        </w:rPr>
                        <w:t>Pupils in the Learning Support Centre classes respond well to the care and support they receive and make good progress towards their individual targets…A majority (of pupils) in Key stage 2 read aloud accurately, although a minority of pupils read hesitantly, with little expression and with limited understanding.  Most have the necessary skills to enable them to sound out unfamiliar words and to deduce th</w:t>
                      </w:r>
                      <w:r w:rsidR="001F5701">
                        <w:rPr>
                          <w:rStyle w:val="normaltextrun1"/>
                        </w:rPr>
                        <w:t>eir meaning form their context.</w:t>
                      </w:r>
                    </w:p>
                    <w:p w:rsidR="00CD52B1" w:rsidRPr="00DA3498" w:rsidRDefault="00CD52B1">
                      <w:pPr>
                        <w:pStyle w:val="paragraph"/>
                        <w:textAlignment w:val="baseline"/>
                        <w:rPr>
                          <w:rStyle w:val="normaltextrun1"/>
                          <w:i/>
                        </w:rPr>
                      </w:pPr>
                    </w:p>
                    <w:p w:rsidR="00CD52B1" w:rsidRPr="00DA3498" w:rsidRDefault="00CD52B1" w:rsidP="008A507D">
                      <w:pPr>
                        <w:pStyle w:val="paragraph"/>
                        <w:ind w:left="360"/>
                        <w:jc w:val="right"/>
                        <w:textAlignment w:val="baseline"/>
                        <w:rPr>
                          <w:lang w:val="en-US"/>
                        </w:rPr>
                      </w:pPr>
                      <w:r w:rsidRPr="00DA3498">
                        <w:rPr>
                          <w:lang w:val="en-US"/>
                        </w:rPr>
                        <w:t>(</w:t>
                      </w:r>
                      <w:proofErr w:type="spellStart"/>
                      <w:r w:rsidRPr="00DA3498">
                        <w:rPr>
                          <w:lang w:val="en-US"/>
                        </w:rPr>
                        <w:t>Estyn</w:t>
                      </w:r>
                      <w:proofErr w:type="spellEnd"/>
                      <w:r w:rsidRPr="00DA3498">
                        <w:rPr>
                          <w:lang w:val="en-US"/>
                        </w:rPr>
                        <w:t>, 2018</w:t>
                      </w:r>
                      <w:r w:rsidR="001F5701">
                        <w:rPr>
                          <w:lang w:val="en-US"/>
                        </w:rPr>
                        <w:t>,</w:t>
                      </w:r>
                      <w:r>
                        <w:rPr>
                          <w:lang w:val="en-US"/>
                        </w:rPr>
                        <w:t xml:space="preserve"> p</w:t>
                      </w:r>
                      <w:r w:rsidR="00997A50">
                        <w:rPr>
                          <w:lang w:val="en-US"/>
                        </w:rPr>
                        <w:t xml:space="preserve">. </w:t>
                      </w:r>
                      <w:r w:rsidRPr="00DA3498">
                        <w:rPr>
                          <w:lang w:val="en-US"/>
                        </w:rPr>
                        <w:t xml:space="preserve">4) </w:t>
                      </w:r>
                    </w:p>
                  </w:txbxContent>
                </v:textbox>
              </v:shape>
            </w:pict>
          </mc:Fallback>
        </mc:AlternateContent>
      </w:r>
      <w:r>
        <w:rPr>
          <w:rFonts w:ascii="Times New Roman" w:hAnsi="Times New Roman" w:cs="Times New Roman"/>
          <w:bCs/>
          <w:sz w:val="24"/>
          <w:szCs w:val="24"/>
        </w:rPr>
        <w:t xml:space="preserve"> </w:t>
      </w: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On this documented basis, I feel that this evaluative study of reading interventions strategies will suitably monitor and review techniques for the overall continuation of reading development across the school.  </w:t>
      </w:r>
    </w:p>
    <w:p>
      <w:pPr>
        <w:autoSpaceDE w:val="0"/>
        <w:autoSpaceDN w:val="0"/>
        <w:adjustRightInd w:val="0"/>
        <w:spacing w:after="0"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During teacher training, experiences and my own personal research in such areas, one of the first books I read as an newly qualified teacher was ‘Becoming an Outstanding Primary School Teacher’ by Russell </w:t>
      </w:r>
      <w:proofErr w:type="spellStart"/>
      <w:r>
        <w:rPr>
          <w:rFonts w:ascii="Times New Roman" w:hAnsi="Times New Roman" w:cs="Times New Roman"/>
          <w:bCs/>
          <w:sz w:val="24"/>
          <w:szCs w:val="24"/>
        </w:rPr>
        <w:t>Grigg</w:t>
      </w:r>
      <w:proofErr w:type="spellEnd"/>
      <w:r>
        <w:rPr>
          <w:rFonts w:ascii="Times New Roman" w:hAnsi="Times New Roman" w:cs="Times New Roman"/>
          <w:bCs/>
          <w:sz w:val="24"/>
          <w:szCs w:val="24"/>
        </w:rPr>
        <w:t xml:space="preserve"> (2010).  Within his publication, Wray and Lewis (1997) refer to reading and its diversity, mentioning the major controversy the topic of reading attracts more than any other part of the primary curriculum (Wray and Lewis, 1997, cited in </w:t>
      </w:r>
      <w:proofErr w:type="spellStart"/>
      <w:r>
        <w:rPr>
          <w:rFonts w:ascii="Times New Roman" w:hAnsi="Times New Roman" w:cs="Times New Roman"/>
          <w:bCs/>
          <w:sz w:val="24"/>
          <w:szCs w:val="24"/>
        </w:rPr>
        <w:t>Grigg</w:t>
      </w:r>
      <w:proofErr w:type="spellEnd"/>
      <w:r>
        <w:rPr>
          <w:rFonts w:ascii="Times New Roman" w:hAnsi="Times New Roman" w:cs="Times New Roman"/>
          <w:bCs/>
          <w:sz w:val="24"/>
          <w:szCs w:val="24"/>
        </w:rPr>
        <w:t xml:space="preserve">, R. 2010. p144).  This is certainly the case within a school where there are a range of classes, teachers, support staff and pupils’ needs.  Within this LSC2 class of 10 pupils, many different methods are used to tailor an education of reading that suits each individual pupil.  These strategies and resources may include integrating with mainstream for ‘Rapid Reading’, individual / shared reading and sound identification resources.  The Bullock Report (1975) clearly acknowledges that applying more than one method when teaching a child to read is key (Bullock A. 1975).   </w:t>
      </w:r>
      <w:proofErr w:type="spellStart"/>
      <w:r>
        <w:rPr>
          <w:rFonts w:ascii="Times New Roman" w:hAnsi="Times New Roman" w:cs="Times New Roman"/>
          <w:bCs/>
          <w:sz w:val="24"/>
          <w:szCs w:val="24"/>
        </w:rPr>
        <w:t>Vaezi</w:t>
      </w:r>
      <w:proofErr w:type="spellEnd"/>
      <w:r>
        <w:rPr>
          <w:rFonts w:ascii="Times New Roman" w:hAnsi="Times New Roman" w:cs="Times New Roman"/>
          <w:bCs/>
          <w:sz w:val="24"/>
          <w:szCs w:val="24"/>
        </w:rPr>
        <w:t xml:space="preserve"> (2001) supports this notion stating that good readers can apply a range of strategies.  He continues to insist that all educators should have a sound knowledge of each child’s needs and abilities, setting out “clear teaching points” before the teaching of reading begins (Ur, 1996, </w:t>
      </w:r>
      <w:proofErr w:type="spellStart"/>
      <w:r>
        <w:rPr>
          <w:rFonts w:ascii="Times New Roman" w:hAnsi="Times New Roman" w:cs="Times New Roman"/>
          <w:bCs/>
          <w:sz w:val="24"/>
          <w:szCs w:val="24"/>
        </w:rPr>
        <w:t>Vaezi</w:t>
      </w:r>
      <w:proofErr w:type="spellEnd"/>
      <w:r>
        <w:rPr>
          <w:rFonts w:ascii="Times New Roman" w:hAnsi="Times New Roman" w:cs="Times New Roman"/>
          <w:bCs/>
          <w:sz w:val="24"/>
          <w:szCs w:val="24"/>
        </w:rPr>
        <w:t xml:space="preserve">, 2001 cited in </w:t>
      </w:r>
      <w:proofErr w:type="spellStart"/>
      <w:r>
        <w:rPr>
          <w:rFonts w:ascii="Times New Roman" w:hAnsi="Times New Roman" w:cs="Times New Roman"/>
          <w:bCs/>
          <w:sz w:val="24"/>
          <w:szCs w:val="24"/>
        </w:rPr>
        <w:t>Grigg</w:t>
      </w:r>
      <w:proofErr w:type="spellEnd"/>
      <w:r>
        <w:rPr>
          <w:rFonts w:ascii="Times New Roman" w:hAnsi="Times New Roman" w:cs="Times New Roman"/>
          <w:bCs/>
          <w:sz w:val="24"/>
          <w:szCs w:val="24"/>
        </w:rPr>
        <w:t>, R. 2010. p145).  Alternatively,</w:t>
      </w:r>
      <w:r>
        <w:rPr>
          <w:rFonts w:ascii="Times New Roman" w:hAnsi="Times New Roman" w:cs="Times New Roman"/>
          <w:bCs/>
          <w:color w:val="FF0000"/>
          <w:sz w:val="24"/>
          <w:szCs w:val="24"/>
        </w:rPr>
        <w:t xml:space="preserve"> </w:t>
      </w:r>
      <w:r>
        <w:rPr>
          <w:rFonts w:ascii="Times New Roman" w:hAnsi="Times New Roman" w:cs="Times New Roman"/>
          <w:bCs/>
          <w:sz w:val="24"/>
          <w:szCs w:val="24"/>
        </w:rPr>
        <w:t xml:space="preserve">there is research to suggest that some pupils might learn to read more independently without a formal </w:t>
      </w:r>
      <w:r>
        <w:rPr>
          <w:rFonts w:ascii="Times New Roman" w:hAnsi="Times New Roman" w:cs="Times New Roman"/>
          <w:bCs/>
          <w:sz w:val="24"/>
          <w:szCs w:val="24"/>
        </w:rPr>
        <w:lastRenderedPageBreak/>
        <w:t xml:space="preserve">approach to the teaching of reading (Clark, M. 1976).  There is evidence of this within the class where a child does not have support at home for parents to read.  They have successfully learned the jolly phonic sounds and the alphabet through activities in class and seem to have the necessary skills to naturally apply the identification and blending of sounds confidently to read a word; without rote learning or daily practice.  This child’s barriers to reading ability lie in the understanding of what she has read, predicting next steps and talking in general about the story.  Clay (1991) highlights the implications in such circumstances by making us aware that not all pupils who are able to teach themselves to read will be able to educate themselves to identify and apply comprehension skills independently (Clay, 1991). </w:t>
      </w:r>
    </w:p>
    <w:p>
      <w:pPr>
        <w:autoSpaceDE w:val="0"/>
        <w:autoSpaceDN w:val="0"/>
        <w:adjustRightInd w:val="0"/>
        <w:spacing w:after="0"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In my experience, a number of strategies and resources implemented into class enhances the reading skills of pupils, but educators must be aware of possible factors that may affect pupils’ readiness to learn.  </w:t>
      </w:r>
      <w:proofErr w:type="spellStart"/>
      <w:r>
        <w:rPr>
          <w:rFonts w:ascii="Times New Roman" w:hAnsi="Times New Roman" w:cs="Times New Roman"/>
          <w:bCs/>
          <w:sz w:val="24"/>
          <w:szCs w:val="24"/>
        </w:rPr>
        <w:t>Bielby</w:t>
      </w:r>
      <w:proofErr w:type="spellEnd"/>
      <w:r>
        <w:rPr>
          <w:rFonts w:ascii="Times New Roman" w:hAnsi="Times New Roman" w:cs="Times New Roman"/>
          <w:bCs/>
          <w:sz w:val="24"/>
          <w:szCs w:val="24"/>
        </w:rPr>
        <w:t xml:space="preserve"> (1999) reflects upon possible problems that some children may face when learning to read:</w:t>
      </w:r>
    </w:p>
    <w:p>
      <w:pPr>
        <w:autoSpaceDE w:val="0"/>
        <w:autoSpaceDN w:val="0"/>
        <w:adjustRightInd w:val="0"/>
        <w:spacing w:after="0" w:line="360" w:lineRule="auto"/>
        <w:ind w:firstLine="720"/>
        <w:rPr>
          <w:rFonts w:ascii="Times New Roman" w:hAnsi="Times New Roman" w:cs="Times New Roman"/>
          <w:bCs/>
          <w:sz w:val="24"/>
          <w:szCs w:val="24"/>
        </w:rPr>
      </w:pPr>
      <w:r>
        <w:rPr>
          <w:rFonts w:ascii="Times New Roman" w:hAnsi="Times New Roman" w:cs="Times New Roman"/>
          <w:bCs/>
          <w:noProof/>
          <w:sz w:val="24"/>
          <w:szCs w:val="24"/>
          <w:u w:val="single"/>
          <w:lang w:eastAsia="en-GB"/>
        </w:rPr>
        <mc:AlternateContent>
          <mc:Choice Requires="wps">
            <w:drawing>
              <wp:anchor distT="45720" distB="45720" distL="114300" distR="114300" simplePos="0" relativeHeight="251665408" behindDoc="0" locked="0" layoutInCell="1" allowOverlap="1">
                <wp:simplePos x="0" y="0"/>
                <wp:positionH relativeFrom="column">
                  <wp:posOffset>368300</wp:posOffset>
                </wp:positionH>
                <wp:positionV relativeFrom="paragraph">
                  <wp:posOffset>147955</wp:posOffset>
                </wp:positionV>
                <wp:extent cx="5048250" cy="1746250"/>
                <wp:effectExtent l="0" t="0" r="19050" b="254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0" cy="1746250"/>
                        </a:xfrm>
                        <a:prstGeom prst="rect">
                          <a:avLst/>
                        </a:prstGeom>
                        <a:solidFill>
                          <a:srgbClr val="FFFFFF"/>
                        </a:solidFill>
                        <a:ln w="9525">
                          <a:solidFill>
                            <a:schemeClr val="bg1"/>
                          </a:solidFill>
                          <a:miter lim="800000"/>
                          <a:headEnd/>
                          <a:tailEnd/>
                        </a:ln>
                      </wps:spPr>
                      <wps:txbx>
                        <w:txbxContent>
                          <w:p>
                            <w:pPr>
                              <w:autoSpaceDE w:val="0"/>
                              <w:autoSpaceDN w:val="0"/>
                              <w:adjustRightInd w:val="0"/>
                              <w:spacing w:after="0" w:line="240" w:lineRule="auto"/>
                              <w:rPr>
                                <w:rFonts w:ascii="Times New Roman" w:hAnsi="Times New Roman" w:cs="Times New Roman"/>
                                <w:bCs/>
                                <w:sz w:val="24"/>
                              </w:rPr>
                            </w:pPr>
                            <w:r>
                              <w:rPr>
                                <w:rFonts w:ascii="Times New Roman" w:hAnsi="Times New Roman" w:cs="Times New Roman"/>
                                <w:bCs/>
                                <w:sz w:val="24"/>
                              </w:rPr>
                              <w:t>Problems with reading that children may exhibit can result from any one, or a combination of these five causes:</w:t>
                            </w:r>
                          </w:p>
                          <w:p>
                            <w:pPr>
                              <w:pStyle w:val="ListParagraph"/>
                              <w:numPr>
                                <w:ilvl w:val="0"/>
                                <w:numId w:val="2"/>
                              </w:numPr>
                              <w:autoSpaceDE w:val="0"/>
                              <w:autoSpaceDN w:val="0"/>
                              <w:adjustRightInd w:val="0"/>
                              <w:spacing w:after="0" w:line="240" w:lineRule="auto"/>
                              <w:rPr>
                                <w:rFonts w:ascii="Times New Roman" w:hAnsi="Times New Roman" w:cs="Times New Roman"/>
                                <w:bCs/>
                                <w:sz w:val="24"/>
                              </w:rPr>
                            </w:pPr>
                            <w:r>
                              <w:rPr>
                                <w:rFonts w:ascii="Times New Roman" w:hAnsi="Times New Roman" w:cs="Times New Roman"/>
                                <w:bCs/>
                                <w:sz w:val="24"/>
                              </w:rPr>
                              <w:t>Issues relating to background, socio cultural and linguistic experience’</w:t>
                            </w:r>
                          </w:p>
                          <w:p>
                            <w:pPr>
                              <w:pStyle w:val="ListParagraph"/>
                              <w:numPr>
                                <w:ilvl w:val="0"/>
                                <w:numId w:val="2"/>
                              </w:numPr>
                              <w:autoSpaceDE w:val="0"/>
                              <w:autoSpaceDN w:val="0"/>
                              <w:adjustRightInd w:val="0"/>
                              <w:spacing w:after="0" w:line="240" w:lineRule="auto"/>
                              <w:rPr>
                                <w:rFonts w:ascii="Times New Roman" w:hAnsi="Times New Roman" w:cs="Times New Roman"/>
                                <w:bCs/>
                                <w:sz w:val="24"/>
                              </w:rPr>
                            </w:pPr>
                            <w:r>
                              <w:rPr>
                                <w:rFonts w:ascii="Times New Roman" w:hAnsi="Times New Roman" w:cs="Times New Roman"/>
                                <w:bCs/>
                                <w:sz w:val="24"/>
                              </w:rPr>
                              <w:t>Issues and attitudes to gender differences</w:t>
                            </w:r>
                          </w:p>
                          <w:p>
                            <w:pPr>
                              <w:pStyle w:val="ListParagraph"/>
                              <w:numPr>
                                <w:ilvl w:val="0"/>
                                <w:numId w:val="2"/>
                              </w:numPr>
                              <w:autoSpaceDE w:val="0"/>
                              <w:autoSpaceDN w:val="0"/>
                              <w:adjustRightInd w:val="0"/>
                              <w:spacing w:after="0" w:line="240" w:lineRule="auto"/>
                              <w:rPr>
                                <w:rFonts w:ascii="Times New Roman" w:hAnsi="Times New Roman" w:cs="Times New Roman"/>
                                <w:bCs/>
                                <w:sz w:val="24"/>
                              </w:rPr>
                            </w:pPr>
                            <w:r>
                              <w:rPr>
                                <w:rFonts w:ascii="Times New Roman" w:hAnsi="Times New Roman" w:cs="Times New Roman"/>
                                <w:bCs/>
                                <w:sz w:val="24"/>
                              </w:rPr>
                              <w:t>Not being secure in basic knowledge and kills</w:t>
                            </w:r>
                          </w:p>
                          <w:p>
                            <w:pPr>
                              <w:pStyle w:val="ListParagraph"/>
                              <w:numPr>
                                <w:ilvl w:val="0"/>
                                <w:numId w:val="2"/>
                              </w:numPr>
                              <w:autoSpaceDE w:val="0"/>
                              <w:autoSpaceDN w:val="0"/>
                              <w:adjustRightInd w:val="0"/>
                              <w:spacing w:after="0" w:line="240" w:lineRule="auto"/>
                              <w:rPr>
                                <w:rFonts w:ascii="Times New Roman" w:hAnsi="Times New Roman" w:cs="Times New Roman"/>
                                <w:bCs/>
                                <w:sz w:val="24"/>
                              </w:rPr>
                            </w:pPr>
                            <w:r>
                              <w:rPr>
                                <w:rFonts w:ascii="Times New Roman" w:hAnsi="Times New Roman" w:cs="Times New Roman"/>
                                <w:bCs/>
                                <w:sz w:val="24"/>
                              </w:rPr>
                              <w:t>Individual perceptual and processing preferences and difficulties</w:t>
                            </w:r>
                          </w:p>
                          <w:p>
                            <w:pPr>
                              <w:pStyle w:val="ListParagraph"/>
                              <w:numPr>
                                <w:ilvl w:val="0"/>
                                <w:numId w:val="2"/>
                              </w:numPr>
                              <w:autoSpaceDE w:val="0"/>
                              <w:autoSpaceDN w:val="0"/>
                              <w:adjustRightInd w:val="0"/>
                              <w:spacing w:after="0" w:line="240" w:lineRule="auto"/>
                              <w:rPr>
                                <w:rFonts w:ascii="Times New Roman" w:hAnsi="Times New Roman" w:cs="Times New Roman"/>
                                <w:bCs/>
                                <w:sz w:val="24"/>
                              </w:rPr>
                            </w:pPr>
                            <w:r>
                              <w:rPr>
                                <w:rFonts w:ascii="Times New Roman" w:hAnsi="Times New Roman" w:cs="Times New Roman"/>
                                <w:bCs/>
                                <w:sz w:val="24"/>
                              </w:rPr>
                              <w:t>Having learned limiting habits in the way they have been taught.</w:t>
                            </w:r>
                          </w:p>
                          <w:p>
                            <w:pPr>
                              <w:autoSpaceDE w:val="0"/>
                              <w:autoSpaceDN w:val="0"/>
                              <w:adjustRightInd w:val="0"/>
                              <w:spacing w:after="0" w:line="240" w:lineRule="auto"/>
                              <w:jc w:val="right"/>
                              <w:rPr>
                                <w:rFonts w:ascii="Times New Roman" w:hAnsi="Times New Roman" w:cs="Times New Roman"/>
                                <w:bCs/>
                                <w:sz w:val="24"/>
                              </w:rPr>
                            </w:pPr>
                          </w:p>
                          <w:p>
                            <w:pPr>
                              <w:autoSpaceDE w:val="0"/>
                              <w:autoSpaceDN w:val="0"/>
                              <w:adjustRightInd w:val="0"/>
                              <w:spacing w:after="0" w:line="240" w:lineRule="auto"/>
                              <w:jc w:val="right"/>
                              <w:rPr>
                                <w:rFonts w:ascii="Times New Roman" w:hAnsi="Times New Roman" w:cs="Times New Roman"/>
                                <w:bCs/>
                                <w:sz w:val="24"/>
                              </w:rPr>
                            </w:pPr>
                            <w:r>
                              <w:rPr>
                                <w:rFonts w:ascii="Times New Roman" w:hAnsi="Times New Roman" w:cs="Times New Roman"/>
                                <w:bCs/>
                                <w:sz w:val="24"/>
                              </w:rPr>
                              <w:t>(</w:t>
                            </w:r>
                            <w:proofErr w:type="spellStart"/>
                            <w:r>
                              <w:rPr>
                                <w:rFonts w:ascii="Times New Roman" w:hAnsi="Times New Roman" w:cs="Times New Roman"/>
                                <w:bCs/>
                                <w:sz w:val="24"/>
                              </w:rPr>
                              <w:t>Biebly</w:t>
                            </w:r>
                            <w:proofErr w:type="spellEnd"/>
                            <w:r>
                              <w:rPr>
                                <w:rFonts w:ascii="Times New Roman" w:hAnsi="Times New Roman" w:cs="Times New Roman"/>
                                <w:bCs/>
                                <w:sz w:val="24"/>
                              </w:rPr>
                              <w:t>, 1999, p. 28-29)</w:t>
                            </w:r>
                          </w:p>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29pt;margin-top:11.65pt;width:397.5pt;height:137.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" strokecolor="white [3212]">
                <v:textbox>
                  <w:txbxContent>
                    <w:p w:rsidR="00CD52B1" w:rsidRPr="0068158D" w:rsidRDefault="00CD52B1">
                      <w:pPr>
                        <w:autoSpaceDE w:val="0"/>
                        <w:autoSpaceDN w:val="0"/>
                        <w:adjustRightInd w:val="0"/>
                        <w:spacing w:after="0" w:line="240" w:lineRule="auto"/>
                        <w:rPr>
                          <w:rFonts w:ascii="Times New Roman" w:hAnsi="Times New Roman" w:cs="Times New Roman"/>
                          <w:bCs/>
                          <w:sz w:val="24"/>
                        </w:rPr>
                      </w:pPr>
                      <w:r w:rsidRPr="0068158D">
                        <w:rPr>
                          <w:rFonts w:ascii="Times New Roman" w:hAnsi="Times New Roman" w:cs="Times New Roman"/>
                          <w:bCs/>
                          <w:sz w:val="24"/>
                        </w:rPr>
                        <w:t>Problems with reading that children may exhibit can result from any one, or a combination of these five causes:</w:t>
                      </w:r>
                    </w:p>
                    <w:p w:rsidR="00CD52B1" w:rsidRPr="0068158D" w:rsidRDefault="00CD52B1">
                      <w:pPr>
                        <w:pStyle w:val="ListParagraph"/>
                        <w:numPr>
                          <w:ilvl w:val="0"/>
                          <w:numId w:val="2"/>
                        </w:numPr>
                        <w:autoSpaceDE w:val="0"/>
                        <w:autoSpaceDN w:val="0"/>
                        <w:adjustRightInd w:val="0"/>
                        <w:spacing w:after="0" w:line="240" w:lineRule="auto"/>
                        <w:rPr>
                          <w:rFonts w:ascii="Times New Roman" w:hAnsi="Times New Roman" w:cs="Times New Roman"/>
                          <w:bCs/>
                          <w:sz w:val="24"/>
                        </w:rPr>
                      </w:pPr>
                      <w:r w:rsidRPr="0068158D">
                        <w:rPr>
                          <w:rFonts w:ascii="Times New Roman" w:hAnsi="Times New Roman" w:cs="Times New Roman"/>
                          <w:bCs/>
                          <w:sz w:val="24"/>
                        </w:rPr>
                        <w:t>Issues relating to background, socio cultural and linguistic experience’</w:t>
                      </w:r>
                    </w:p>
                    <w:p w:rsidR="00CD52B1" w:rsidRPr="0068158D" w:rsidRDefault="00CD52B1">
                      <w:pPr>
                        <w:pStyle w:val="ListParagraph"/>
                        <w:numPr>
                          <w:ilvl w:val="0"/>
                          <w:numId w:val="2"/>
                        </w:numPr>
                        <w:autoSpaceDE w:val="0"/>
                        <w:autoSpaceDN w:val="0"/>
                        <w:adjustRightInd w:val="0"/>
                        <w:spacing w:after="0" w:line="240" w:lineRule="auto"/>
                        <w:rPr>
                          <w:rFonts w:ascii="Times New Roman" w:hAnsi="Times New Roman" w:cs="Times New Roman"/>
                          <w:bCs/>
                          <w:sz w:val="24"/>
                        </w:rPr>
                      </w:pPr>
                      <w:r w:rsidRPr="0068158D">
                        <w:rPr>
                          <w:rFonts w:ascii="Times New Roman" w:hAnsi="Times New Roman" w:cs="Times New Roman"/>
                          <w:bCs/>
                          <w:sz w:val="24"/>
                        </w:rPr>
                        <w:t>Issues and attitudes to gender differences</w:t>
                      </w:r>
                    </w:p>
                    <w:p w:rsidR="00CD52B1" w:rsidRPr="0068158D" w:rsidRDefault="00CD52B1">
                      <w:pPr>
                        <w:pStyle w:val="ListParagraph"/>
                        <w:numPr>
                          <w:ilvl w:val="0"/>
                          <w:numId w:val="2"/>
                        </w:numPr>
                        <w:autoSpaceDE w:val="0"/>
                        <w:autoSpaceDN w:val="0"/>
                        <w:adjustRightInd w:val="0"/>
                        <w:spacing w:after="0" w:line="240" w:lineRule="auto"/>
                        <w:rPr>
                          <w:rFonts w:ascii="Times New Roman" w:hAnsi="Times New Roman" w:cs="Times New Roman"/>
                          <w:bCs/>
                          <w:sz w:val="24"/>
                        </w:rPr>
                      </w:pPr>
                      <w:r w:rsidRPr="0068158D">
                        <w:rPr>
                          <w:rFonts w:ascii="Times New Roman" w:hAnsi="Times New Roman" w:cs="Times New Roman"/>
                          <w:bCs/>
                          <w:sz w:val="24"/>
                        </w:rPr>
                        <w:t>Not being secure in basic knowledge and kills</w:t>
                      </w:r>
                    </w:p>
                    <w:p w:rsidR="00CD52B1" w:rsidRPr="0068158D" w:rsidRDefault="00CD52B1">
                      <w:pPr>
                        <w:pStyle w:val="ListParagraph"/>
                        <w:numPr>
                          <w:ilvl w:val="0"/>
                          <w:numId w:val="2"/>
                        </w:numPr>
                        <w:autoSpaceDE w:val="0"/>
                        <w:autoSpaceDN w:val="0"/>
                        <w:adjustRightInd w:val="0"/>
                        <w:spacing w:after="0" w:line="240" w:lineRule="auto"/>
                        <w:rPr>
                          <w:rFonts w:ascii="Times New Roman" w:hAnsi="Times New Roman" w:cs="Times New Roman"/>
                          <w:bCs/>
                          <w:sz w:val="24"/>
                        </w:rPr>
                      </w:pPr>
                      <w:r w:rsidRPr="0068158D">
                        <w:rPr>
                          <w:rFonts w:ascii="Times New Roman" w:hAnsi="Times New Roman" w:cs="Times New Roman"/>
                          <w:bCs/>
                          <w:sz w:val="24"/>
                        </w:rPr>
                        <w:t>Individual perceptual and processing preferences and difficulties</w:t>
                      </w:r>
                    </w:p>
                    <w:p w:rsidR="00CD52B1" w:rsidRPr="0068158D" w:rsidRDefault="00CD52B1">
                      <w:pPr>
                        <w:pStyle w:val="ListParagraph"/>
                        <w:numPr>
                          <w:ilvl w:val="0"/>
                          <w:numId w:val="2"/>
                        </w:numPr>
                        <w:autoSpaceDE w:val="0"/>
                        <w:autoSpaceDN w:val="0"/>
                        <w:adjustRightInd w:val="0"/>
                        <w:spacing w:after="0" w:line="240" w:lineRule="auto"/>
                        <w:rPr>
                          <w:rFonts w:ascii="Times New Roman" w:hAnsi="Times New Roman" w:cs="Times New Roman"/>
                          <w:bCs/>
                          <w:sz w:val="24"/>
                        </w:rPr>
                      </w:pPr>
                      <w:r w:rsidRPr="0068158D">
                        <w:rPr>
                          <w:rFonts w:ascii="Times New Roman" w:hAnsi="Times New Roman" w:cs="Times New Roman"/>
                          <w:bCs/>
                          <w:sz w:val="24"/>
                        </w:rPr>
                        <w:t xml:space="preserve">Having learned limiting habits in </w:t>
                      </w:r>
                      <w:r w:rsidR="001F5701">
                        <w:rPr>
                          <w:rFonts w:ascii="Times New Roman" w:hAnsi="Times New Roman" w:cs="Times New Roman"/>
                          <w:bCs/>
                          <w:sz w:val="24"/>
                        </w:rPr>
                        <w:t>the way they have been taught.</w:t>
                      </w:r>
                    </w:p>
                    <w:p w:rsidR="00CD52B1" w:rsidRDefault="00CD52B1">
                      <w:pPr>
                        <w:autoSpaceDE w:val="0"/>
                        <w:autoSpaceDN w:val="0"/>
                        <w:adjustRightInd w:val="0"/>
                        <w:spacing w:after="0" w:line="240" w:lineRule="auto"/>
                        <w:jc w:val="right"/>
                        <w:rPr>
                          <w:rFonts w:ascii="Times New Roman" w:hAnsi="Times New Roman" w:cs="Times New Roman"/>
                          <w:bCs/>
                          <w:sz w:val="24"/>
                        </w:rPr>
                      </w:pPr>
                    </w:p>
                    <w:p w:rsidR="00CD52B1" w:rsidRPr="00DA3498" w:rsidRDefault="00CD52B1">
                      <w:pPr>
                        <w:autoSpaceDE w:val="0"/>
                        <w:autoSpaceDN w:val="0"/>
                        <w:adjustRightInd w:val="0"/>
                        <w:spacing w:after="0" w:line="240" w:lineRule="auto"/>
                        <w:jc w:val="right"/>
                        <w:rPr>
                          <w:rFonts w:ascii="Times New Roman" w:hAnsi="Times New Roman" w:cs="Times New Roman"/>
                          <w:bCs/>
                          <w:sz w:val="24"/>
                        </w:rPr>
                      </w:pPr>
                      <w:r>
                        <w:rPr>
                          <w:rFonts w:ascii="Times New Roman" w:hAnsi="Times New Roman" w:cs="Times New Roman"/>
                          <w:bCs/>
                          <w:sz w:val="24"/>
                        </w:rPr>
                        <w:t>(</w:t>
                      </w:r>
                      <w:proofErr w:type="spellStart"/>
                      <w:r>
                        <w:rPr>
                          <w:rFonts w:ascii="Times New Roman" w:hAnsi="Times New Roman" w:cs="Times New Roman"/>
                          <w:bCs/>
                          <w:sz w:val="24"/>
                        </w:rPr>
                        <w:t>Biebly</w:t>
                      </w:r>
                      <w:proofErr w:type="spellEnd"/>
                      <w:r>
                        <w:rPr>
                          <w:rFonts w:ascii="Times New Roman" w:hAnsi="Times New Roman" w:cs="Times New Roman"/>
                          <w:bCs/>
                          <w:sz w:val="24"/>
                        </w:rPr>
                        <w:t>, 1999, p</w:t>
                      </w:r>
                      <w:r w:rsidR="006A6630">
                        <w:rPr>
                          <w:rFonts w:ascii="Times New Roman" w:hAnsi="Times New Roman" w:cs="Times New Roman"/>
                          <w:bCs/>
                          <w:sz w:val="24"/>
                        </w:rPr>
                        <w:t>.</w:t>
                      </w:r>
                      <w:r w:rsidRPr="00DA3498">
                        <w:rPr>
                          <w:rFonts w:ascii="Times New Roman" w:hAnsi="Times New Roman" w:cs="Times New Roman"/>
                          <w:bCs/>
                          <w:sz w:val="24"/>
                        </w:rPr>
                        <w:t xml:space="preserve"> 28-29)</w:t>
                      </w:r>
                    </w:p>
                    <w:p w:rsidR="00CD52B1" w:rsidRDefault="00CD52B1"/>
                  </w:txbxContent>
                </v:textbox>
              </v:shape>
            </w:pict>
          </mc:Fallback>
        </mc:AlternateContent>
      </w: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rPr>
          <w:rFonts w:ascii="Times New Roman" w:hAnsi="Times New Roman" w:cs="Times New Roman"/>
          <w:bCs/>
          <w:sz w:val="24"/>
          <w:szCs w:val="24"/>
        </w:rPr>
      </w:pPr>
    </w:p>
    <w:p>
      <w:pPr>
        <w:autoSpaceDE w:val="0"/>
        <w:autoSpaceDN w:val="0"/>
        <w:adjustRightInd w:val="0"/>
        <w:spacing w:after="0" w:line="360" w:lineRule="auto"/>
        <w:ind w:firstLine="360"/>
        <w:rPr>
          <w:rFonts w:ascii="Times New Roman" w:hAnsi="Times New Roman" w:cs="Times New Roman"/>
          <w:bCs/>
          <w:sz w:val="24"/>
          <w:szCs w:val="24"/>
        </w:rPr>
      </w:pPr>
      <w:proofErr w:type="spellStart"/>
      <w:r>
        <w:rPr>
          <w:rFonts w:ascii="Times New Roman" w:hAnsi="Times New Roman" w:cs="Times New Roman"/>
          <w:bCs/>
          <w:sz w:val="24"/>
          <w:szCs w:val="24"/>
        </w:rPr>
        <w:t>Biebly</w:t>
      </w:r>
      <w:proofErr w:type="spellEnd"/>
      <w:r>
        <w:rPr>
          <w:rFonts w:ascii="Times New Roman" w:hAnsi="Times New Roman" w:cs="Times New Roman"/>
          <w:bCs/>
          <w:sz w:val="24"/>
          <w:szCs w:val="24"/>
        </w:rPr>
        <w:t xml:space="preserve"> (1999) also highlights the importance of the teacher’s role in identifying and helping pupils to break down the barriers of these problems (</w:t>
      </w:r>
      <w:proofErr w:type="spellStart"/>
      <w:r>
        <w:rPr>
          <w:rFonts w:ascii="Times New Roman" w:hAnsi="Times New Roman" w:cs="Times New Roman"/>
          <w:bCs/>
          <w:sz w:val="24"/>
          <w:szCs w:val="24"/>
        </w:rPr>
        <w:t>Biebly</w:t>
      </w:r>
      <w:proofErr w:type="spellEnd"/>
      <w:r>
        <w:rPr>
          <w:rFonts w:ascii="Times New Roman" w:hAnsi="Times New Roman" w:cs="Times New Roman"/>
          <w:bCs/>
          <w:sz w:val="24"/>
          <w:szCs w:val="24"/>
        </w:rPr>
        <w:t xml:space="preserve">, 1999).  Within this LSC2 class setting, pupils overcome a number of obstacles in order to access their learning.   50% of these pupils are looked after and half of this percentage have had an inconsistent home life during their time in school.  This has impacted on their behaviour, self-esteem, self-worth and anxiety levels.   Also, 25% of pupils in this class come from a family background of learning difficulties, visual impairment, hearing impairment, speech and language issues and behaviour difficulties. Also, a pupil with a possible hearing impairment has difficulty hearing and producing sounds correctly finds reading very difficult and tries hard to be enthused and motivated with no success. 70% of the class are also statemented with Global Developmental Delay.  Their level of learning and ability to embed concepts is low. It has been essential to educate parents throughout pupils’ education on the importance of reading, and how best they can support their child at home.    As Westwood (2011) insists, it is </w:t>
      </w:r>
      <w:r>
        <w:rPr>
          <w:rFonts w:ascii="Times New Roman" w:hAnsi="Times New Roman" w:cs="Times New Roman"/>
          <w:bCs/>
          <w:sz w:val="24"/>
          <w:szCs w:val="24"/>
        </w:rPr>
        <w:lastRenderedPageBreak/>
        <w:t>important for parents to understand targets set for their child, understanding that these targets are built on both strengths and weaknesses of pupil abilities (Westwood, 2011).  This school encourages parents to access open afternoons where reading strategies and activities are demonstrated, so that parents can transfer these skills into the home environment.</w:t>
      </w:r>
    </w:p>
    <w:p>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bCs/>
          <w:sz w:val="24"/>
          <w:szCs w:val="24"/>
        </w:rPr>
        <w:t xml:space="preserve"> </w:t>
      </w:r>
    </w:p>
    <w:p>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Procedures and Methods.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A range of procedures and methods were used over a period of 4 months from October 2018 to January 2019 to obtain the following data.     These procedures and methods were carried out on a group of ten children in the LSC2 class between the ages of seven and eleven.  Please see Appendix 1 for an overview of pupil background and needs. </w:t>
      </w:r>
    </w:p>
    <w:p>
      <w:pPr>
        <w:spacing w:line="360" w:lineRule="auto"/>
        <w:rPr>
          <w:rFonts w:ascii="Times New Roman" w:hAnsi="Times New Roman" w:cs="Times New Roman"/>
          <w:sz w:val="24"/>
          <w:szCs w:val="24"/>
        </w:rPr>
      </w:pPr>
      <w:r>
        <w:rPr>
          <w:rFonts w:ascii="Times New Roman" w:hAnsi="Times New Roman" w:cs="Times New Roman"/>
          <w:sz w:val="24"/>
          <w:szCs w:val="24"/>
        </w:rPr>
        <w:t>The wide range of procedures and methods used to inform the study. These are listed below.</w:t>
      </w:r>
    </w:p>
    <w:p>
      <w:pPr>
        <w:pStyle w:val="ListParagraph"/>
        <w:numPr>
          <w:ilvl w:val="0"/>
          <w:numId w:val="3"/>
        </w:numPr>
        <w:spacing w:after="0" w:line="360" w:lineRule="auto"/>
        <w:ind w:left="714" w:hanging="357"/>
        <w:rPr>
          <w:rFonts w:ascii="Times New Roman" w:hAnsi="Times New Roman" w:cs="Times New Roman"/>
          <w:sz w:val="24"/>
          <w:szCs w:val="24"/>
        </w:rPr>
      </w:pPr>
      <w:r>
        <w:rPr>
          <w:rFonts w:ascii="Times New Roman" w:hAnsi="Times New Roman" w:cs="Times New Roman"/>
          <w:sz w:val="24"/>
          <w:szCs w:val="24"/>
        </w:rPr>
        <w:t>Questionnaires.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Questionnaires were completed by each pupil on a one to one basis with a familiar adult and were differentiated for each pupil’s needs and abilities. Pupils were questioned about reading attitudes and confidence when reading at home and in school.   Questionnaires were completed in September 2018 and January 2019. Depending on pupil need and ability, questionnaires were reasonably adjusted to ensure all pupils could access the questions.  This gave a thorough and reliable source of data.  </w:t>
      </w:r>
    </w:p>
    <w:p>
      <w:pPr>
        <w:pStyle w:val="ListParagraph"/>
        <w:numPr>
          <w:ilvl w:val="0"/>
          <w:numId w:val="3"/>
        </w:numPr>
        <w:spacing w:after="0" w:line="360" w:lineRule="auto"/>
        <w:ind w:left="714" w:hanging="357"/>
        <w:rPr>
          <w:rFonts w:ascii="Times New Roman" w:hAnsi="Times New Roman" w:cs="Times New Roman"/>
          <w:sz w:val="24"/>
          <w:szCs w:val="24"/>
        </w:rPr>
      </w:pPr>
      <w:r>
        <w:rPr>
          <w:rFonts w:ascii="Times New Roman" w:hAnsi="Times New Roman" w:cs="Times New Roman"/>
          <w:sz w:val="24"/>
          <w:szCs w:val="24"/>
        </w:rPr>
        <w:t>Assessments.</w:t>
      </w:r>
    </w:p>
    <w:p>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Two methods of assessments were used to collect data.  </w:t>
      </w:r>
      <w:proofErr w:type="spellStart"/>
      <w:r>
        <w:rPr>
          <w:rFonts w:ascii="Times New Roman" w:hAnsi="Times New Roman" w:cs="Times New Roman"/>
          <w:sz w:val="24"/>
          <w:szCs w:val="24"/>
        </w:rPr>
        <w:t>Schonell</w:t>
      </w:r>
      <w:proofErr w:type="spellEnd"/>
      <w:r>
        <w:rPr>
          <w:rFonts w:ascii="Times New Roman" w:hAnsi="Times New Roman" w:cs="Times New Roman"/>
          <w:sz w:val="24"/>
          <w:szCs w:val="24"/>
        </w:rPr>
        <w:t xml:space="preserve"> reading assessments and INCERTS assessments. </w:t>
      </w:r>
      <w:proofErr w:type="spellStart"/>
      <w:r>
        <w:rPr>
          <w:rFonts w:ascii="Times New Roman" w:hAnsi="Times New Roman" w:cs="Times New Roman"/>
          <w:sz w:val="24"/>
          <w:szCs w:val="24"/>
        </w:rPr>
        <w:t>Schonell</w:t>
      </w:r>
      <w:proofErr w:type="spellEnd"/>
      <w:r>
        <w:rPr>
          <w:rFonts w:ascii="Times New Roman" w:hAnsi="Times New Roman" w:cs="Times New Roman"/>
          <w:sz w:val="24"/>
          <w:szCs w:val="24"/>
        </w:rPr>
        <w:t xml:space="preserve"> assessments were completed beginning of the academic year in October 2018 and at the beginning of the spring term in January 2019. Pupils were assessed on a one to one basis by an adult within the class, giving reading ages by determining number of individual words read correctly (until ten consecutive words were read incorrectly). </w:t>
      </w:r>
      <w:proofErr w:type="spellStart"/>
      <w:r>
        <w:rPr>
          <w:rFonts w:ascii="Times New Roman" w:hAnsi="Times New Roman" w:cs="Times New Roman"/>
          <w:sz w:val="24"/>
          <w:szCs w:val="24"/>
        </w:rPr>
        <w:t>Schonell</w:t>
      </w:r>
      <w:proofErr w:type="spellEnd"/>
      <w:r>
        <w:rPr>
          <w:rFonts w:ascii="Times New Roman" w:hAnsi="Times New Roman" w:cs="Times New Roman"/>
          <w:sz w:val="24"/>
          <w:szCs w:val="24"/>
        </w:rPr>
        <w:t xml:space="preserve"> assessments tests sight word vocabulary.  INCERTS is an online assessment tool used by the school.  It allows the teacher to assess each pupils’ phonological awareness / ability to break down and blend words, reading fluency and reading comprehension by means of identifying the National Curriculum level of each child.</w:t>
      </w:r>
    </w:p>
    <w:p>
      <w:pPr>
        <w:spacing w:after="0" w:line="360" w:lineRule="auto"/>
        <w:rPr>
          <w:rFonts w:ascii="Times New Roman" w:hAnsi="Times New Roman" w:cs="Times New Roman"/>
          <w:sz w:val="24"/>
          <w:szCs w:val="24"/>
        </w:rPr>
      </w:pPr>
    </w:p>
    <w:p>
      <w:pPr>
        <w:pStyle w:val="ListParagraph"/>
        <w:numPr>
          <w:ilvl w:val="0"/>
          <w:numId w:val="3"/>
        </w:num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Interventions and IEP targets.  </w:t>
      </w:r>
    </w:p>
    <w:p>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Teaching assistants within class were timetabled to support reading interventions working with individual pupils, groups of pupils, supporting a class of pupils and providing support in </w:t>
      </w:r>
      <w:r>
        <w:rPr>
          <w:rFonts w:ascii="Times New Roman" w:hAnsi="Times New Roman" w:cs="Times New Roman"/>
          <w:sz w:val="24"/>
          <w:szCs w:val="24"/>
        </w:rPr>
        <w:lastRenderedPageBreak/>
        <w:t>interventions outside of class such as rapid reading.  Rapid reading is a computer based intervention encouraging inclusion addressing reading fluency and comprehension skills. Pupil targets were generated from their individual Statement objectives (relating to part 3 of pupil’s statement of Special Educational Needs) and IEPs based on assessment tools previously mentioned. These targets were worked upon during daily practice.   An inclusive approach with views from pupils, parents and teachers influenced setting and monitoring of targets.</w:t>
      </w:r>
    </w:p>
    <w:p>
      <w:pPr>
        <w:spacing w:after="0" w:line="360" w:lineRule="auto"/>
        <w:rPr>
          <w:rFonts w:ascii="Times New Roman" w:hAnsi="Times New Roman" w:cs="Times New Roman"/>
          <w:sz w:val="24"/>
          <w:szCs w:val="24"/>
        </w:rPr>
      </w:pPr>
    </w:p>
    <w:p>
      <w:pPr>
        <w:pStyle w:val="ListParagraph"/>
        <w:numPr>
          <w:ilvl w:val="0"/>
          <w:numId w:val="5"/>
        </w:num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Presentation of analysis of findings. </w:t>
      </w:r>
    </w:p>
    <w:p>
      <w:pPr>
        <w:spacing w:line="360" w:lineRule="auto"/>
        <w:rPr>
          <w:rFonts w:ascii="Times New Roman" w:hAnsi="Times New Roman" w:cs="Times New Roman"/>
          <w:sz w:val="24"/>
          <w:szCs w:val="24"/>
        </w:rPr>
      </w:pPr>
      <w:r>
        <w:rPr>
          <w:rFonts w:ascii="Times New Roman" w:hAnsi="Times New Roman" w:cs="Times New Roman"/>
          <w:sz w:val="24"/>
          <w:szCs w:val="24"/>
        </w:rPr>
        <w:t>The analysis of the findings has been divided into separate categories-.</w:t>
      </w:r>
    </w:p>
    <w:p>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Questionnaires.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results of the questionnaires were used to inform pupil wellbeing and attitudes towards reading.  Below is a more detailed interrogation of the data after 4 months of implemented reading interventions and strategies.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Results of the questionnaires were as follows: </w:t>
      </w:r>
    </w:p>
    <w:tbl>
      <w:tblPr>
        <w:tblStyle w:val="TableGrid"/>
        <w:tblW w:w="0" w:type="auto"/>
        <w:tblLook w:val="04A0" w:firstRow="1" w:lastRow="0" w:firstColumn="1" w:lastColumn="0" w:noHBand="0" w:noVBand="1"/>
      </w:tblPr>
      <w:tblGrid>
        <w:gridCol w:w="1803"/>
        <w:gridCol w:w="1803"/>
        <w:gridCol w:w="1803"/>
        <w:gridCol w:w="1803"/>
        <w:gridCol w:w="1804"/>
      </w:tblGrid>
      <w:tr>
        <w:tc>
          <w:tcPr>
            <w:tcW w:w="1803" w:type="dxa"/>
            <w:vMerge w:val="restart"/>
          </w:tcPr>
          <w:p>
            <w:pPr>
              <w:spacing w:line="360" w:lineRule="auto"/>
              <w:rPr>
                <w:rFonts w:ascii="Times New Roman" w:hAnsi="Times New Roman" w:cs="Times New Roman"/>
                <w:sz w:val="24"/>
                <w:szCs w:val="24"/>
              </w:rPr>
            </w:pPr>
            <w:r>
              <w:rPr>
                <w:rFonts w:ascii="Times New Roman" w:hAnsi="Times New Roman" w:cs="Times New Roman"/>
                <w:sz w:val="24"/>
                <w:szCs w:val="24"/>
              </w:rPr>
              <w:t xml:space="preserve">Questions. </w:t>
            </w:r>
          </w:p>
        </w:tc>
        <w:tc>
          <w:tcPr>
            <w:tcW w:w="3606" w:type="dxa"/>
            <w:gridSpan w:val="2"/>
          </w:tcPr>
          <w:p>
            <w:pPr>
              <w:spacing w:line="360" w:lineRule="auto"/>
              <w:rPr>
                <w:rFonts w:ascii="Times New Roman" w:hAnsi="Times New Roman" w:cs="Times New Roman"/>
                <w:sz w:val="24"/>
                <w:szCs w:val="24"/>
              </w:rPr>
            </w:pPr>
            <w:r>
              <w:rPr>
                <w:rFonts w:ascii="Times New Roman" w:hAnsi="Times New Roman" w:cs="Times New Roman"/>
                <w:sz w:val="24"/>
                <w:szCs w:val="24"/>
              </w:rPr>
              <w:t>September 2018</w:t>
            </w:r>
          </w:p>
        </w:tc>
        <w:tc>
          <w:tcPr>
            <w:tcW w:w="3607" w:type="dxa"/>
            <w:gridSpan w:val="2"/>
          </w:tcPr>
          <w:p>
            <w:pPr>
              <w:spacing w:line="360" w:lineRule="auto"/>
              <w:rPr>
                <w:rFonts w:ascii="Times New Roman" w:hAnsi="Times New Roman" w:cs="Times New Roman"/>
                <w:sz w:val="24"/>
                <w:szCs w:val="24"/>
              </w:rPr>
            </w:pPr>
            <w:r>
              <w:rPr>
                <w:rFonts w:ascii="Times New Roman" w:hAnsi="Times New Roman" w:cs="Times New Roman"/>
                <w:sz w:val="24"/>
                <w:szCs w:val="24"/>
              </w:rPr>
              <w:t>January 2019</w:t>
            </w:r>
          </w:p>
        </w:tc>
      </w:tr>
      <w:tr>
        <w:tc>
          <w:tcPr>
            <w:tcW w:w="1803" w:type="dxa"/>
            <w:vMerge/>
          </w:tcPr>
          <w:p>
            <w:pPr>
              <w:spacing w:line="360" w:lineRule="auto"/>
              <w:rPr>
                <w:rFonts w:ascii="Times New Roman" w:hAnsi="Times New Roman" w:cs="Times New Roman"/>
                <w:sz w:val="24"/>
                <w:szCs w:val="24"/>
              </w:rPr>
            </w:pP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 yes</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 no.</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 yes</w:t>
            </w:r>
          </w:p>
        </w:tc>
        <w:tc>
          <w:tcPr>
            <w:tcW w:w="1804" w:type="dxa"/>
          </w:tcPr>
          <w:p>
            <w:pPr>
              <w:spacing w:line="360" w:lineRule="auto"/>
              <w:rPr>
                <w:rFonts w:ascii="Times New Roman" w:hAnsi="Times New Roman" w:cs="Times New Roman"/>
                <w:sz w:val="24"/>
                <w:szCs w:val="24"/>
              </w:rPr>
            </w:pPr>
            <w:r>
              <w:rPr>
                <w:rFonts w:ascii="Times New Roman" w:hAnsi="Times New Roman" w:cs="Times New Roman"/>
                <w:sz w:val="24"/>
                <w:szCs w:val="24"/>
              </w:rPr>
              <w:t xml:space="preserve">% no. </w:t>
            </w:r>
          </w:p>
        </w:tc>
      </w:tr>
      <w:tr>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Do you like reading in school?</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50%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50%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90%</w:t>
            </w:r>
          </w:p>
        </w:tc>
        <w:tc>
          <w:tcPr>
            <w:tcW w:w="1804" w:type="dxa"/>
          </w:tcPr>
          <w:p>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Do you like reading at home?</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70%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30%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 xml:space="preserve">90% </w:t>
            </w:r>
          </w:p>
        </w:tc>
        <w:tc>
          <w:tcPr>
            <w:tcW w:w="1804" w:type="dxa"/>
          </w:tcPr>
          <w:p>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Do you read with an adult at home</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60%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40%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 xml:space="preserve">90% </w:t>
            </w:r>
          </w:p>
        </w:tc>
        <w:tc>
          <w:tcPr>
            <w:tcW w:w="1804" w:type="dxa"/>
          </w:tcPr>
          <w:p>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Do you like reading a book with your class?</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80%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20%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100%</w:t>
            </w:r>
          </w:p>
        </w:tc>
        <w:tc>
          <w:tcPr>
            <w:tcW w:w="1804" w:type="dxa"/>
          </w:tcPr>
          <w:p>
            <w:pPr>
              <w:spacing w:line="360" w:lineRule="auto"/>
              <w:rPr>
                <w:rFonts w:ascii="Times New Roman" w:hAnsi="Times New Roman" w:cs="Times New Roman"/>
                <w:sz w:val="24"/>
                <w:szCs w:val="24"/>
              </w:rPr>
            </w:pPr>
            <w:r>
              <w:rPr>
                <w:rFonts w:ascii="Times New Roman" w:hAnsi="Times New Roman" w:cs="Times New Roman"/>
                <w:sz w:val="24"/>
                <w:szCs w:val="24"/>
              </w:rPr>
              <w:t>0%</w:t>
            </w:r>
          </w:p>
        </w:tc>
      </w:tr>
      <w:tr>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Do you like reading your flashcards?</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100%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60%</w:t>
            </w:r>
          </w:p>
        </w:tc>
        <w:tc>
          <w:tcPr>
            <w:tcW w:w="1804" w:type="dxa"/>
          </w:tcPr>
          <w:p>
            <w:pPr>
              <w:spacing w:line="360" w:lineRule="auto"/>
              <w:rPr>
                <w:rFonts w:ascii="Times New Roman" w:hAnsi="Times New Roman" w:cs="Times New Roman"/>
                <w:sz w:val="24"/>
                <w:szCs w:val="24"/>
              </w:rPr>
            </w:pPr>
            <w:r>
              <w:rPr>
                <w:rFonts w:ascii="Times New Roman" w:hAnsi="Times New Roman" w:cs="Times New Roman"/>
                <w:sz w:val="24"/>
                <w:szCs w:val="24"/>
              </w:rPr>
              <w:t>40%</w:t>
            </w:r>
          </w:p>
        </w:tc>
      </w:tr>
      <w:tr>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 xml:space="preserve">Do you like answering questions about stories? </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60%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40%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90%</w:t>
            </w:r>
          </w:p>
        </w:tc>
        <w:tc>
          <w:tcPr>
            <w:tcW w:w="1804" w:type="dxa"/>
          </w:tcPr>
          <w:p>
            <w:pPr>
              <w:spacing w:line="360" w:lineRule="auto"/>
              <w:rPr>
                <w:rFonts w:ascii="Times New Roman" w:hAnsi="Times New Roman" w:cs="Times New Roman"/>
                <w:sz w:val="24"/>
                <w:szCs w:val="24"/>
              </w:rPr>
            </w:pPr>
            <w:r>
              <w:rPr>
                <w:rFonts w:ascii="Times New Roman" w:hAnsi="Times New Roman" w:cs="Times New Roman"/>
                <w:sz w:val="24"/>
                <w:szCs w:val="24"/>
              </w:rPr>
              <w:t>10%</w:t>
            </w:r>
          </w:p>
        </w:tc>
      </w:tr>
      <w:tr>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Are they hard questions?</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30%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70%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10%</w:t>
            </w:r>
          </w:p>
        </w:tc>
        <w:tc>
          <w:tcPr>
            <w:tcW w:w="1804" w:type="dxa"/>
          </w:tcPr>
          <w:p>
            <w:pPr>
              <w:spacing w:line="360" w:lineRule="auto"/>
              <w:rPr>
                <w:rFonts w:ascii="Times New Roman" w:hAnsi="Times New Roman" w:cs="Times New Roman"/>
                <w:sz w:val="24"/>
                <w:szCs w:val="24"/>
              </w:rPr>
            </w:pPr>
            <w:r>
              <w:rPr>
                <w:rFonts w:ascii="Times New Roman" w:hAnsi="Times New Roman" w:cs="Times New Roman"/>
                <w:sz w:val="24"/>
                <w:szCs w:val="24"/>
              </w:rPr>
              <w:t>90%</w:t>
            </w:r>
          </w:p>
        </w:tc>
      </w:tr>
      <w:tr>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Are you a good reader?</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40%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60%</w:t>
            </w:r>
          </w:p>
        </w:tc>
        <w:tc>
          <w:tcPr>
            <w:tcW w:w="1803" w:type="dxa"/>
          </w:tcPr>
          <w:p>
            <w:pPr>
              <w:spacing w:line="360" w:lineRule="auto"/>
              <w:rPr>
                <w:rFonts w:ascii="Times New Roman" w:hAnsi="Times New Roman" w:cs="Times New Roman"/>
                <w:sz w:val="24"/>
                <w:szCs w:val="24"/>
              </w:rPr>
            </w:pPr>
            <w:r>
              <w:rPr>
                <w:rFonts w:ascii="Times New Roman" w:hAnsi="Times New Roman" w:cs="Times New Roman"/>
                <w:sz w:val="24"/>
                <w:szCs w:val="24"/>
              </w:rPr>
              <w:t>100%</w:t>
            </w:r>
          </w:p>
        </w:tc>
        <w:tc>
          <w:tcPr>
            <w:tcW w:w="1804" w:type="dxa"/>
          </w:tcPr>
          <w:p>
            <w:pPr>
              <w:spacing w:line="360" w:lineRule="auto"/>
              <w:rPr>
                <w:rFonts w:ascii="Times New Roman" w:hAnsi="Times New Roman" w:cs="Times New Roman"/>
                <w:sz w:val="24"/>
                <w:szCs w:val="24"/>
              </w:rPr>
            </w:pPr>
            <w:r>
              <w:rPr>
                <w:rFonts w:ascii="Times New Roman" w:hAnsi="Times New Roman" w:cs="Times New Roman"/>
                <w:sz w:val="24"/>
                <w:szCs w:val="24"/>
              </w:rPr>
              <w:t>0%</w:t>
            </w:r>
          </w:p>
        </w:tc>
      </w:tr>
    </w:tbl>
    <w:p>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a period of four months: </w:t>
      </w:r>
    </w:p>
    <w:p>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40% more pupils enjoyed reading more in school.</w:t>
      </w:r>
    </w:p>
    <w:p>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20% of pupils enjoyed reading at home.</w:t>
      </w:r>
    </w:p>
    <w:p>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30% more pupils read with an adult at home.</w:t>
      </w:r>
    </w:p>
    <w:p>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20% more of pupil enjoyed reading with their class.</w:t>
      </w:r>
    </w:p>
    <w:p>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 xml:space="preserve">60% more pupils enjoyed practising flashcards. </w:t>
      </w:r>
    </w:p>
    <w:p>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30% felt more confident to answer questions about a story.</w:t>
      </w:r>
    </w:p>
    <w:p>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20% less pupil thought questions were easier to answer.</w:t>
      </w:r>
    </w:p>
    <w:p>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60% more pupils thought that they were a good reader.</w:t>
      </w:r>
    </w:p>
    <w:p>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McKinlay</w:t>
      </w:r>
      <w:proofErr w:type="spellEnd"/>
      <w:r>
        <w:rPr>
          <w:rFonts w:ascii="Times New Roman" w:hAnsi="Times New Roman" w:cs="Times New Roman"/>
          <w:sz w:val="24"/>
          <w:szCs w:val="24"/>
        </w:rPr>
        <w:t xml:space="preserve"> (1990) discovered from her research that pupils with difficulties in reading had less positive attitudes to the practice of reading when compared to readers in mainstream classes (</w:t>
      </w:r>
      <w:proofErr w:type="spellStart"/>
      <w:r>
        <w:rPr>
          <w:rFonts w:ascii="Times New Roman" w:hAnsi="Times New Roman" w:cs="Times New Roman"/>
          <w:sz w:val="24"/>
          <w:szCs w:val="24"/>
        </w:rPr>
        <w:t>McKinlay</w:t>
      </w:r>
      <w:proofErr w:type="spellEnd"/>
      <w:r>
        <w:rPr>
          <w:rFonts w:ascii="Times New Roman" w:hAnsi="Times New Roman" w:cs="Times New Roman"/>
          <w:sz w:val="24"/>
          <w:szCs w:val="24"/>
        </w:rPr>
        <w:t xml:space="preserve">, 1990).  At the beginning of the academic year, a lack of confidence was evident.  However, after four months of interventions, 100% of pupils felt that they were a good reader and an increased in enjoyment of reading both at home and in school was highlighted.  Pupils were more cooperative with reading at home with adults and the general attitude towards reading shifted dramatically within the class.  The use of flashcards also proved successful with the more than half of the children enjoying the process of rote-learning them at home and within school through multisensory methods.  There was also a development of confidence surrounding reading and pupils were able to talk about and attempt to answer more readily.   </w:t>
      </w:r>
    </w:p>
    <w:p>
      <w:pPr>
        <w:spacing w:line="360" w:lineRule="auto"/>
        <w:rPr>
          <w:rFonts w:ascii="Times New Roman" w:hAnsi="Times New Roman" w:cs="Times New Roman"/>
          <w:sz w:val="24"/>
          <w:szCs w:val="24"/>
          <w:u w:val="single"/>
        </w:rPr>
      </w:pPr>
    </w:p>
    <w:p>
      <w:pPr>
        <w:spacing w:line="360" w:lineRule="auto"/>
        <w:rPr>
          <w:rFonts w:ascii="Times New Roman" w:hAnsi="Times New Roman" w:cs="Times New Roman"/>
          <w:sz w:val="24"/>
          <w:szCs w:val="24"/>
          <w:u w:val="single"/>
        </w:rPr>
      </w:pPr>
      <w:proofErr w:type="spellStart"/>
      <w:r>
        <w:rPr>
          <w:rFonts w:ascii="Times New Roman" w:hAnsi="Times New Roman" w:cs="Times New Roman"/>
          <w:sz w:val="24"/>
          <w:szCs w:val="24"/>
          <w:u w:val="single"/>
        </w:rPr>
        <w:lastRenderedPageBreak/>
        <w:t>Schonell</w:t>
      </w:r>
      <w:proofErr w:type="spellEnd"/>
      <w:r>
        <w:rPr>
          <w:rFonts w:ascii="Times New Roman" w:hAnsi="Times New Roman" w:cs="Times New Roman"/>
          <w:sz w:val="24"/>
          <w:szCs w:val="24"/>
          <w:u w:val="single"/>
        </w:rPr>
        <w:t xml:space="preserve"> Assessments.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results of </w:t>
      </w:r>
      <w:proofErr w:type="spellStart"/>
      <w:r>
        <w:rPr>
          <w:rFonts w:ascii="Times New Roman" w:hAnsi="Times New Roman" w:cs="Times New Roman"/>
          <w:sz w:val="24"/>
          <w:szCs w:val="24"/>
        </w:rPr>
        <w:t>Schonell</w:t>
      </w:r>
      <w:proofErr w:type="spellEnd"/>
      <w:r>
        <w:rPr>
          <w:rFonts w:ascii="Times New Roman" w:hAnsi="Times New Roman" w:cs="Times New Roman"/>
          <w:sz w:val="24"/>
          <w:szCs w:val="24"/>
        </w:rPr>
        <w:t xml:space="preserve"> assessments were as follows: </w:t>
      </w:r>
    </w:p>
    <w:tbl>
      <w:tblPr>
        <w:tblStyle w:val="TableGrid"/>
        <w:tblW w:w="8642" w:type="dxa"/>
        <w:tblLook w:val="04A0" w:firstRow="1" w:lastRow="0" w:firstColumn="1" w:lastColumn="0" w:noHBand="0" w:noVBand="1"/>
      </w:tblPr>
      <w:tblGrid>
        <w:gridCol w:w="1413"/>
        <w:gridCol w:w="2551"/>
        <w:gridCol w:w="1560"/>
        <w:gridCol w:w="1559"/>
        <w:gridCol w:w="1559"/>
      </w:tblGrid>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Pupil</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Need</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October 2018</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t>Reading age</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January 2019</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t>Reading age</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Difference in reading age</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Y3 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SAL, MLD, LAC,</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t>Hyperthyroidism</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6.5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6.7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+ 2 months</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3 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Epilepsy, VI, GDD</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+ 0 months</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3 Female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SLD, SAL, Asthma</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6.9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6.10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+ 1 month</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4 Male</w:t>
            </w:r>
          </w:p>
        </w:tc>
        <w:tc>
          <w:tcPr>
            <w:tcW w:w="2551" w:type="dxa"/>
          </w:tcPr>
          <w:p>
            <w:pPr>
              <w:spacing w:after="200" w:line="360" w:lineRule="auto"/>
              <w:jc w:val="center"/>
              <w:rPr>
                <w:rFonts w:ascii="Times New Roman" w:hAnsi="Times New Roman" w:cs="Times New Roman"/>
                <w:sz w:val="24"/>
                <w:szCs w:val="24"/>
              </w:rPr>
            </w:pPr>
            <w:r>
              <w:rPr>
                <w:rFonts w:ascii="Times New Roman" w:hAnsi="Times New Roman" w:cs="Times New Roman"/>
                <w:sz w:val="24"/>
                <w:szCs w:val="24"/>
              </w:rPr>
              <w:t>Epilepsy, FSM, MLD</w:t>
            </w:r>
          </w:p>
          <w:p>
            <w:pPr>
              <w:spacing w:line="360" w:lineRule="auto"/>
              <w:jc w:val="center"/>
              <w:rPr>
                <w:rFonts w:ascii="Times New Roman" w:hAnsi="Times New Roman" w:cs="Times New Roman"/>
                <w:sz w:val="24"/>
                <w:szCs w:val="24"/>
              </w:rPr>
            </w:pP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6.5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6.7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+ 2 months</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4 Female</w:t>
            </w:r>
          </w:p>
        </w:tc>
        <w:tc>
          <w:tcPr>
            <w:tcW w:w="2551" w:type="dxa"/>
          </w:tcPr>
          <w:p>
            <w:pPr>
              <w:spacing w:after="200" w:line="360" w:lineRule="auto"/>
              <w:jc w:val="center"/>
              <w:rPr>
                <w:rFonts w:ascii="Times New Roman" w:hAnsi="Times New Roman" w:cs="Times New Roman"/>
                <w:sz w:val="24"/>
                <w:szCs w:val="24"/>
              </w:rPr>
            </w:pPr>
            <w:r>
              <w:rPr>
                <w:rFonts w:ascii="Times New Roman" w:hAnsi="Times New Roman" w:cs="Times New Roman"/>
                <w:sz w:val="24"/>
                <w:szCs w:val="24"/>
              </w:rPr>
              <w:t>SAL, GDD, LAC</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6.8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6.11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+ 3 months</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5 Female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SAL, GDD</w:t>
            </w:r>
          </w:p>
          <w:p>
            <w:pPr>
              <w:spacing w:line="360" w:lineRule="auto"/>
              <w:jc w:val="center"/>
              <w:rPr>
                <w:rFonts w:ascii="Times New Roman" w:hAnsi="Times New Roman" w:cs="Times New Roman"/>
                <w:sz w:val="24"/>
                <w:szCs w:val="24"/>
              </w:rPr>
            </w:pP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6.4yrs</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- 4 months</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6 Male</w:t>
            </w:r>
          </w:p>
        </w:tc>
        <w:tc>
          <w:tcPr>
            <w:tcW w:w="2551" w:type="dxa"/>
          </w:tcPr>
          <w:p>
            <w:pPr>
              <w:spacing w:after="200" w:line="360" w:lineRule="auto"/>
              <w:jc w:val="center"/>
              <w:rPr>
                <w:rFonts w:ascii="Times New Roman" w:hAnsi="Times New Roman" w:cs="Times New Roman"/>
                <w:sz w:val="24"/>
                <w:szCs w:val="24"/>
              </w:rPr>
            </w:pPr>
            <w:r>
              <w:rPr>
                <w:rFonts w:ascii="Times New Roman" w:hAnsi="Times New Roman" w:cs="Times New Roman"/>
                <w:sz w:val="24"/>
                <w:szCs w:val="24"/>
              </w:rPr>
              <w:t>SAL, GDD, LAC, VI, OT</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6.4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6.4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 months</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6 Male</w:t>
            </w:r>
          </w:p>
          <w:p>
            <w:pPr>
              <w:spacing w:line="360" w:lineRule="auto"/>
              <w:rPr>
                <w:rFonts w:ascii="Times New Roman" w:hAnsi="Times New Roman" w:cs="Times New Roman"/>
                <w:sz w:val="24"/>
                <w:szCs w:val="24"/>
              </w:rPr>
            </w:pP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SAL, ASD, MLD</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6.10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6.10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 months</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6 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GDD, SAL, LAC</w:t>
            </w:r>
          </w:p>
          <w:p>
            <w:pPr>
              <w:spacing w:line="360" w:lineRule="auto"/>
              <w:jc w:val="center"/>
              <w:rPr>
                <w:rFonts w:ascii="Times New Roman" w:hAnsi="Times New Roman" w:cs="Times New Roman"/>
                <w:sz w:val="24"/>
                <w:szCs w:val="24"/>
              </w:rPr>
            </w:pP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7.2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7.5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+ 3 month</w:t>
            </w:r>
          </w:p>
        </w:tc>
      </w:tr>
      <w:tr>
        <w:trPr>
          <w:trHeight w:val="667"/>
        </w:trPr>
        <w:tc>
          <w:tcPr>
            <w:tcW w:w="1413" w:type="dxa"/>
          </w:tcPr>
          <w:p>
            <w:pPr>
              <w:spacing w:line="360" w:lineRule="auto"/>
              <w:rPr>
                <w:rFonts w:ascii="Times New Roman" w:hAnsi="Times New Roman" w:cs="Times New Roman"/>
                <w:sz w:val="24"/>
                <w:szCs w:val="24"/>
              </w:rPr>
            </w:pPr>
            <w:r>
              <w:rPr>
                <w:rFonts w:ascii="Times New Roman" w:hAnsi="Times New Roman" w:cs="Times New Roman"/>
                <w:sz w:val="24"/>
                <w:szCs w:val="24"/>
              </w:rPr>
              <w:t>Y 6 Female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MLD, ADHD</w:t>
            </w:r>
          </w:p>
          <w:p>
            <w:pPr>
              <w:spacing w:line="360" w:lineRule="auto"/>
              <w:rPr>
                <w:rFonts w:ascii="Times New Roman" w:hAnsi="Times New Roman" w:cs="Times New Roman"/>
                <w:sz w:val="24"/>
                <w:szCs w:val="24"/>
              </w:rPr>
            </w:pP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7.10 </w:t>
            </w:r>
            <w:proofErr w:type="spellStart"/>
            <w:r>
              <w:rPr>
                <w:rFonts w:ascii="Times New Roman" w:hAnsi="Times New Roman" w:cs="Times New Roman"/>
                <w:sz w:val="24"/>
                <w:szCs w:val="24"/>
              </w:rPr>
              <w:t>yrs</w:t>
            </w:r>
            <w:proofErr w:type="spellEnd"/>
            <w:r>
              <w:rPr>
                <w:rFonts w:ascii="Times New Roman" w:hAnsi="Times New Roman" w:cs="Times New Roman"/>
                <w:sz w:val="24"/>
                <w:szCs w:val="24"/>
              </w:rPr>
              <w:t xml:space="preserve"> </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8.6 </w:t>
            </w:r>
            <w:proofErr w:type="spellStart"/>
            <w:r>
              <w:rPr>
                <w:rFonts w:ascii="Times New Roman" w:hAnsi="Times New Roman" w:cs="Times New Roman"/>
                <w:sz w:val="24"/>
                <w:szCs w:val="24"/>
              </w:rPr>
              <w:t>yrs</w:t>
            </w:r>
            <w:proofErr w:type="spellEnd"/>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+ 7 months</w:t>
            </w:r>
          </w:p>
        </w:tc>
      </w:tr>
    </w:tbl>
    <w:p>
      <w:pPr>
        <w:spacing w:line="360" w:lineRule="auto"/>
        <w:rPr>
          <w:rFonts w:ascii="Times New Roman" w:hAnsi="Times New Roman" w:cs="Times New Roman"/>
          <w:sz w:val="24"/>
          <w:szCs w:val="24"/>
        </w:rPr>
      </w:pPr>
      <w:r>
        <w:rPr>
          <w:rFonts w:ascii="Times New Roman" w:hAnsi="Times New Roman" w:cs="Times New Roman"/>
          <w:sz w:val="24"/>
          <w:szCs w:val="24"/>
        </w:rPr>
        <w:t>From the data, it is evident that:</w:t>
      </w:r>
    </w:p>
    <w:p>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60% of pupils achieved over 1 month’s progress in their reading.</w:t>
      </w:r>
    </w:p>
    <w:p>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 xml:space="preserve">40% of children’s reading did not develop or progress their reading of individual words. </w:t>
      </w:r>
    </w:p>
    <w:p>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 xml:space="preserve">3/6 males developed achieved over one month’s progress in their reading.  </w:t>
      </w:r>
    </w:p>
    <w:p>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3/6 male pupils’ reading did not progress.</w:t>
      </w:r>
    </w:p>
    <w:p>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1/4 female pupils’ reading age decreased in age by 4 months.</w:t>
      </w:r>
    </w:p>
    <w:p>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 xml:space="preserve">3/4 females age improved by one month or more. </w:t>
      </w:r>
    </w:p>
    <w:p>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66% of pupils who receive Speech and Language input from outside agencies achieved 1 month or more progress with their reading. </w:t>
      </w:r>
    </w:p>
    <w:p>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75% of pupils looked after by the Local Authority progressed by 1 month or more with their reading.</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use of </w:t>
      </w:r>
      <w:proofErr w:type="spellStart"/>
      <w:r>
        <w:rPr>
          <w:rFonts w:ascii="Times New Roman" w:hAnsi="Times New Roman" w:cs="Times New Roman"/>
          <w:sz w:val="24"/>
          <w:szCs w:val="24"/>
        </w:rPr>
        <w:t>Schonell</w:t>
      </w:r>
      <w:proofErr w:type="spellEnd"/>
      <w:r>
        <w:rPr>
          <w:rFonts w:ascii="Times New Roman" w:hAnsi="Times New Roman" w:cs="Times New Roman"/>
          <w:sz w:val="24"/>
          <w:szCs w:val="24"/>
        </w:rPr>
        <w:t xml:space="preserve"> assessments gave initial levels of pupil ‘sight word’ ability.  The data highlights ability to break down and blend sounds to read a word.    The findings reflect the development or lack of development that pupils made with their general phonological awareness skills.  It has given opportunity to reassess strategies used to help teach some pupils identify, break down and blend phonics, whilst also giving evidence needed for possible referrals to specialist outside agencies to further support their learning. Similarly, </w:t>
      </w:r>
      <w:proofErr w:type="spellStart"/>
      <w:r>
        <w:rPr>
          <w:rFonts w:ascii="Times New Roman" w:hAnsi="Times New Roman" w:cs="Times New Roman"/>
          <w:sz w:val="24"/>
          <w:szCs w:val="24"/>
        </w:rPr>
        <w:t>Schonell</w:t>
      </w:r>
      <w:proofErr w:type="spellEnd"/>
      <w:r>
        <w:rPr>
          <w:rFonts w:ascii="Times New Roman" w:hAnsi="Times New Roman" w:cs="Times New Roman"/>
          <w:sz w:val="24"/>
          <w:szCs w:val="24"/>
        </w:rPr>
        <w:t xml:space="preserve"> assessments have linked closely with Speech and Language sessions that focus on sound identification and production through interventions such as POPAT.  Thus, ensuring pupils received maximum exposure to the learning and embedding of phonics.  </w:t>
      </w:r>
    </w:p>
    <w:p>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INCERTS Assessment data.</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results of pupil National Curriculum levels were as follows: </w:t>
      </w:r>
    </w:p>
    <w:tbl>
      <w:tblPr>
        <w:tblStyle w:val="TableGrid"/>
        <w:tblW w:w="8642" w:type="dxa"/>
        <w:tblLook w:val="04A0" w:firstRow="1" w:lastRow="0" w:firstColumn="1" w:lastColumn="0" w:noHBand="0" w:noVBand="1"/>
      </w:tblPr>
      <w:tblGrid>
        <w:gridCol w:w="1413"/>
        <w:gridCol w:w="2551"/>
        <w:gridCol w:w="1560"/>
        <w:gridCol w:w="1559"/>
        <w:gridCol w:w="1559"/>
      </w:tblGrid>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Pupil</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Need</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Sept 2018</w:t>
            </w:r>
          </w:p>
          <w:p>
            <w:pPr>
              <w:spacing w:line="360" w:lineRule="auto"/>
              <w:jc w:val="center"/>
              <w:rPr>
                <w:rFonts w:ascii="Times New Roman" w:hAnsi="Times New Roman" w:cs="Times New Roman"/>
                <w:sz w:val="24"/>
                <w:szCs w:val="24"/>
              </w:rPr>
            </w:pPr>
            <w:proofErr w:type="spellStart"/>
            <w:r>
              <w:rPr>
                <w:rFonts w:ascii="Times New Roman" w:hAnsi="Times New Roman" w:cs="Times New Roman"/>
                <w:sz w:val="24"/>
                <w:szCs w:val="24"/>
              </w:rPr>
              <w:t>Incerts</w:t>
            </w:r>
            <w:proofErr w:type="spellEnd"/>
            <w:r>
              <w:rPr>
                <w:rFonts w:ascii="Times New Roman" w:hAnsi="Times New Roman" w:cs="Times New Roman"/>
                <w:sz w:val="24"/>
                <w:szCs w:val="24"/>
              </w:rPr>
              <w:t xml:space="preserve"> level</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January 2019</w:t>
            </w:r>
          </w:p>
          <w:p>
            <w:pPr>
              <w:spacing w:line="360" w:lineRule="auto"/>
              <w:jc w:val="center"/>
              <w:rPr>
                <w:rFonts w:ascii="Times New Roman" w:hAnsi="Times New Roman" w:cs="Times New Roman"/>
                <w:sz w:val="24"/>
                <w:szCs w:val="24"/>
              </w:rPr>
            </w:pPr>
            <w:proofErr w:type="spellStart"/>
            <w:r>
              <w:rPr>
                <w:rFonts w:ascii="Times New Roman" w:hAnsi="Times New Roman" w:cs="Times New Roman"/>
                <w:sz w:val="24"/>
                <w:szCs w:val="24"/>
              </w:rPr>
              <w:t>Incerts</w:t>
            </w:r>
            <w:proofErr w:type="spellEnd"/>
            <w:r>
              <w:rPr>
                <w:rFonts w:ascii="Times New Roman" w:hAnsi="Times New Roman" w:cs="Times New Roman"/>
                <w:sz w:val="24"/>
                <w:szCs w:val="24"/>
              </w:rPr>
              <w:t xml:space="preserve"> level</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Difference </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Y3 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SAL, MLD, LAC,</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t>Hyperthyroidism</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0.00</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1.20</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+1.20</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3 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Epilepsy, VI, GDD</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0.00</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0.87</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+0.87</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3 Female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SLD, SAL, Asthma</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0.00</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1.44</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+1.44</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4 Male</w:t>
            </w:r>
          </w:p>
        </w:tc>
        <w:tc>
          <w:tcPr>
            <w:tcW w:w="2551" w:type="dxa"/>
          </w:tcPr>
          <w:p>
            <w:pPr>
              <w:spacing w:after="200" w:line="360" w:lineRule="auto"/>
              <w:jc w:val="center"/>
              <w:rPr>
                <w:rFonts w:ascii="Times New Roman" w:hAnsi="Times New Roman" w:cs="Times New Roman"/>
                <w:sz w:val="24"/>
                <w:szCs w:val="24"/>
              </w:rPr>
            </w:pPr>
            <w:r>
              <w:rPr>
                <w:rFonts w:ascii="Times New Roman" w:hAnsi="Times New Roman" w:cs="Times New Roman"/>
                <w:sz w:val="24"/>
                <w:szCs w:val="24"/>
              </w:rPr>
              <w:t>Epilepsy, FSM, MLD</w:t>
            </w:r>
          </w:p>
          <w:p>
            <w:pPr>
              <w:spacing w:line="360" w:lineRule="auto"/>
              <w:jc w:val="center"/>
              <w:rPr>
                <w:rFonts w:ascii="Times New Roman" w:hAnsi="Times New Roman" w:cs="Times New Roman"/>
                <w:sz w:val="24"/>
                <w:szCs w:val="24"/>
              </w:rPr>
            </w:pP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1.28</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1.48</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+0.20</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4 Female</w:t>
            </w:r>
          </w:p>
        </w:tc>
        <w:tc>
          <w:tcPr>
            <w:tcW w:w="2551" w:type="dxa"/>
          </w:tcPr>
          <w:p>
            <w:pPr>
              <w:spacing w:after="200" w:line="360" w:lineRule="auto"/>
              <w:jc w:val="center"/>
              <w:rPr>
                <w:rFonts w:ascii="Times New Roman" w:hAnsi="Times New Roman" w:cs="Times New Roman"/>
                <w:sz w:val="24"/>
                <w:szCs w:val="24"/>
              </w:rPr>
            </w:pPr>
            <w:r>
              <w:rPr>
                <w:rFonts w:ascii="Times New Roman" w:hAnsi="Times New Roman" w:cs="Times New Roman"/>
                <w:sz w:val="24"/>
                <w:szCs w:val="24"/>
              </w:rPr>
              <w:t>SAL, GDD, LAC</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1.67</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1.89</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+0.22</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5 Female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SAL, GDD</w:t>
            </w:r>
          </w:p>
          <w:p>
            <w:pPr>
              <w:spacing w:line="360" w:lineRule="auto"/>
              <w:jc w:val="center"/>
              <w:rPr>
                <w:rFonts w:ascii="Times New Roman" w:hAnsi="Times New Roman" w:cs="Times New Roman"/>
                <w:sz w:val="24"/>
                <w:szCs w:val="24"/>
              </w:rPr>
            </w:pP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1.34</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1.74</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+0.40</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6 Male</w:t>
            </w:r>
          </w:p>
        </w:tc>
        <w:tc>
          <w:tcPr>
            <w:tcW w:w="2551" w:type="dxa"/>
          </w:tcPr>
          <w:p>
            <w:pPr>
              <w:spacing w:after="200" w:line="360" w:lineRule="auto"/>
              <w:jc w:val="center"/>
              <w:rPr>
                <w:rFonts w:ascii="Times New Roman" w:hAnsi="Times New Roman" w:cs="Times New Roman"/>
                <w:sz w:val="24"/>
                <w:szCs w:val="24"/>
              </w:rPr>
            </w:pPr>
            <w:r>
              <w:rPr>
                <w:rFonts w:ascii="Times New Roman" w:hAnsi="Times New Roman" w:cs="Times New Roman"/>
                <w:sz w:val="24"/>
                <w:szCs w:val="24"/>
              </w:rPr>
              <w:t>SAL, GDD, LAC, VI, OT</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1.82</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1.89</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+ 0.07</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Y 6 Male</w:t>
            </w:r>
          </w:p>
          <w:p>
            <w:pPr>
              <w:spacing w:line="360" w:lineRule="auto"/>
              <w:rPr>
                <w:rFonts w:ascii="Times New Roman" w:hAnsi="Times New Roman" w:cs="Times New Roman"/>
                <w:sz w:val="24"/>
                <w:szCs w:val="24"/>
              </w:rPr>
            </w:pP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SAL, ASD, MLD</w:t>
            </w: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1.82</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2.14</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+0.32</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6 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GDD, SAL, LAC</w:t>
            </w:r>
          </w:p>
          <w:p>
            <w:pPr>
              <w:spacing w:line="360" w:lineRule="auto"/>
              <w:jc w:val="center"/>
              <w:rPr>
                <w:rFonts w:ascii="Times New Roman" w:hAnsi="Times New Roman" w:cs="Times New Roman"/>
                <w:sz w:val="24"/>
                <w:szCs w:val="24"/>
              </w:rPr>
            </w:pP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2.32</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2.57</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+0.25</w:t>
            </w:r>
          </w:p>
        </w:tc>
      </w:tr>
      <w:tr>
        <w:trPr>
          <w:trHeight w:val="667"/>
        </w:trPr>
        <w:tc>
          <w:tcPr>
            <w:tcW w:w="1413" w:type="dxa"/>
          </w:tcPr>
          <w:p>
            <w:pPr>
              <w:spacing w:line="360" w:lineRule="auto"/>
              <w:rPr>
                <w:rFonts w:ascii="Times New Roman" w:hAnsi="Times New Roman" w:cs="Times New Roman"/>
                <w:sz w:val="24"/>
                <w:szCs w:val="24"/>
              </w:rPr>
            </w:pPr>
            <w:r>
              <w:rPr>
                <w:rFonts w:ascii="Times New Roman" w:hAnsi="Times New Roman" w:cs="Times New Roman"/>
                <w:sz w:val="24"/>
                <w:szCs w:val="24"/>
              </w:rPr>
              <w:t>Y 6 Female</w:t>
            </w:r>
          </w:p>
        </w:tc>
        <w:tc>
          <w:tcPr>
            <w:tcW w:w="255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MLD, ADHD</w:t>
            </w:r>
          </w:p>
          <w:p>
            <w:pPr>
              <w:spacing w:line="360" w:lineRule="auto"/>
              <w:rPr>
                <w:rFonts w:ascii="Times New Roman" w:hAnsi="Times New Roman" w:cs="Times New Roman"/>
                <w:sz w:val="24"/>
                <w:szCs w:val="24"/>
              </w:rPr>
            </w:pPr>
          </w:p>
        </w:tc>
        <w:tc>
          <w:tcPr>
            <w:tcW w:w="1560"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3.45 </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3.77</w:t>
            </w:r>
          </w:p>
        </w:tc>
        <w:tc>
          <w:tcPr>
            <w:tcW w:w="1559"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+0.32</w:t>
            </w:r>
          </w:p>
        </w:tc>
      </w:tr>
    </w:tbl>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findings are as follows: </w:t>
      </w:r>
    </w:p>
    <w:p>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 xml:space="preserve">66% of year 3 pupils who worked through one level of reading within four months. </w:t>
      </w:r>
    </w:p>
    <w:p>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 xml:space="preserve">100% of pupils who accessed the rapid reading intervention developed their reading by over .2 of a level within 4 months. </w:t>
      </w:r>
    </w:p>
    <w:p>
      <w:pPr>
        <w:spacing w:line="360" w:lineRule="auto"/>
        <w:rPr>
          <w:rFonts w:ascii="Times New Roman" w:hAnsi="Times New Roman" w:cs="Times New Roman"/>
          <w:sz w:val="24"/>
          <w:szCs w:val="24"/>
        </w:rPr>
      </w:pPr>
      <w:r>
        <w:rPr>
          <w:rFonts w:ascii="Times New Roman" w:hAnsi="Times New Roman" w:cs="Times New Roman"/>
          <w:sz w:val="24"/>
          <w:szCs w:val="24"/>
        </w:rPr>
        <w:t>The results of the INCERTS have shown an increase for all pupils reading abilities.  The reading skills assessed by INCERTS include the child’s ability to read simple / more complex texts including general understanding of what they read, the opinions they express about the text / characters / settings and ability to read aloud to an audience and ability to transfer reading skills to other curriculum areas.  The use of INCERTs also informed IEP targets.</w:t>
      </w:r>
    </w:p>
    <w:p>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IEP targets and interventions.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Below are percentages of pupils’ IEP success rates (reading targets only).  </w:t>
      </w:r>
    </w:p>
    <w:tbl>
      <w:tblPr>
        <w:tblStyle w:val="TableGrid"/>
        <w:tblW w:w="9493" w:type="dxa"/>
        <w:tblLook w:val="04A0" w:firstRow="1" w:lastRow="0" w:firstColumn="1" w:lastColumn="0" w:noHBand="0" w:noVBand="1"/>
      </w:tblPr>
      <w:tblGrid>
        <w:gridCol w:w="1403"/>
        <w:gridCol w:w="2121"/>
        <w:gridCol w:w="1684"/>
        <w:gridCol w:w="1736"/>
        <w:gridCol w:w="1273"/>
        <w:gridCol w:w="1276"/>
      </w:tblGrid>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Pupil</w:t>
            </w:r>
          </w:p>
        </w:tc>
        <w:tc>
          <w:tcPr>
            <w:tcW w:w="212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Need</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No of targets set</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Nature of target</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No. of targets achieved,</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Percentage achieved. </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Y3 Male</w:t>
            </w:r>
          </w:p>
        </w:tc>
        <w:tc>
          <w:tcPr>
            <w:tcW w:w="212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SAL, MLD, LAC,</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t>Hyperthyroidism</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High frequency words</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100%</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3 Male</w:t>
            </w:r>
          </w:p>
        </w:tc>
        <w:tc>
          <w:tcPr>
            <w:tcW w:w="212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Epilepsy, VI, GDD</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CVC words</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100%</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3 Female</w:t>
            </w:r>
          </w:p>
        </w:tc>
        <w:tc>
          <w:tcPr>
            <w:tcW w:w="212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SLD, SAL, Asthma</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High frequency words</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100%</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4 Male</w:t>
            </w:r>
          </w:p>
        </w:tc>
        <w:tc>
          <w:tcPr>
            <w:tcW w:w="2126" w:type="dxa"/>
          </w:tcPr>
          <w:p>
            <w:pPr>
              <w:spacing w:after="200" w:line="360" w:lineRule="auto"/>
              <w:jc w:val="center"/>
              <w:rPr>
                <w:rFonts w:ascii="Times New Roman" w:hAnsi="Times New Roman" w:cs="Times New Roman"/>
                <w:sz w:val="24"/>
                <w:szCs w:val="24"/>
              </w:rPr>
            </w:pPr>
            <w:r>
              <w:rPr>
                <w:rFonts w:ascii="Times New Roman" w:hAnsi="Times New Roman" w:cs="Times New Roman"/>
                <w:sz w:val="24"/>
                <w:szCs w:val="24"/>
              </w:rPr>
              <w:t>Epilepsy, FSM, MLD</w:t>
            </w:r>
          </w:p>
          <w:p>
            <w:pPr>
              <w:spacing w:line="360" w:lineRule="auto"/>
              <w:jc w:val="center"/>
              <w:rPr>
                <w:rFonts w:ascii="Times New Roman" w:hAnsi="Times New Roman" w:cs="Times New Roman"/>
                <w:sz w:val="24"/>
                <w:szCs w:val="24"/>
              </w:rPr>
            </w:pP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High frequency words</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100%</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4 Female</w:t>
            </w:r>
          </w:p>
        </w:tc>
        <w:tc>
          <w:tcPr>
            <w:tcW w:w="2126" w:type="dxa"/>
          </w:tcPr>
          <w:p>
            <w:pPr>
              <w:spacing w:after="200" w:line="360" w:lineRule="auto"/>
              <w:jc w:val="center"/>
              <w:rPr>
                <w:rFonts w:ascii="Times New Roman" w:hAnsi="Times New Roman" w:cs="Times New Roman"/>
                <w:sz w:val="24"/>
                <w:szCs w:val="24"/>
              </w:rPr>
            </w:pPr>
            <w:r>
              <w:rPr>
                <w:rFonts w:ascii="Times New Roman" w:hAnsi="Times New Roman" w:cs="Times New Roman"/>
                <w:sz w:val="24"/>
                <w:szCs w:val="24"/>
              </w:rPr>
              <w:t>SAL, GDD, LAC</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High frequency words</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100%</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Y 5 Female</w:t>
            </w:r>
          </w:p>
        </w:tc>
        <w:tc>
          <w:tcPr>
            <w:tcW w:w="212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SAL, GDD</w:t>
            </w:r>
          </w:p>
          <w:p>
            <w:pPr>
              <w:spacing w:line="360" w:lineRule="auto"/>
              <w:jc w:val="center"/>
              <w:rPr>
                <w:rFonts w:ascii="Times New Roman" w:hAnsi="Times New Roman" w:cs="Times New Roman"/>
                <w:sz w:val="24"/>
                <w:szCs w:val="24"/>
              </w:rPr>
            </w:pP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High frequency words</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0%</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6 Male</w:t>
            </w:r>
          </w:p>
        </w:tc>
        <w:tc>
          <w:tcPr>
            <w:tcW w:w="2126" w:type="dxa"/>
          </w:tcPr>
          <w:p>
            <w:pPr>
              <w:spacing w:after="200" w:line="360" w:lineRule="auto"/>
              <w:jc w:val="center"/>
              <w:rPr>
                <w:rFonts w:ascii="Times New Roman" w:hAnsi="Times New Roman" w:cs="Times New Roman"/>
                <w:sz w:val="24"/>
                <w:szCs w:val="24"/>
              </w:rPr>
            </w:pPr>
            <w:r>
              <w:rPr>
                <w:rFonts w:ascii="Times New Roman" w:hAnsi="Times New Roman" w:cs="Times New Roman"/>
                <w:sz w:val="24"/>
                <w:szCs w:val="24"/>
              </w:rPr>
              <w:t>SAL, GDD, LAC, VI, OT</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High frequency words</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100%</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6 Male</w:t>
            </w:r>
          </w:p>
          <w:p>
            <w:pPr>
              <w:spacing w:line="360" w:lineRule="auto"/>
              <w:rPr>
                <w:rFonts w:ascii="Times New Roman" w:hAnsi="Times New Roman" w:cs="Times New Roman"/>
                <w:sz w:val="24"/>
                <w:szCs w:val="24"/>
              </w:rPr>
            </w:pPr>
          </w:p>
        </w:tc>
        <w:tc>
          <w:tcPr>
            <w:tcW w:w="212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SAL, ASD, MLD</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High frequency words</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100%</w:t>
            </w:r>
          </w:p>
        </w:tc>
      </w:tr>
      <w:tr>
        <w:trPr>
          <w:trHeight w:val="667"/>
        </w:trPr>
        <w:tc>
          <w:tcPr>
            <w:tcW w:w="1413"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Y 6 Male</w:t>
            </w:r>
          </w:p>
        </w:tc>
        <w:tc>
          <w:tcPr>
            <w:tcW w:w="212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GDD, SAL, LAC</w:t>
            </w:r>
          </w:p>
          <w:p>
            <w:pPr>
              <w:spacing w:line="360" w:lineRule="auto"/>
              <w:jc w:val="center"/>
              <w:rPr>
                <w:rFonts w:ascii="Times New Roman" w:hAnsi="Times New Roman" w:cs="Times New Roman"/>
                <w:sz w:val="24"/>
                <w:szCs w:val="24"/>
              </w:rPr>
            </w:pP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Comprehension</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100%</w:t>
            </w:r>
          </w:p>
        </w:tc>
      </w:tr>
      <w:tr>
        <w:trPr>
          <w:trHeight w:val="667"/>
        </w:trPr>
        <w:tc>
          <w:tcPr>
            <w:tcW w:w="1413" w:type="dxa"/>
          </w:tcPr>
          <w:p>
            <w:pPr>
              <w:spacing w:line="360" w:lineRule="auto"/>
              <w:rPr>
                <w:rFonts w:ascii="Times New Roman" w:hAnsi="Times New Roman" w:cs="Times New Roman"/>
                <w:sz w:val="24"/>
                <w:szCs w:val="24"/>
              </w:rPr>
            </w:pPr>
            <w:r>
              <w:rPr>
                <w:rFonts w:ascii="Times New Roman" w:hAnsi="Times New Roman" w:cs="Times New Roman"/>
                <w:sz w:val="24"/>
                <w:szCs w:val="24"/>
              </w:rPr>
              <w:t>Y 6 Female</w:t>
            </w:r>
          </w:p>
        </w:tc>
        <w:tc>
          <w:tcPr>
            <w:tcW w:w="212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MLD, ADHD</w:t>
            </w:r>
          </w:p>
          <w:p>
            <w:pPr>
              <w:spacing w:line="360" w:lineRule="auto"/>
              <w:rPr>
                <w:rFonts w:ascii="Times New Roman" w:hAnsi="Times New Roman" w:cs="Times New Roman"/>
                <w:sz w:val="24"/>
                <w:szCs w:val="24"/>
              </w:rPr>
            </w:pP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1701"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Comprehension</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1276" w:type="dxa"/>
          </w:tcPr>
          <w:p>
            <w:pPr>
              <w:spacing w:line="360" w:lineRule="auto"/>
              <w:jc w:val="center"/>
              <w:rPr>
                <w:rFonts w:ascii="Times New Roman" w:hAnsi="Times New Roman" w:cs="Times New Roman"/>
                <w:sz w:val="24"/>
                <w:szCs w:val="24"/>
              </w:rPr>
            </w:pPr>
            <w:r>
              <w:rPr>
                <w:rFonts w:ascii="Times New Roman" w:hAnsi="Times New Roman" w:cs="Times New Roman"/>
                <w:sz w:val="24"/>
                <w:szCs w:val="24"/>
              </w:rPr>
              <w:t>100%</w:t>
            </w:r>
          </w:p>
        </w:tc>
      </w:tr>
    </w:tbl>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findings are as follows: </w:t>
      </w:r>
    </w:p>
    <w:p>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IEP success rates of pupils within the LSC class showed a 90% of pupils achieved their reading focused targets. </w:t>
      </w:r>
    </w:p>
    <w:p>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80% of targets are word recognition targets.</w:t>
      </w:r>
    </w:p>
    <w:p>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20% of targets are comprehension focused. </w:t>
      </w:r>
    </w:p>
    <w:p>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10% of pupils did not achieve their reading targets.   </w:t>
      </w:r>
    </w:p>
    <w:p>
      <w:pPr>
        <w:spacing w:line="360" w:lineRule="auto"/>
        <w:rPr>
          <w:rFonts w:ascii="Times New Roman" w:hAnsi="Times New Roman" w:cs="Times New Roman"/>
          <w:sz w:val="24"/>
          <w:szCs w:val="24"/>
        </w:rPr>
      </w:pPr>
      <w:r>
        <w:rPr>
          <w:rFonts w:ascii="Times New Roman" w:hAnsi="Times New Roman" w:cs="Times New Roman"/>
          <w:sz w:val="24"/>
          <w:szCs w:val="24"/>
        </w:rPr>
        <w:t>IEP targets are generated with pupil interests and views.  Reflecting the ethos of the new ALN draft code of practice in Wales, setting of IEP targets ensured pupils played a central role in the decisions made in their education.  The use of pupil voice activities and inclusive interventions also reflected this.  The ALN draft code of practice in Wales (2018) states that:</w:t>
      </w:r>
    </w:p>
    <w:p>
      <w:pPr>
        <w:pStyle w:val="ListParagraph"/>
        <w:spacing w:line="360" w:lineRule="auto"/>
        <w:rPr>
          <w:rFonts w:ascii="Times New Roman" w:hAnsi="Times New Roman" w:cs="Times New Roman"/>
          <w:sz w:val="24"/>
          <w:szCs w:val="24"/>
          <w:highlight w:val="yellow"/>
        </w:rPr>
      </w:pPr>
      <w:r>
        <w:rPr>
          <w:rFonts w:ascii="Times New Roman" w:hAnsi="Times New Roman" w:cs="Times New Roman"/>
          <w:sz w:val="24"/>
          <w:szCs w:val="24"/>
        </w:rPr>
        <w:t>A rights-based approach where the views, wishes and feelings of the child, child’s parent or young person are central to the planning and provision of support; and the child, child’s parent or young person are enabled to participate as fully as possible in the decision making processes.</w:t>
      </w:r>
    </w:p>
    <w:p>
      <w:pPr>
        <w:spacing w:line="360" w:lineRule="auto"/>
        <w:jc w:val="right"/>
        <w:rPr>
          <w:rFonts w:ascii="Times New Roman" w:hAnsi="Times New Roman" w:cs="Times New Roman"/>
          <w:sz w:val="24"/>
          <w:szCs w:val="24"/>
        </w:rPr>
      </w:pPr>
      <w:r>
        <w:rPr>
          <w:rFonts w:ascii="Times New Roman" w:hAnsi="Times New Roman" w:cs="Times New Roman"/>
          <w:sz w:val="24"/>
          <w:szCs w:val="24"/>
        </w:rPr>
        <w:t>(Welsh Assembly Government, 2018, p. 34).</w:t>
      </w:r>
    </w:p>
    <w:p>
      <w:pPr>
        <w:spacing w:line="360" w:lineRule="auto"/>
        <w:rPr>
          <w:rFonts w:ascii="Times New Roman" w:hAnsi="Times New Roman" w:cs="Times New Roman"/>
          <w:sz w:val="24"/>
          <w:szCs w:val="24"/>
        </w:rPr>
      </w:pPr>
      <w:r>
        <w:rPr>
          <w:rFonts w:ascii="Times New Roman" w:hAnsi="Times New Roman" w:cs="Times New Roman"/>
          <w:bCs/>
          <w:sz w:val="24"/>
          <w:szCs w:val="24"/>
        </w:rPr>
        <w:t xml:space="preserve">This pupil centred approach to reading proved successful.  90% of pupils in the class achieved reading IEP targets which included a reading CVC, High Frequency words and monosyllabic through use of flashcards and shared / individual reading sessions.  The Rose report (2009) supports word recognition skills involving the teaching and learning of synthetic phonics and focusing on pronunciation of sounds (Rose, 2009).  This also targeted 50% of pupil’s speech and language targets, where sound production was a main area for </w:t>
      </w:r>
      <w:r>
        <w:rPr>
          <w:rFonts w:ascii="Times New Roman" w:hAnsi="Times New Roman" w:cs="Times New Roman"/>
          <w:bCs/>
          <w:sz w:val="24"/>
          <w:szCs w:val="24"/>
        </w:rPr>
        <w:lastRenderedPageBreak/>
        <w:t xml:space="preserve">development.  </w:t>
      </w:r>
      <w:r>
        <w:rPr>
          <w:rFonts w:ascii="Times New Roman" w:hAnsi="Times New Roman" w:cs="Times New Roman"/>
          <w:sz w:val="24"/>
          <w:szCs w:val="24"/>
        </w:rPr>
        <w:t xml:space="preserve">McDougall (2009) supports the use of flashcards for daily practice by stating that pupils need to work upon identifying key words frequently to build their ability to read sight vocabulary words.  He also presents flashcards as a great resource (Mc </w:t>
      </w:r>
      <w:proofErr w:type="spellStart"/>
      <w:r>
        <w:rPr>
          <w:rFonts w:ascii="Times New Roman" w:hAnsi="Times New Roman" w:cs="Times New Roman"/>
          <w:sz w:val="24"/>
          <w:szCs w:val="24"/>
        </w:rPr>
        <w:t>Dougall</w:t>
      </w:r>
      <w:proofErr w:type="spellEnd"/>
      <w:r>
        <w:rPr>
          <w:rFonts w:ascii="Times New Roman" w:hAnsi="Times New Roman" w:cs="Times New Roman"/>
          <w:sz w:val="24"/>
          <w:szCs w:val="24"/>
        </w:rPr>
        <w:t>, 2009)</w:t>
      </w:r>
      <w:r>
        <w:rPr>
          <w:rFonts w:ascii="Times New Roman" w:hAnsi="Times New Roman" w:cs="Times New Roman"/>
          <w:bCs/>
          <w:sz w:val="24"/>
          <w:szCs w:val="24"/>
        </w:rPr>
        <w:t xml:space="preserve">.  </w:t>
      </w:r>
      <w:r>
        <w:rPr>
          <w:rFonts w:ascii="Times New Roman" w:hAnsi="Times New Roman" w:cs="Times New Roman"/>
          <w:sz w:val="24"/>
          <w:szCs w:val="24"/>
        </w:rPr>
        <w:t xml:space="preserve">In view of this, there are arguments opposing the use of sight word assessments and monitoring procedures.  </w:t>
      </w:r>
      <w:r>
        <w:rPr>
          <w:rFonts w:ascii="Times New Roman" w:hAnsi="Times New Roman" w:cs="Times New Roman"/>
          <w:bCs/>
          <w:sz w:val="24"/>
          <w:szCs w:val="24"/>
        </w:rPr>
        <w:t xml:space="preserve">Harrison states that “Having a large vocabulary of rapidly recognised words is the </w:t>
      </w:r>
      <w:r>
        <w:rPr>
          <w:rFonts w:ascii="Times New Roman" w:hAnsi="Times New Roman" w:cs="Times New Roman"/>
          <w:bCs/>
          <w:i/>
          <w:sz w:val="24"/>
          <w:szCs w:val="24"/>
        </w:rPr>
        <w:t>result</w:t>
      </w:r>
      <w:r>
        <w:rPr>
          <w:rFonts w:ascii="Times New Roman" w:hAnsi="Times New Roman" w:cs="Times New Roman"/>
          <w:bCs/>
          <w:sz w:val="24"/>
          <w:szCs w:val="24"/>
        </w:rPr>
        <w:t xml:space="preserve"> of being a good reader, not the </w:t>
      </w:r>
      <w:r>
        <w:rPr>
          <w:rFonts w:ascii="Times New Roman" w:hAnsi="Times New Roman" w:cs="Times New Roman"/>
          <w:bCs/>
          <w:i/>
          <w:sz w:val="24"/>
          <w:szCs w:val="24"/>
        </w:rPr>
        <w:t>cause…”</w:t>
      </w:r>
      <w:r>
        <w:rPr>
          <w:rFonts w:ascii="Times New Roman" w:hAnsi="Times New Roman" w:cs="Times New Roman"/>
          <w:bCs/>
          <w:sz w:val="24"/>
          <w:szCs w:val="24"/>
        </w:rPr>
        <w:t xml:space="preserve"> (Harrison, 2004. P 37).  He continues to discuss flashcards stating that “they would not necessarily achieve anything except boredom and random guessing for many children” (Harrison, 2004.p37).   </w:t>
      </w:r>
      <w:r>
        <w:rPr>
          <w:rFonts w:ascii="Times New Roman" w:hAnsi="Times New Roman" w:cs="Times New Roman"/>
          <w:sz w:val="24"/>
          <w:szCs w:val="24"/>
        </w:rPr>
        <w:t xml:space="preserve">Kroeger (2009) also disagrees with the use of flashcards and stated that a pupil may be able to read a word correctly, but not know its meaning.  This might lead to lack of understanding of what is being read (Kroeger 2009 cited in Westwood, P. 2011, p112).  We must also consider the possibility of pupils losing their flashcards and inability to access them which would inhibit them to access flashcards and progress their sight-word ability.  Alternatively, some pupils do not have support at home with help to read a book or flashcards. If they do practice themselves, there might be misconceptions about the breaking down and blending of words as well as their ability to understand and discuss stories.  For pupils with support at home, flashcards were evidently effective and with this in mind, maybe reasonable adjustments for more support in class would be a suitable next step forward for those who do not receive the support at home.  </w:t>
      </w:r>
    </w:p>
    <w:p>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To target the ‘sight word’ abilities and understanding of texts, daily exposure to individual and shared reading was implemented.  This impacted positively on 60% of pupils’ sight word reading ages and comprehension by an average of three months.   Over the period of four months, pupils became more confident and interested in reading, using pupil voice discussions to inform multisensory classroom areas, linking them closely with events, characters and key words presented in the book read that week.  </w:t>
      </w:r>
      <w:proofErr w:type="spellStart"/>
      <w:r>
        <w:rPr>
          <w:rFonts w:ascii="Times New Roman" w:hAnsi="Times New Roman" w:cs="Times New Roman"/>
          <w:sz w:val="24"/>
          <w:szCs w:val="24"/>
        </w:rPr>
        <w:t>Grigg</w:t>
      </w:r>
      <w:proofErr w:type="spellEnd"/>
      <w:r>
        <w:rPr>
          <w:rFonts w:ascii="Times New Roman" w:hAnsi="Times New Roman" w:cs="Times New Roman"/>
          <w:sz w:val="24"/>
          <w:szCs w:val="24"/>
        </w:rPr>
        <w:t xml:space="preserve"> (2010) sets out criteria that supports shared and individual reading.  He explains that to discuss a story is customary practice of teachers, identifying what the pupils want to achieve from reading the book, calling upon existing knowledge and retelling events is what makes children good readers (</w:t>
      </w:r>
      <w:proofErr w:type="spellStart"/>
      <w:r>
        <w:rPr>
          <w:rFonts w:ascii="Times New Roman" w:hAnsi="Times New Roman" w:cs="Times New Roman"/>
          <w:sz w:val="24"/>
          <w:szCs w:val="24"/>
        </w:rPr>
        <w:t>Grigg</w:t>
      </w:r>
      <w:proofErr w:type="spellEnd"/>
      <w:r>
        <w:rPr>
          <w:rFonts w:ascii="Times New Roman" w:hAnsi="Times New Roman" w:cs="Times New Roman"/>
          <w:sz w:val="24"/>
          <w:szCs w:val="24"/>
        </w:rPr>
        <w:t xml:space="preserve">, 2010).  </w:t>
      </w:r>
      <w:r>
        <w:rPr>
          <w:rFonts w:ascii="Times New Roman" w:hAnsi="Times New Roman" w:cs="Times New Roman"/>
          <w:bCs/>
          <w:sz w:val="24"/>
          <w:szCs w:val="24"/>
        </w:rPr>
        <w:t xml:space="preserve">Griffiths and Burns (2014) also support the approach to shared and individual reading.  They insist that stories can help pupils express emotional responses and develop emotional literacy skills- an essential skill in the classroom (Griffith and Burns, 2014).  They continue to support the use of stories as they believe it is how everyone learns about the world, especially when stories are multisensory and memorable (Griffiths and Burns, 2014). </w:t>
      </w:r>
    </w:p>
    <w:p>
      <w:pPr>
        <w:spacing w:line="360" w:lineRule="auto"/>
        <w:rPr>
          <w:rFonts w:ascii="Times New Roman" w:hAnsi="Times New Roman" w:cs="Times New Roman"/>
          <w:bCs/>
          <w:sz w:val="24"/>
          <w:szCs w:val="24"/>
        </w:rPr>
      </w:pPr>
      <w:r>
        <w:rPr>
          <w:rFonts w:ascii="Times New Roman" w:hAnsi="Times New Roman" w:cs="Times New Roman"/>
          <w:sz w:val="24"/>
          <w:szCs w:val="24"/>
        </w:rPr>
        <w:lastRenderedPageBreak/>
        <w:t xml:space="preserve">Despite this, some pupils only developed overall reading abilities by a marginal increase, reflecting implications of shared / individual reading.  </w:t>
      </w:r>
      <w:proofErr w:type="spellStart"/>
      <w:r>
        <w:rPr>
          <w:rFonts w:ascii="Times New Roman" w:hAnsi="Times New Roman" w:cs="Times New Roman"/>
          <w:sz w:val="24"/>
          <w:szCs w:val="24"/>
        </w:rPr>
        <w:t>Wearmouth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Soler</w:t>
      </w:r>
      <w:proofErr w:type="spellEnd"/>
      <w:r>
        <w:rPr>
          <w:rFonts w:ascii="Times New Roman" w:hAnsi="Times New Roman" w:cs="Times New Roman"/>
          <w:sz w:val="24"/>
          <w:szCs w:val="24"/>
        </w:rPr>
        <w:t xml:space="preserve"> and Reid (2003) reference the possible lack of individualised learning that shared reading may present, where the particular needs of students of lower abilities are not always sufficiently addressed (</w:t>
      </w:r>
      <w:proofErr w:type="spellStart"/>
      <w:r>
        <w:rPr>
          <w:rFonts w:ascii="Times New Roman" w:hAnsi="Times New Roman" w:cs="Times New Roman"/>
          <w:sz w:val="24"/>
          <w:szCs w:val="24"/>
        </w:rPr>
        <w:t>Wearmouth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Soler</w:t>
      </w:r>
      <w:proofErr w:type="spellEnd"/>
      <w:r>
        <w:rPr>
          <w:rFonts w:ascii="Times New Roman" w:hAnsi="Times New Roman" w:cs="Times New Roman"/>
          <w:sz w:val="24"/>
          <w:szCs w:val="24"/>
        </w:rPr>
        <w:t xml:space="preserve"> and Reid, 2003).  10% of the pupils who did not progress their sight word knowledge or achieve any reading IEP targets avoided these multisensory literacy based classroom tasks and required 1 to 1 support from an adult to complete correctly.  In sight of this, perhaps not enough adaptations or adjustments were made to differentiate tasks for these pupils.  </w:t>
      </w:r>
    </w:p>
    <w:p>
      <w:pPr>
        <w:spacing w:line="360" w:lineRule="auto"/>
        <w:ind w:firstLine="360"/>
        <w:rPr>
          <w:rFonts w:ascii="Times New Roman" w:hAnsi="Times New Roman" w:cs="Times New Roman"/>
          <w:sz w:val="24"/>
          <w:szCs w:val="24"/>
          <w:highlight w:val="yellow"/>
        </w:rPr>
      </w:pPr>
      <w:r>
        <w:rPr>
          <w:rFonts w:ascii="Times New Roman" w:hAnsi="Times New Roman" w:cs="Times New Roman"/>
          <w:sz w:val="24"/>
          <w:szCs w:val="24"/>
        </w:rPr>
        <w:t xml:space="preserve">Resources were used in every area of the class maintaining a visual, kinaesthetic and auditory rich environment.  Specialist resources included use of sound mats, literacy based tuff spots making topical words, high frequency word identification sheets and phonic based interactive tasks. POPAT games provided by Speech and Language Therapists also embedded the breaking down, segmenting and blending of sounds whilst focusing on correct pronunciation of CV, VC and CVC words.    Role play areas of the class were also linked to topical key words where literacy rich areas of the class included a sports shop, vets surgery and polar animal themed story corner.  This evaluation of multisensory activities linked to shared and individual reading is thus supported by Westwood’s research.  He insists that a multisensory approach to the learning of reading can help children (Westwood, 2011).  Classroom environments are also of vital importance, their failure to adapt to reading needs of pupils can result in a lack of achievement (Westwood, 2011). </w:t>
      </w:r>
    </w:p>
    <w:p>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Rapid reading is a reading comprehension based intervention.  Children worked with a familiar adult in a different area of the school.  Rapid reading activities included identifying individual words, developing fluency and answering comprehension questions about a range of different text genres. The new ALN draft code of conduct for Wales emphasises the importance of an inclusive education stating: </w:t>
      </w:r>
    </w:p>
    <w:p>
      <w:pPr>
        <w:spacing w:line="36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45720" distB="45720" distL="114300" distR="114300" simplePos="0" relativeHeight="251669504" behindDoc="0" locked="0" layoutInCell="1" allowOverlap="1">
                <wp:simplePos x="0" y="0"/>
                <wp:positionH relativeFrom="margin">
                  <wp:posOffset>482600</wp:posOffset>
                </wp:positionH>
                <wp:positionV relativeFrom="paragraph">
                  <wp:posOffset>-2540</wp:posOffset>
                </wp:positionV>
                <wp:extent cx="4927600" cy="2082800"/>
                <wp:effectExtent l="0" t="0" r="635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7600" cy="2082800"/>
                        </a:xfrm>
                        <a:prstGeom prst="rect">
                          <a:avLst/>
                        </a:prstGeom>
                        <a:solidFill>
                          <a:srgbClr val="FFFFFF"/>
                        </a:solidFill>
                        <a:ln w="9525">
                          <a:noFill/>
                          <a:miter lim="800000"/>
                          <a:headEnd/>
                          <a:tailEnd/>
                        </a:ln>
                      </wps:spPr>
                      <wps:txbx>
                        <w:txbxContent>
                          <w:p>
                            <w:pPr>
                              <w:spacing w:line="360" w:lineRule="auto"/>
                              <w:rPr>
                                <w:rFonts w:ascii="Times New Roman" w:hAnsi="Times New Roman" w:cs="Times New Roman"/>
                                <w:bCs/>
                                <w:sz w:val="24"/>
                                <w:szCs w:val="24"/>
                              </w:rPr>
                            </w:pPr>
                            <w:r>
                              <w:rPr>
                                <w:rFonts w:ascii="Times New Roman" w:hAnsi="Times New Roman" w:cs="Times New Roman"/>
                                <w:bCs/>
                                <w:sz w:val="24"/>
                                <w:szCs w:val="24"/>
                              </w:rPr>
                              <w:t>Inclusive education (is) where children and young people are supported to participate fully in mainstream education, wherever feasible, and a whole setting approach is taken to meeting the needs of learners with ALN…</w:t>
                            </w:r>
                          </w:p>
                          <w:p>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2.20 The Welsh Government considers that an inclusive education, where individual learners receive a tailored education and additional support to reach their full potential, is of benefit to all.  </w:t>
                            </w:r>
                          </w:p>
                          <w:p>
                            <w:pPr>
                              <w:spacing w:line="360" w:lineRule="auto"/>
                              <w:jc w:val="right"/>
                              <w:rPr>
                                <w:rFonts w:ascii="Times New Roman" w:hAnsi="Times New Roman" w:cs="Times New Roman"/>
                                <w:bCs/>
                                <w:sz w:val="24"/>
                                <w:szCs w:val="24"/>
                              </w:rPr>
                            </w:pPr>
                            <w:r>
                              <w:rPr>
                                <w:rFonts w:ascii="Times New Roman" w:hAnsi="Times New Roman" w:cs="Times New Roman"/>
                                <w:sz w:val="24"/>
                                <w:szCs w:val="24"/>
                              </w:rPr>
                              <w:t>(</w:t>
                            </w:r>
                            <w:hyperlink r:id="rId7" w:history="1">
                              <w:r>
                                <w:rPr>
                                  <w:rStyle w:val="Hyperlink"/>
                                  <w:rFonts w:ascii="Times New Roman" w:hAnsi="Times New Roman" w:cs="Times New Roman"/>
                                  <w:bCs/>
                                  <w:color w:val="auto"/>
                                  <w:sz w:val="24"/>
                                  <w:szCs w:val="24"/>
                                  <w:u w:val="none"/>
                                </w:rPr>
                                <w:t>Welsh Assembly Government, 2018, p. 34</w:t>
                              </w:r>
                            </w:hyperlink>
                            <w:r>
                              <w:rPr>
                                <w:rFonts w:ascii="Times New Roman" w:hAnsi="Times New Roman" w:cs="Times New Roman"/>
                                <w:bCs/>
                                <w:sz w:val="24"/>
                                <w:szCs w:val="24"/>
                              </w:rPr>
                              <w:t>-38)</w:t>
                            </w:r>
                          </w:p>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38pt;margin-top:-.2pt;width:388pt;height:164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" stroked="f">
                <v:textbox>
                  <w:txbxContent>
                    <w:p w:rsidR="00CD52B1" w:rsidRPr="0031623C" w:rsidRDefault="00CD52B1" w:rsidP="0031623C">
                      <w:pPr>
                        <w:spacing w:line="360" w:lineRule="auto"/>
                        <w:rPr>
                          <w:rFonts w:ascii="Times New Roman" w:hAnsi="Times New Roman" w:cs="Times New Roman"/>
                          <w:bCs/>
                          <w:sz w:val="24"/>
                          <w:szCs w:val="24"/>
                        </w:rPr>
                      </w:pPr>
                      <w:r w:rsidRPr="0031623C">
                        <w:rPr>
                          <w:rFonts w:ascii="Times New Roman" w:hAnsi="Times New Roman" w:cs="Times New Roman"/>
                          <w:bCs/>
                          <w:sz w:val="24"/>
                          <w:szCs w:val="24"/>
                        </w:rPr>
                        <w:t>Inclusive education (is) where children and young people are supported to participate fully in mainstream education, wherever feasible, and a whole setting approach is taken to meeting</w:t>
                      </w:r>
                      <w:r w:rsidR="006573C3">
                        <w:rPr>
                          <w:rFonts w:ascii="Times New Roman" w:hAnsi="Times New Roman" w:cs="Times New Roman"/>
                          <w:bCs/>
                          <w:sz w:val="24"/>
                          <w:szCs w:val="24"/>
                        </w:rPr>
                        <w:t xml:space="preserve"> the needs of learners with ALN…</w:t>
                      </w:r>
                    </w:p>
                    <w:p w:rsidR="006573C3" w:rsidRDefault="00CD52B1" w:rsidP="0031623C">
                      <w:pPr>
                        <w:spacing w:line="360" w:lineRule="auto"/>
                        <w:rPr>
                          <w:rFonts w:ascii="Times New Roman" w:hAnsi="Times New Roman" w:cs="Times New Roman"/>
                          <w:bCs/>
                          <w:sz w:val="24"/>
                          <w:szCs w:val="24"/>
                        </w:rPr>
                      </w:pPr>
                      <w:r w:rsidRPr="0031623C">
                        <w:rPr>
                          <w:rFonts w:ascii="Times New Roman" w:hAnsi="Times New Roman" w:cs="Times New Roman"/>
                          <w:bCs/>
                          <w:sz w:val="24"/>
                          <w:szCs w:val="24"/>
                        </w:rPr>
                        <w:t xml:space="preserve">2.20 The Welsh Government considers that an inclusive education, where individual learners receive a tailored education and additional support to reach their full potential, is of benefit to all.  </w:t>
                      </w:r>
                    </w:p>
                    <w:p w:rsidR="00CD52B1" w:rsidRPr="0031623C" w:rsidRDefault="006573C3" w:rsidP="006573C3">
                      <w:pPr>
                        <w:spacing w:line="360" w:lineRule="auto"/>
                        <w:jc w:val="right"/>
                        <w:rPr>
                          <w:rFonts w:ascii="Times New Roman" w:hAnsi="Times New Roman" w:cs="Times New Roman"/>
                          <w:bCs/>
                          <w:sz w:val="24"/>
                          <w:szCs w:val="24"/>
                        </w:rPr>
                      </w:pPr>
                      <w:r>
                        <w:rPr>
                          <w:rFonts w:ascii="Times New Roman" w:hAnsi="Times New Roman" w:cs="Times New Roman"/>
                          <w:sz w:val="24"/>
                          <w:szCs w:val="24"/>
                        </w:rPr>
                        <w:t>(</w:t>
                      </w:r>
                      <w:hyperlink r:id="rId8" w:history="1">
                        <w:r w:rsidRPr="00D351AA">
                          <w:rPr>
                            <w:rStyle w:val="Hyperlink"/>
                            <w:rFonts w:ascii="Times New Roman" w:hAnsi="Times New Roman" w:cs="Times New Roman"/>
                            <w:bCs/>
                            <w:color w:val="auto"/>
                            <w:sz w:val="24"/>
                            <w:szCs w:val="24"/>
                            <w:u w:val="none"/>
                          </w:rPr>
                          <w:t xml:space="preserve">Welsh </w:t>
                        </w:r>
                        <w:r>
                          <w:rPr>
                            <w:rStyle w:val="Hyperlink"/>
                            <w:rFonts w:ascii="Times New Roman" w:hAnsi="Times New Roman" w:cs="Times New Roman"/>
                            <w:bCs/>
                            <w:color w:val="auto"/>
                            <w:sz w:val="24"/>
                            <w:szCs w:val="24"/>
                            <w:u w:val="none"/>
                          </w:rPr>
                          <w:t>Assembly Government, 2018,</w:t>
                        </w:r>
                        <w:r w:rsidRPr="00D351AA">
                          <w:rPr>
                            <w:rStyle w:val="Hyperlink"/>
                            <w:rFonts w:ascii="Times New Roman" w:hAnsi="Times New Roman" w:cs="Times New Roman"/>
                            <w:bCs/>
                            <w:color w:val="auto"/>
                            <w:sz w:val="24"/>
                            <w:szCs w:val="24"/>
                            <w:u w:val="none"/>
                          </w:rPr>
                          <w:t xml:space="preserve"> </w:t>
                        </w:r>
                        <w:r>
                          <w:rPr>
                            <w:rStyle w:val="Hyperlink"/>
                            <w:rFonts w:ascii="Times New Roman" w:hAnsi="Times New Roman" w:cs="Times New Roman"/>
                            <w:bCs/>
                            <w:color w:val="auto"/>
                            <w:sz w:val="24"/>
                            <w:szCs w:val="24"/>
                            <w:u w:val="none"/>
                          </w:rPr>
                          <w:t>p</w:t>
                        </w:r>
                        <w:r>
                          <w:rPr>
                            <w:rStyle w:val="Hyperlink"/>
                            <w:rFonts w:ascii="Times New Roman" w:hAnsi="Times New Roman" w:cs="Times New Roman"/>
                            <w:bCs/>
                            <w:color w:val="auto"/>
                            <w:sz w:val="24"/>
                            <w:szCs w:val="24"/>
                            <w:u w:val="none"/>
                          </w:rPr>
                          <w:t xml:space="preserve">. </w:t>
                        </w:r>
                        <w:r w:rsidRPr="00D351AA">
                          <w:rPr>
                            <w:rStyle w:val="Hyperlink"/>
                            <w:rFonts w:ascii="Times New Roman" w:hAnsi="Times New Roman" w:cs="Times New Roman"/>
                            <w:bCs/>
                            <w:color w:val="auto"/>
                            <w:sz w:val="24"/>
                            <w:szCs w:val="24"/>
                            <w:u w:val="none"/>
                          </w:rPr>
                          <w:t>34</w:t>
                        </w:r>
                      </w:hyperlink>
                      <w:r>
                        <w:rPr>
                          <w:rFonts w:ascii="Times New Roman" w:hAnsi="Times New Roman" w:cs="Times New Roman"/>
                          <w:bCs/>
                          <w:sz w:val="24"/>
                          <w:szCs w:val="24"/>
                        </w:rPr>
                        <w:t>-</w:t>
                      </w:r>
                      <w:r w:rsidRPr="00D351AA">
                        <w:rPr>
                          <w:rFonts w:ascii="Times New Roman" w:hAnsi="Times New Roman" w:cs="Times New Roman"/>
                          <w:bCs/>
                          <w:sz w:val="24"/>
                          <w:szCs w:val="24"/>
                        </w:rPr>
                        <w:t>38</w:t>
                      </w:r>
                      <w:r>
                        <w:rPr>
                          <w:rFonts w:ascii="Times New Roman" w:hAnsi="Times New Roman" w:cs="Times New Roman"/>
                          <w:bCs/>
                          <w:sz w:val="24"/>
                          <w:szCs w:val="24"/>
                        </w:rPr>
                        <w:t>)</w:t>
                      </w:r>
                    </w:p>
                    <w:p w:rsidR="00CD52B1" w:rsidRDefault="00CD52B1"/>
                  </w:txbxContent>
                </v:textbox>
                <w10:wrap anchorx="margin"/>
              </v:shape>
            </w:pict>
          </mc:Fallback>
        </mc:AlternateContent>
      </w:r>
    </w:p>
    <w:p>
      <w:pPr>
        <w:spacing w:line="360" w:lineRule="auto"/>
        <w:jc w:val="right"/>
        <w:rPr>
          <w:rFonts w:ascii="Times New Roman" w:hAnsi="Times New Roman" w:cs="Times New Roman"/>
          <w:sz w:val="24"/>
          <w:szCs w:val="24"/>
        </w:rPr>
      </w:pPr>
    </w:p>
    <w:p>
      <w:pPr>
        <w:spacing w:line="360" w:lineRule="auto"/>
        <w:jc w:val="right"/>
        <w:rPr>
          <w:rFonts w:ascii="Times New Roman" w:hAnsi="Times New Roman" w:cs="Times New Roman"/>
          <w:sz w:val="24"/>
          <w:szCs w:val="24"/>
        </w:rPr>
      </w:pPr>
    </w:p>
    <w:p>
      <w:pPr>
        <w:spacing w:line="360" w:lineRule="auto"/>
        <w:jc w:val="right"/>
        <w:rPr>
          <w:rFonts w:ascii="Times New Roman" w:hAnsi="Times New Roman" w:cs="Times New Roman"/>
          <w:sz w:val="24"/>
          <w:szCs w:val="24"/>
        </w:rPr>
      </w:pPr>
    </w:p>
    <w:p>
      <w:pPr>
        <w:spacing w:line="360" w:lineRule="auto"/>
        <w:jc w:val="right"/>
        <w:rPr>
          <w:rFonts w:ascii="Times New Roman" w:hAnsi="Times New Roman" w:cs="Times New Roman"/>
          <w:sz w:val="24"/>
          <w:szCs w:val="24"/>
        </w:rPr>
      </w:pPr>
    </w:p>
    <w:p>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For 20% of pupils in this class who attended rapid reading intervention, 100% achieved IEP targets.  Facilitated by a fully trained teaching assistant, pupils completed reading activities alongside mainstream pupils.   The assessments and follow up work informed reading IEP targets, which also reflected a focus on integration.  This developed social skills, fluency of reading and comprehension skills.  The Rose report (2009) presents the benefits of interventions for pupils who experience difficulties with literacy skills.  Results reflected that pupils progressed well.  He believed that it was essential for pupils to be supported by interventions facilitated by well trained staff (Rose, 2009).  However, </w:t>
      </w:r>
      <w:proofErr w:type="spellStart"/>
      <w:r>
        <w:rPr>
          <w:rFonts w:ascii="Times New Roman" w:hAnsi="Times New Roman" w:cs="Times New Roman"/>
          <w:sz w:val="24"/>
          <w:szCs w:val="24"/>
        </w:rPr>
        <w:t>Lalkhen</w:t>
      </w:r>
      <w:proofErr w:type="spellEnd"/>
      <w:r>
        <w:rPr>
          <w:rFonts w:ascii="Times New Roman" w:hAnsi="Times New Roman" w:cs="Times New Roman"/>
          <w:sz w:val="24"/>
          <w:szCs w:val="24"/>
        </w:rPr>
        <w:t xml:space="preserve"> and Norwich (1990) observed the effect of integration on thirty nine pupils with physical needs in 1990.  Their findings opposed the notion of integration as it impacted negatively on pupil self-esteem (</w:t>
      </w:r>
      <w:proofErr w:type="spellStart"/>
      <w:r>
        <w:rPr>
          <w:rFonts w:ascii="Times New Roman" w:hAnsi="Times New Roman" w:cs="Times New Roman"/>
          <w:sz w:val="24"/>
          <w:szCs w:val="24"/>
        </w:rPr>
        <w:t>Lalkhen</w:t>
      </w:r>
      <w:proofErr w:type="spellEnd"/>
      <w:r>
        <w:rPr>
          <w:rFonts w:ascii="Times New Roman" w:hAnsi="Times New Roman" w:cs="Times New Roman"/>
          <w:sz w:val="24"/>
          <w:szCs w:val="24"/>
        </w:rPr>
        <w:t xml:space="preserve"> and Norwich, 1990 as cited in </w:t>
      </w:r>
      <w:proofErr w:type="spellStart"/>
      <w:r>
        <w:rPr>
          <w:rFonts w:ascii="Times New Roman" w:hAnsi="Times New Roman" w:cs="Times New Roman"/>
          <w:sz w:val="24"/>
          <w:szCs w:val="24"/>
        </w:rPr>
        <w:t>Macnamara</w:t>
      </w:r>
      <w:proofErr w:type="spellEnd"/>
      <w:r>
        <w:rPr>
          <w:rFonts w:ascii="Times New Roman" w:hAnsi="Times New Roman" w:cs="Times New Roman"/>
          <w:sz w:val="24"/>
          <w:szCs w:val="24"/>
        </w:rPr>
        <w:t xml:space="preserve">, S and Moreton, G 1993. p3).  Furthermore, </w:t>
      </w:r>
      <w:proofErr w:type="spellStart"/>
      <w:r>
        <w:rPr>
          <w:rFonts w:ascii="Times New Roman" w:hAnsi="Times New Roman" w:cs="Times New Roman"/>
          <w:sz w:val="24"/>
          <w:szCs w:val="24"/>
        </w:rPr>
        <w:t>Macnamara</w:t>
      </w:r>
      <w:proofErr w:type="spellEnd"/>
      <w:r>
        <w:rPr>
          <w:rFonts w:ascii="Times New Roman" w:hAnsi="Times New Roman" w:cs="Times New Roman"/>
          <w:sz w:val="24"/>
          <w:szCs w:val="24"/>
        </w:rPr>
        <w:t xml:space="preserve"> and Moreton (1993) found faults with the approach to integration.  They argued that the;</w:t>
      </w:r>
    </w:p>
    <w:p>
      <w:pPr>
        <w:spacing w:line="360" w:lineRule="auto"/>
        <w:ind w:firstLine="720"/>
        <w:jc w:val="right"/>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45720" distB="45720" distL="114300" distR="114300" simplePos="0" relativeHeight="251671552" behindDoc="0" locked="0" layoutInCell="1" allowOverlap="1">
                <wp:simplePos x="0" y="0"/>
                <wp:positionH relativeFrom="column">
                  <wp:posOffset>444500</wp:posOffset>
                </wp:positionH>
                <wp:positionV relativeFrom="paragraph">
                  <wp:posOffset>5080</wp:posOffset>
                </wp:positionV>
                <wp:extent cx="5060950" cy="1358900"/>
                <wp:effectExtent l="0" t="0" r="635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0950" cy="1358900"/>
                        </a:xfrm>
                        <a:prstGeom prst="rect">
                          <a:avLst/>
                        </a:prstGeom>
                        <a:solidFill>
                          <a:srgbClr val="FFFFFF"/>
                        </a:solidFill>
                        <a:ln w="9525">
                          <a:noFill/>
                          <a:miter lim="800000"/>
                          <a:headEnd/>
                          <a:tailEnd/>
                        </a:ln>
                      </wps:spPr>
                      <wps:txbx>
                        <w:txbxContent>
                          <w:p>
                            <w:pPr>
                              <w:spacing w:line="360" w:lineRule="auto"/>
                              <w:rPr>
                                <w:rFonts w:ascii="Times New Roman" w:hAnsi="Times New Roman" w:cs="Times New Roman"/>
                                <w:sz w:val="24"/>
                                <w:szCs w:val="24"/>
                              </w:rPr>
                            </w:pPr>
                            <w:r>
                              <w:rPr>
                                <w:rFonts w:ascii="Times New Roman" w:hAnsi="Times New Roman" w:cs="Times New Roman"/>
                                <w:sz w:val="24"/>
                                <w:szCs w:val="24"/>
                              </w:rPr>
                              <w:t xml:space="preserve">Level of intervention experienced by pupils is felt to be unnecessarily high … high levels of support appropriate for those with the most severe difficulties are commonly given to all…this support can actively inhibit their progress.  </w:t>
                            </w:r>
                          </w:p>
                          <w:p>
                            <w:pPr>
                              <w:spacing w:line="360" w:lineRule="auto"/>
                              <w:ind w:firstLine="720"/>
                              <w:jc w:val="right"/>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Macnamara</w:t>
                            </w:r>
                            <w:proofErr w:type="spellEnd"/>
                            <w:r>
                              <w:rPr>
                                <w:rFonts w:ascii="Times New Roman" w:hAnsi="Times New Roman" w:cs="Times New Roman"/>
                                <w:sz w:val="24"/>
                                <w:szCs w:val="24"/>
                              </w:rPr>
                              <w:t xml:space="preserve"> and Moreton, 1993, p. 3).</w:t>
                            </w:r>
                          </w:p>
                          <w:p>
                            <w:pPr>
                              <w:spacing w:line="360" w:lineRule="auto"/>
                              <w:rPr>
                                <w:rFonts w:ascii="Times New Roman" w:hAnsi="Times New Roman" w:cs="Times New Roman"/>
                                <w:sz w:val="24"/>
                                <w:szCs w:val="24"/>
                              </w:rPr>
                            </w:pPr>
                          </w:p>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35pt;margin-top:.4pt;width:398.5pt;height:107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" stroked="f">
                <v:textbox>
                  <w:txbxContent>
                    <w:p w:rsidR="00B43DC7" w:rsidRDefault="00AB2D83" w:rsidP="00B43DC7">
                      <w:pPr>
                        <w:spacing w:line="360" w:lineRule="auto"/>
                        <w:rPr>
                          <w:rFonts w:ascii="Times New Roman" w:hAnsi="Times New Roman" w:cs="Times New Roman"/>
                          <w:sz w:val="24"/>
                          <w:szCs w:val="24"/>
                        </w:rPr>
                      </w:pPr>
                      <w:r>
                        <w:rPr>
                          <w:rFonts w:ascii="Times New Roman" w:hAnsi="Times New Roman" w:cs="Times New Roman"/>
                          <w:sz w:val="24"/>
                          <w:szCs w:val="24"/>
                        </w:rPr>
                        <w:t>L</w:t>
                      </w:r>
                      <w:r w:rsidR="00CD52B1" w:rsidRPr="0031623C">
                        <w:rPr>
                          <w:rFonts w:ascii="Times New Roman" w:hAnsi="Times New Roman" w:cs="Times New Roman"/>
                          <w:sz w:val="24"/>
                          <w:szCs w:val="24"/>
                        </w:rPr>
                        <w:t>evel of intervention experienced by pupils is felt to be unnecessarily high … high levels of s</w:t>
                      </w:r>
                      <w:r w:rsidR="00CD52B1">
                        <w:rPr>
                          <w:rFonts w:ascii="Times New Roman" w:hAnsi="Times New Roman" w:cs="Times New Roman"/>
                          <w:sz w:val="24"/>
                          <w:szCs w:val="24"/>
                        </w:rPr>
                        <w:t xml:space="preserve">upport appropriate for those </w:t>
                      </w:r>
                      <w:r w:rsidR="00CD52B1" w:rsidRPr="0031623C">
                        <w:rPr>
                          <w:rFonts w:ascii="Times New Roman" w:hAnsi="Times New Roman" w:cs="Times New Roman"/>
                          <w:sz w:val="24"/>
                          <w:szCs w:val="24"/>
                        </w:rPr>
                        <w:t xml:space="preserve">with the most severe difficulties are commonly given to all…this support can </w:t>
                      </w:r>
                      <w:r>
                        <w:rPr>
                          <w:rFonts w:ascii="Times New Roman" w:hAnsi="Times New Roman" w:cs="Times New Roman"/>
                          <w:sz w:val="24"/>
                          <w:szCs w:val="24"/>
                        </w:rPr>
                        <w:t>actively inhibit their progress.</w:t>
                      </w:r>
                      <w:r w:rsidR="00CD52B1" w:rsidRPr="0031623C">
                        <w:rPr>
                          <w:rFonts w:ascii="Times New Roman" w:hAnsi="Times New Roman" w:cs="Times New Roman"/>
                          <w:sz w:val="24"/>
                          <w:szCs w:val="24"/>
                        </w:rPr>
                        <w:t xml:space="preserve">  </w:t>
                      </w:r>
                    </w:p>
                    <w:p w:rsidR="00B43DC7" w:rsidRDefault="00B43DC7" w:rsidP="00B43DC7">
                      <w:pPr>
                        <w:spacing w:line="360" w:lineRule="auto"/>
                        <w:ind w:firstLine="720"/>
                        <w:jc w:val="right"/>
                        <w:rPr>
                          <w:rFonts w:ascii="Times New Roman" w:hAnsi="Times New Roman" w:cs="Times New Roman"/>
                          <w:sz w:val="24"/>
                          <w:szCs w:val="24"/>
                        </w:rPr>
                      </w:pPr>
                      <w:r w:rsidRPr="00D351AA">
                        <w:rPr>
                          <w:rFonts w:ascii="Times New Roman" w:hAnsi="Times New Roman" w:cs="Times New Roman"/>
                          <w:sz w:val="24"/>
                          <w:szCs w:val="24"/>
                        </w:rPr>
                        <w:t>(</w:t>
                      </w:r>
                      <w:proofErr w:type="spellStart"/>
                      <w:r w:rsidRPr="00D351AA">
                        <w:rPr>
                          <w:rFonts w:ascii="Times New Roman" w:hAnsi="Times New Roman" w:cs="Times New Roman"/>
                          <w:sz w:val="24"/>
                          <w:szCs w:val="24"/>
                        </w:rPr>
                        <w:t>Macnamara</w:t>
                      </w:r>
                      <w:proofErr w:type="spellEnd"/>
                      <w:r w:rsidRPr="00D351AA">
                        <w:rPr>
                          <w:rFonts w:ascii="Times New Roman" w:hAnsi="Times New Roman" w:cs="Times New Roman"/>
                          <w:sz w:val="24"/>
                          <w:szCs w:val="24"/>
                        </w:rPr>
                        <w:t xml:space="preserve"> and Moreton, 1993</w:t>
                      </w:r>
                      <w:r>
                        <w:rPr>
                          <w:rFonts w:ascii="Times New Roman" w:hAnsi="Times New Roman" w:cs="Times New Roman"/>
                          <w:sz w:val="24"/>
                          <w:szCs w:val="24"/>
                        </w:rPr>
                        <w:t>, p</w:t>
                      </w:r>
                      <w:r>
                        <w:rPr>
                          <w:rFonts w:ascii="Times New Roman" w:hAnsi="Times New Roman" w:cs="Times New Roman"/>
                          <w:sz w:val="24"/>
                          <w:szCs w:val="24"/>
                        </w:rPr>
                        <w:t xml:space="preserve">. </w:t>
                      </w:r>
                      <w:r w:rsidRPr="00D351AA">
                        <w:rPr>
                          <w:rFonts w:ascii="Times New Roman" w:hAnsi="Times New Roman" w:cs="Times New Roman"/>
                          <w:sz w:val="24"/>
                          <w:szCs w:val="24"/>
                        </w:rPr>
                        <w:t>3).</w:t>
                      </w:r>
                    </w:p>
                    <w:p w:rsidR="00CD52B1" w:rsidRDefault="00CD52B1" w:rsidP="00B43DC7">
                      <w:pPr>
                        <w:spacing w:line="360" w:lineRule="auto"/>
                        <w:rPr>
                          <w:rFonts w:ascii="Times New Roman" w:hAnsi="Times New Roman" w:cs="Times New Roman"/>
                          <w:sz w:val="24"/>
                          <w:szCs w:val="24"/>
                        </w:rPr>
                      </w:pPr>
                    </w:p>
                    <w:p w:rsidR="00CD52B1" w:rsidRDefault="00CD52B1" w:rsidP="007871E5"/>
                  </w:txbxContent>
                </v:textbox>
              </v:shape>
            </w:pict>
          </mc:Fallback>
        </mc:AlternateContent>
      </w:r>
    </w:p>
    <w:p>
      <w:pPr>
        <w:spacing w:line="360" w:lineRule="auto"/>
        <w:ind w:firstLine="720"/>
        <w:jc w:val="right"/>
        <w:rPr>
          <w:rFonts w:ascii="Times New Roman" w:hAnsi="Times New Roman" w:cs="Times New Roman"/>
          <w:sz w:val="24"/>
          <w:szCs w:val="24"/>
        </w:rPr>
      </w:pPr>
    </w:p>
    <w:p>
      <w:pPr>
        <w:spacing w:line="360" w:lineRule="auto"/>
        <w:ind w:firstLine="720"/>
        <w:jc w:val="right"/>
        <w:rPr>
          <w:rFonts w:ascii="Times New Roman" w:hAnsi="Times New Roman" w:cs="Times New Roman"/>
          <w:sz w:val="24"/>
          <w:szCs w:val="24"/>
        </w:rPr>
      </w:pPr>
    </w:p>
    <w:p>
      <w:pPr>
        <w:spacing w:line="360" w:lineRule="auto"/>
        <w:ind w:firstLine="720"/>
        <w:rPr>
          <w:rFonts w:ascii="Times New Roman" w:hAnsi="Times New Roman" w:cs="Times New Roman"/>
          <w:sz w:val="24"/>
          <w:szCs w:val="24"/>
        </w:rPr>
      </w:pPr>
    </w:p>
    <w:p>
      <w:pPr>
        <w:spacing w:line="360" w:lineRule="auto"/>
        <w:ind w:firstLine="720"/>
        <w:rPr>
          <w:rFonts w:ascii="Times New Roman" w:hAnsi="Times New Roman" w:cs="Times New Roman"/>
          <w:bCs/>
          <w:sz w:val="24"/>
          <w:szCs w:val="24"/>
          <w:u w:val="single"/>
        </w:rPr>
      </w:pPr>
      <w:r>
        <w:rPr>
          <w:rFonts w:ascii="Times New Roman" w:hAnsi="Times New Roman" w:cs="Times New Roman"/>
          <w:sz w:val="24"/>
          <w:szCs w:val="24"/>
        </w:rPr>
        <w:t xml:space="preserve">There may be some truth in this statement.  Even though some pupils have progressed, not all pupils within the class respond appropriately to sharing adult support in a larger group setting, if they desperately need support themselves.   However, 20% of class pupils who attend rapid reading also achieved all 100% of their reading comprehension targets, including 100% of their social skills targets.  </w:t>
      </w:r>
      <w:proofErr w:type="spellStart"/>
      <w:r>
        <w:rPr>
          <w:rFonts w:ascii="Times New Roman" w:hAnsi="Times New Roman" w:cs="Times New Roman"/>
          <w:bCs/>
          <w:sz w:val="24"/>
          <w:szCs w:val="24"/>
        </w:rPr>
        <w:t>Pouste</w:t>
      </w:r>
      <w:proofErr w:type="spellEnd"/>
      <w:r>
        <w:rPr>
          <w:rFonts w:ascii="Times New Roman" w:hAnsi="Times New Roman" w:cs="Times New Roman"/>
          <w:bCs/>
          <w:sz w:val="24"/>
          <w:szCs w:val="24"/>
        </w:rPr>
        <w:t xml:space="preserve"> (2000) emphasises the importance of bespoke education plans for pupils stating that ‘It is important to remember that each student will be different … what will work for one will not work for another…” (</w:t>
      </w:r>
      <w:proofErr w:type="spellStart"/>
      <w:r>
        <w:rPr>
          <w:rFonts w:ascii="Times New Roman" w:hAnsi="Times New Roman" w:cs="Times New Roman"/>
          <w:bCs/>
          <w:sz w:val="24"/>
          <w:szCs w:val="24"/>
        </w:rPr>
        <w:t>Pouste</w:t>
      </w:r>
      <w:proofErr w:type="spellEnd"/>
      <w:r>
        <w:rPr>
          <w:rFonts w:ascii="Times New Roman" w:hAnsi="Times New Roman" w:cs="Times New Roman"/>
          <w:bCs/>
          <w:sz w:val="24"/>
          <w:szCs w:val="24"/>
        </w:rPr>
        <w:t>, 2000. p35).</w:t>
      </w:r>
      <w:r>
        <w:rPr>
          <w:rFonts w:ascii="Times New Roman" w:hAnsi="Times New Roman" w:cs="Times New Roman"/>
          <w:bCs/>
          <w:i/>
          <w:sz w:val="24"/>
          <w:szCs w:val="24"/>
        </w:rPr>
        <w:t xml:space="preserve">  </w:t>
      </w:r>
      <w:r>
        <w:rPr>
          <w:rFonts w:ascii="Times New Roman" w:hAnsi="Times New Roman" w:cs="Times New Roman"/>
          <w:sz w:val="24"/>
          <w:szCs w:val="24"/>
        </w:rPr>
        <w:t xml:space="preserve"> In this instance, an integrated approach to intervention has benefitted pupils both socially and academically.</w:t>
      </w:r>
    </w:p>
    <w:p>
      <w:pPr>
        <w:spacing w:line="360" w:lineRule="auto"/>
        <w:ind w:firstLine="720"/>
        <w:rPr>
          <w:rFonts w:ascii="Times New Roman" w:hAnsi="Times New Roman" w:cs="Times New Roman"/>
          <w:sz w:val="24"/>
          <w:szCs w:val="24"/>
        </w:rPr>
      </w:pPr>
      <w:r>
        <w:rPr>
          <w:rFonts w:ascii="Times New Roman" w:hAnsi="Times New Roman" w:cs="Times New Roman"/>
          <w:bCs/>
          <w:sz w:val="24"/>
          <w:szCs w:val="24"/>
        </w:rPr>
        <w:t xml:space="preserve">Rapid reading intervention takes an interactive approach towards reading, using an ICT based resource.   There is much research supporting the use of ICT for interventions.  </w:t>
      </w:r>
      <w:proofErr w:type="spellStart"/>
      <w:r>
        <w:rPr>
          <w:rFonts w:ascii="Times New Roman" w:hAnsi="Times New Roman" w:cs="Times New Roman"/>
          <w:bCs/>
          <w:sz w:val="24"/>
          <w:szCs w:val="24"/>
        </w:rPr>
        <w:t>Pletka</w:t>
      </w:r>
      <w:proofErr w:type="spellEnd"/>
      <w:r>
        <w:rPr>
          <w:rFonts w:ascii="Times New Roman" w:hAnsi="Times New Roman" w:cs="Times New Roman"/>
          <w:bCs/>
          <w:sz w:val="24"/>
          <w:szCs w:val="24"/>
        </w:rPr>
        <w:t xml:space="preserve"> referred to ICT as a </w:t>
      </w:r>
      <w:r>
        <w:rPr>
          <w:rFonts w:ascii="Times New Roman" w:hAnsi="Times New Roman" w:cs="Times New Roman"/>
          <w:sz w:val="24"/>
          <w:szCs w:val="24"/>
        </w:rPr>
        <w:t>great tool for learning (</w:t>
      </w:r>
      <w:proofErr w:type="spellStart"/>
      <w:r>
        <w:rPr>
          <w:rFonts w:ascii="Times New Roman" w:hAnsi="Times New Roman" w:cs="Times New Roman"/>
          <w:sz w:val="24"/>
          <w:szCs w:val="24"/>
        </w:rPr>
        <w:t>Pletka</w:t>
      </w:r>
      <w:proofErr w:type="spellEnd"/>
      <w:r>
        <w:rPr>
          <w:rFonts w:ascii="Times New Roman" w:hAnsi="Times New Roman" w:cs="Times New Roman"/>
          <w:sz w:val="24"/>
          <w:szCs w:val="24"/>
        </w:rPr>
        <w:t xml:space="preserve">, 2007).  Gibson’s research revealed that computer programmes prove to be effective in developing oral reading fluency and comprehension abilities (Gibson, 2009 cited in ‘Common Sense Methods </w:t>
      </w:r>
      <w:bookmarkStart w:id="0" w:name="_GoBack"/>
      <w:bookmarkEnd w:id="0"/>
      <w:r>
        <w:rPr>
          <w:rFonts w:ascii="Times New Roman" w:hAnsi="Times New Roman" w:cs="Times New Roman"/>
          <w:sz w:val="24"/>
          <w:szCs w:val="24"/>
        </w:rPr>
        <w:t xml:space="preserve">for Children with </w:t>
      </w:r>
      <w:r>
        <w:rPr>
          <w:rFonts w:ascii="Times New Roman" w:hAnsi="Times New Roman" w:cs="Times New Roman"/>
          <w:sz w:val="24"/>
          <w:szCs w:val="24"/>
        </w:rPr>
        <w:lastRenderedPageBreak/>
        <w:t xml:space="preserve">Special Educational Needs’, 2010. p132).  Furthermore, </w:t>
      </w:r>
      <w:proofErr w:type="spellStart"/>
      <w:r>
        <w:rPr>
          <w:rFonts w:ascii="Times New Roman" w:hAnsi="Times New Roman" w:cs="Times New Roman"/>
          <w:sz w:val="24"/>
          <w:szCs w:val="24"/>
        </w:rPr>
        <w:t>Karemaker</w:t>
      </w:r>
      <w:proofErr w:type="spellEnd"/>
      <w:r>
        <w:rPr>
          <w:rFonts w:ascii="Times New Roman" w:hAnsi="Times New Roman" w:cs="Times New Roman"/>
          <w:sz w:val="24"/>
          <w:szCs w:val="24"/>
        </w:rPr>
        <w:t xml:space="preserve"> (2010) states that software has been evidently effective in increasing children’s abilities to recognise words (</w:t>
      </w:r>
      <w:proofErr w:type="spellStart"/>
      <w:r>
        <w:rPr>
          <w:rFonts w:ascii="Times New Roman" w:hAnsi="Times New Roman" w:cs="Times New Roman"/>
          <w:sz w:val="24"/>
          <w:szCs w:val="24"/>
        </w:rPr>
        <w:t>Karemaker</w:t>
      </w:r>
      <w:proofErr w:type="spellEnd"/>
      <w:r>
        <w:rPr>
          <w:rFonts w:ascii="Times New Roman" w:hAnsi="Times New Roman" w:cs="Times New Roman"/>
          <w:sz w:val="24"/>
          <w:szCs w:val="24"/>
        </w:rPr>
        <w:t xml:space="preserve">, 2010).  The use of ICT impacted on pupils reading skills and digital competency skills, developing their ability to apply these reading and ICT skills to a range of curriculum areas.   Alternatively, there is evidence to suggest that the use of ICT is still an area for investigation as there are many arguments both for and against, making it unclear as to whether such a resource provides effective help for pupils.  Nash and Messer’s research highlighted many concerns about computer based resources as their research presented limited pupil progress when using ICT (Nash and Messer, 2018).   Ultimately, it depends on the pupils’ needs and nature of the task.  These must be taken into consideration, monitored and reviewed to ensure effectiveness of pupil development when reading using such a resource.  </w:t>
      </w:r>
    </w:p>
    <w:p>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The strengths of this research were evidently the pupil led approaches recommended and encouraged by ALN documents published by the Welsh Assembly Government.  The implementation of these ensured all pupils were central to their education, with reasonable adjustments implemented to support individual needs and abilities. Pupils were able to make decisions about their education.  This saw an increase in pupil motivation and enthusiasm. The implementation of questionnaires depicting data ‘before and after’ implemented interventions proved that reading strategies and interventions had a positive effect on pupils reading skills and attitudes. </w:t>
      </w:r>
    </w:p>
    <w:p>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The reasonably adjusted questionnaires broke down this barrier for pupils with more specific needs such as Visual Impairment, by allowing them to have enlarged / simplified questionnaires where they responded honestly as to how they felt about the learning of reading and their attitudes to reading in general.  The inclusive approach to assessments and questionnaires presented in the previous paragraphs reflect its obvious strength in providing reliable, unbiased data for this study.  </w:t>
      </w:r>
    </w:p>
    <w:p>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The integrated approach to reading interventions reflected a progression of pupil reading skills.  Integrating with additional members of familiar staff, mainstream pupils and using ICT gave opportunities to learn using different teaching styles, exploring a range of text genres with peers and identifying subject specific vocabulary.  The extension of this vocabulary and genres of reading materials assisted the transfer of reading skills in other curriculum areas.   </w:t>
      </w:r>
    </w:p>
    <w:p>
      <w:pPr>
        <w:spacing w:line="360" w:lineRule="auto"/>
        <w:ind w:firstLine="360"/>
        <w:rPr>
          <w:rFonts w:ascii="Times New Roman" w:hAnsi="Times New Roman" w:cs="Times New Roman"/>
          <w:sz w:val="24"/>
          <w:szCs w:val="24"/>
        </w:rPr>
      </w:pPr>
      <w:r>
        <w:rPr>
          <w:rFonts w:ascii="Times New Roman" w:hAnsi="Times New Roman" w:cs="Times New Roman"/>
          <w:sz w:val="24"/>
          <w:szCs w:val="24"/>
        </w:rPr>
        <w:lastRenderedPageBreak/>
        <w:t xml:space="preserve">Evidently, most pupils responded positively and developed their reading skills.  However, there were pupils who did not progress when exposed to work surrounding sight word initiatives such as flashcards.   As positive as the overall data has proved, there is opportunity to develop further, meeting needs of all learners.  Having recently received training in Precision teaching, I believe this will be a successful intervention to incorporate into the class.  Referring back to the pupil centred ethos of the new ALN Code of Practice in Wales, precision teaching will involve pupils in daily tasks and assessments that observes adults and pupils recording their performance.  </w:t>
      </w:r>
      <w:proofErr w:type="spellStart"/>
      <w:r>
        <w:rPr>
          <w:rFonts w:ascii="Times New Roman" w:hAnsi="Times New Roman" w:cs="Times New Roman"/>
          <w:sz w:val="24"/>
          <w:szCs w:val="24"/>
        </w:rPr>
        <w:t>Lindsley</w:t>
      </w:r>
      <w:proofErr w:type="spellEnd"/>
      <w:r>
        <w:rPr>
          <w:rFonts w:ascii="Times New Roman" w:hAnsi="Times New Roman" w:cs="Times New Roman"/>
          <w:sz w:val="24"/>
          <w:szCs w:val="24"/>
        </w:rPr>
        <w:t xml:space="preserve"> (1992) stated that involving pupils in the process of precision monitoring supports pupil learning and motivation, allowing pupils to become effective assessors of their own learning (</w:t>
      </w:r>
      <w:proofErr w:type="spellStart"/>
      <w:r>
        <w:rPr>
          <w:rFonts w:ascii="Times New Roman" w:hAnsi="Times New Roman" w:cs="Times New Roman"/>
          <w:sz w:val="24"/>
          <w:szCs w:val="24"/>
        </w:rPr>
        <w:t>Lindsley</w:t>
      </w:r>
      <w:proofErr w:type="spellEnd"/>
      <w:r>
        <w:rPr>
          <w:rFonts w:ascii="Times New Roman" w:hAnsi="Times New Roman" w:cs="Times New Roman"/>
          <w:sz w:val="24"/>
          <w:szCs w:val="24"/>
        </w:rPr>
        <w:t>, 1992 cited in Frederickson and Cline, 2015, p.189).  Westwood (2011) also supports precision teaching’s inclusive and rote learning approach to embed concepts by insisting that “the more frequently a child reads a word, the more likely it is that the word will be retained in long term memory” (Westwood, 2011, p.110)</w:t>
      </w:r>
      <w:r>
        <w:rPr>
          <w:rFonts w:ascii="Times New Roman" w:hAnsi="Times New Roman" w:cs="Times New Roman"/>
          <w:i/>
          <w:sz w:val="24"/>
          <w:szCs w:val="24"/>
        </w:rPr>
        <w:t xml:space="preserve">.  </w:t>
      </w:r>
      <w:r>
        <w:rPr>
          <w:rFonts w:ascii="Times New Roman" w:hAnsi="Times New Roman" w:cs="Times New Roman"/>
          <w:sz w:val="24"/>
          <w:szCs w:val="24"/>
        </w:rPr>
        <w:t xml:space="preserve">In time, this will give pupils necessary skills to identify sight words and applying these skills into other curriculum areas.  Alternatively, Frederickson and Cline (2015) believe that precision teaching is not a suitable approach to teaching, but agree that it is a useful form of assessment and monitoring (Frederickson and Cline, 2015). </w:t>
      </w:r>
    </w:p>
    <w:p>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There are additional opportunities to develop reading interventions further within the LSC and mainstream classes such as integration for guided reading and reading focussed workshops for parents.  These possible next steps will continue to develop pupil’s sight word knowledge, comprehension and reading fluency.  These two skills combined, lead to improved comprehension skills as pupils will be more focused on the topic of what they are reading as opposed to trying to read each word correctly (O’Connor, White and Swanson, 2007).     </w:t>
      </w:r>
    </w:p>
    <w:p>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Conclusion.</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Data has concluded that reading interventions and strategies have been evidently beneficial to all pupils within the LSC2 class.  Each pupil has developed one or more of the following areas: an enjoyment for reading, application of strategies to read words independently, responding to reading comprehension questions appropriately and/or participated suitably in decision making about their education targets.  Assessments used have successfully highlighted each pupil’s academic ability and progress, identifying next steps for teachers to implement into class sessions and IEP targets. Questionnaires have gained insight into the </w:t>
      </w:r>
      <w:r>
        <w:rPr>
          <w:rFonts w:ascii="Times New Roman" w:hAnsi="Times New Roman" w:cs="Times New Roman"/>
          <w:sz w:val="24"/>
          <w:szCs w:val="24"/>
        </w:rPr>
        <w:lastRenderedPageBreak/>
        <w:t xml:space="preserve">pupil attitudes towards reading within the classroom and at home with parents.  The use of questionnaires have also encouraged pupils to make decisions about the teaching of reading – creating bespoke education plans for all pupils. Vocabulary rich classroom environments have helped develop word sight ability and apply new found knowledge to other curriculum areas. An integrated approach to reading interventions has encouraged pupil participation, pupil motivation and pupil self-worth.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historical and current research on reading that focus’ on learner perspectives, targets and reading of sight words and comprehension skills leads to the conclusion that there is and always will be, a continued approach to the evaluation of reading interventions within the classroom.  The effect of reading assessments and interventions to improve reading ability of pupils will be a continued area of professional development for all practitioners, whether their roles be within specialist or mainstream provisions.  With regards to the current climate of reading interventions, the following recommendations will be implemented to ensure needs of all pupils are met with regards to the teaching of reading ability and fluency:   </w:t>
      </w:r>
    </w:p>
    <w:p>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A continued approach to questionnaires and pupil interviews to highlight and address pupil attitudes to reading both at home and in school.  Questionnaires will be completed in September, January and May of each year to monitor reading attitudes.  These will inform educators of pupil feelings and ideas, so that strategies can be implemented to improve motivation and enthusiasm of reading for all pupils.  Targets, classroom areas and additional support to pupils who may not receive support at home can also be provided from information collected.    </w:t>
      </w:r>
    </w:p>
    <w:p>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An action plan will be created to develop the home-school partnerships.  This may include invitations to workshops where reading strategies and resources can be modelled by staff and pupils, coffee afternoons to explore literacy rich areas of the class and possible parent training provided by the local authority.  Additional documents such as leaflets and posters about specialist workshops will also be sent home for parent awareness. </w:t>
      </w:r>
    </w:p>
    <w:p>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Precision Teaching and an integrated approach to guided reading sessions with mainstream classes.  Hopefully, these interventions continue to positively impact the reading ability of all pupils. This will target both reading and social skills of pupils.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Implications regarding these next steps may include funding to provide staff with necessary training to become precision teaching or guided reading facilitators.  This will need to be </w:t>
      </w:r>
      <w:r>
        <w:rPr>
          <w:rFonts w:ascii="Times New Roman" w:hAnsi="Times New Roman" w:cs="Times New Roman"/>
          <w:sz w:val="24"/>
          <w:szCs w:val="24"/>
        </w:rPr>
        <w:lastRenderedPageBreak/>
        <w:t xml:space="preserve">included within the school budget and so, money will need to be available to provide suitable training and specialist resources needed for use both at home and in school.  </w:t>
      </w:r>
    </w:p>
    <w:p>
      <w:pPr>
        <w:spacing w:line="360" w:lineRule="auto"/>
        <w:ind w:firstLine="720"/>
        <w:rPr>
          <w:rFonts w:ascii="Times New Roman" w:hAnsi="Times New Roman" w:cs="Times New Roman"/>
          <w:sz w:val="24"/>
          <w:szCs w:val="24"/>
        </w:rPr>
      </w:pPr>
      <w:r>
        <w:rPr>
          <w:rFonts w:ascii="Times New Roman" w:hAnsi="Times New Roman" w:cs="Times New Roman"/>
          <w:sz w:val="24"/>
          <w:szCs w:val="24"/>
        </w:rPr>
        <w:t>As research has suggested, these areas of development will be essential in continuing to develop the reading skills of all pupils regardless of need and ability.  I look forward to continuing my own journey into developing the reading abilities of all pupils, always remembering that “there are many little ways to enlarge your child’s world.  Love of books is the best of all” (Kennedy Onassis, 2017).</w:t>
      </w:r>
    </w:p>
    <w:p>
      <w:pPr>
        <w:autoSpaceDE w:val="0"/>
        <w:autoSpaceDN w:val="0"/>
        <w:adjustRightInd w:val="0"/>
        <w:spacing w:after="0" w:line="360" w:lineRule="auto"/>
        <w:rPr>
          <w:rFonts w:ascii="Times New Roman" w:hAnsi="Times New Roman" w:cs="Times New Roman"/>
          <w:bCs/>
          <w:sz w:val="24"/>
          <w:szCs w:val="24"/>
          <w:highlight w:val="yellow"/>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sectPr>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separator/>
      </w:r>
    </w:p>
  </w:endnote>
  <w:endnote w:type="continuationSeparator" w:id="0">
    <w:p>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5015874"/>
      <w:docPartObj>
        <w:docPartGallery w:val="Page Numbers (Bottom of Page)"/>
        <w:docPartUnique/>
      </w:docPartObj>
    </w:sdtPr>
    <w:sdtEndPr>
      <w:rPr>
        <w:noProof/>
      </w:rPr>
    </w:sdtEndPr>
    <w:sdtContent>
      <w:p>
        <w:pPr>
          <w:pStyle w:val="Footer"/>
          <w:jc w:val="center"/>
        </w:pPr>
        <w:r>
          <w:fldChar w:fldCharType="begin"/>
        </w:r>
        <w:r>
          <w:instrText xml:space="preserve"> PAGE   \* MERGEFORMAT </w:instrText>
        </w:r>
        <w:r>
          <w:fldChar w:fldCharType="separate"/>
        </w:r>
        <w:r>
          <w:rPr>
            <w:noProof/>
          </w:rPr>
          <w:t>27</w:t>
        </w:r>
        <w:r>
          <w:rPr>
            <w:noProof/>
          </w:rPr>
          <w:fldChar w:fldCharType="end"/>
        </w:r>
      </w:p>
    </w:sdtContent>
  </w:sdt>
  <w:p>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separator/>
      </w:r>
    </w:p>
  </w:footnote>
  <w:footnote w:type="continuationSeparator" w:id="0">
    <w:p>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8909B3"/>
    <w:multiLevelType w:val="hybridMultilevel"/>
    <w:tmpl w:val="B1CA3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65862"/>
    <w:multiLevelType w:val="hybridMultilevel"/>
    <w:tmpl w:val="502E6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B3FB5"/>
    <w:multiLevelType w:val="hybridMultilevel"/>
    <w:tmpl w:val="E8F81FB0"/>
    <w:lvl w:ilvl="0" w:tplc="C8283FB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9661FA"/>
    <w:multiLevelType w:val="hybridMultilevel"/>
    <w:tmpl w:val="0AC80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E90F26"/>
    <w:multiLevelType w:val="hybridMultilevel"/>
    <w:tmpl w:val="8BF00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6E73BB"/>
    <w:multiLevelType w:val="multilevel"/>
    <w:tmpl w:val="481CA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50397A"/>
    <w:multiLevelType w:val="hybridMultilevel"/>
    <w:tmpl w:val="8DD6E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050581"/>
    <w:multiLevelType w:val="hybridMultilevel"/>
    <w:tmpl w:val="290C1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515DAF"/>
    <w:multiLevelType w:val="hybridMultilevel"/>
    <w:tmpl w:val="298439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7C47B4"/>
    <w:multiLevelType w:val="hybridMultilevel"/>
    <w:tmpl w:val="68A01AB6"/>
    <w:lvl w:ilvl="0" w:tplc="A0EAD25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D9373A"/>
    <w:multiLevelType w:val="hybridMultilevel"/>
    <w:tmpl w:val="CCB4B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1C6A1E"/>
    <w:multiLevelType w:val="hybridMultilevel"/>
    <w:tmpl w:val="204693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5E183D"/>
    <w:multiLevelType w:val="hybridMultilevel"/>
    <w:tmpl w:val="855CA25C"/>
    <w:lvl w:ilvl="0" w:tplc="3A46ED4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AA18CF"/>
    <w:multiLevelType w:val="hybridMultilevel"/>
    <w:tmpl w:val="0C240C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495D8E"/>
    <w:multiLevelType w:val="hybridMultilevel"/>
    <w:tmpl w:val="B5E23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9E507F"/>
    <w:multiLevelType w:val="hybridMultilevel"/>
    <w:tmpl w:val="BD725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BB22CD"/>
    <w:multiLevelType w:val="hybridMultilevel"/>
    <w:tmpl w:val="F9D2A958"/>
    <w:lvl w:ilvl="0" w:tplc="44328AC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4F7B0A"/>
    <w:multiLevelType w:val="hybridMultilevel"/>
    <w:tmpl w:val="27D46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7"/>
  </w:num>
  <w:num w:numId="4">
    <w:abstractNumId w:val="4"/>
  </w:num>
  <w:num w:numId="5">
    <w:abstractNumId w:val="14"/>
  </w:num>
  <w:num w:numId="6">
    <w:abstractNumId w:val="8"/>
  </w:num>
  <w:num w:numId="7">
    <w:abstractNumId w:val="17"/>
  </w:num>
  <w:num w:numId="8">
    <w:abstractNumId w:val="12"/>
  </w:num>
  <w:num w:numId="9">
    <w:abstractNumId w:val="9"/>
  </w:num>
  <w:num w:numId="10">
    <w:abstractNumId w:val="2"/>
  </w:num>
  <w:num w:numId="11">
    <w:abstractNumId w:val="6"/>
  </w:num>
  <w:num w:numId="12">
    <w:abstractNumId w:val="16"/>
  </w:num>
  <w:num w:numId="13">
    <w:abstractNumId w:val="10"/>
  </w:num>
  <w:num w:numId="14">
    <w:abstractNumId w:val="15"/>
  </w:num>
  <w:num w:numId="15">
    <w:abstractNumId w:val="0"/>
  </w:num>
  <w:num w:numId="16">
    <w:abstractNumId w:val="11"/>
  </w:num>
  <w:num w:numId="17">
    <w:abstractNumId w:val="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B3D90A14-3B4C-4BA1-B88B-01DD68640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pPr>
      <w:spacing w:after="0" w:line="240" w:lineRule="auto"/>
    </w:pPr>
    <w:rPr>
      <w:rFonts w:ascii="Times New Roman" w:eastAsia="Times New Roman" w:hAnsi="Times New Roman" w:cs="Times New Roman"/>
      <w:sz w:val="24"/>
      <w:szCs w:val="24"/>
      <w:lang w:eastAsia="en-GB"/>
    </w:rPr>
  </w:style>
  <w:style w:type="character" w:customStyle="1" w:styleId="contextualspellingandgrammarerror">
    <w:name w:val="contextualspellingandgrammarerror"/>
    <w:basedOn w:val="DefaultParagraphFont"/>
  </w:style>
  <w:style w:type="character" w:customStyle="1" w:styleId="normaltextrun1">
    <w:name w:val="normaltextrun1"/>
    <w:basedOn w:val="DefaultParagraphFont"/>
  </w:style>
  <w:style w:type="character" w:customStyle="1" w:styleId="eop">
    <w:name w:val="eop"/>
    <w:basedOn w:val="DefaultParagraphFont"/>
  </w:style>
  <w:style w:type="paragraph" w:styleId="ListParagraph">
    <w:name w:val="List Paragraph"/>
    <w:basedOn w:val="Normal"/>
    <w:uiPriority w:val="34"/>
    <w:qFormat/>
    <w:pPr>
      <w:ind w:left="720"/>
      <w:contextualSpacing/>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513"/>
        <w:tab w:val="right" w:pos="9026"/>
      </w:tabs>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967779">
      <w:bodyDiv w:val="1"/>
      <w:marLeft w:val="0"/>
      <w:marRight w:val="0"/>
      <w:marTop w:val="0"/>
      <w:marBottom w:val="0"/>
      <w:divBdr>
        <w:top w:val="none" w:sz="0" w:space="0" w:color="auto"/>
        <w:left w:val="none" w:sz="0" w:space="0" w:color="auto"/>
        <w:bottom w:val="none" w:sz="0" w:space="0" w:color="auto"/>
        <w:right w:val="none" w:sz="0" w:space="0" w:color="auto"/>
      </w:divBdr>
      <w:divsChild>
        <w:div w:id="1283465342">
          <w:marLeft w:val="0"/>
          <w:marRight w:val="0"/>
          <w:marTop w:val="0"/>
          <w:marBottom w:val="0"/>
          <w:divBdr>
            <w:top w:val="none" w:sz="0" w:space="0" w:color="auto"/>
            <w:left w:val="none" w:sz="0" w:space="0" w:color="auto"/>
            <w:bottom w:val="none" w:sz="0" w:space="0" w:color="auto"/>
            <w:right w:val="none" w:sz="0" w:space="0" w:color="auto"/>
          </w:divBdr>
          <w:divsChild>
            <w:div w:id="1477720350">
              <w:marLeft w:val="0"/>
              <w:marRight w:val="0"/>
              <w:marTop w:val="0"/>
              <w:marBottom w:val="0"/>
              <w:divBdr>
                <w:top w:val="none" w:sz="0" w:space="0" w:color="auto"/>
                <w:left w:val="none" w:sz="0" w:space="0" w:color="auto"/>
                <w:bottom w:val="none" w:sz="0" w:space="0" w:color="auto"/>
                <w:right w:val="none" w:sz="0" w:space="0" w:color="auto"/>
              </w:divBdr>
              <w:divsChild>
                <w:div w:id="823158910">
                  <w:marLeft w:val="0"/>
                  <w:marRight w:val="0"/>
                  <w:marTop w:val="0"/>
                  <w:marBottom w:val="0"/>
                  <w:divBdr>
                    <w:top w:val="none" w:sz="0" w:space="0" w:color="auto"/>
                    <w:left w:val="none" w:sz="0" w:space="0" w:color="auto"/>
                    <w:bottom w:val="none" w:sz="0" w:space="0" w:color="auto"/>
                    <w:right w:val="none" w:sz="0" w:space="0" w:color="auto"/>
                  </w:divBdr>
                  <w:divsChild>
                    <w:div w:id="3825201">
                      <w:marLeft w:val="0"/>
                      <w:marRight w:val="0"/>
                      <w:marTop w:val="0"/>
                      <w:marBottom w:val="0"/>
                      <w:divBdr>
                        <w:top w:val="none" w:sz="0" w:space="0" w:color="auto"/>
                        <w:left w:val="none" w:sz="0" w:space="0" w:color="auto"/>
                        <w:bottom w:val="none" w:sz="0" w:space="0" w:color="auto"/>
                        <w:right w:val="none" w:sz="0" w:space="0" w:color="auto"/>
                      </w:divBdr>
                      <w:divsChild>
                        <w:div w:id="585918398">
                          <w:marLeft w:val="0"/>
                          <w:marRight w:val="0"/>
                          <w:marTop w:val="0"/>
                          <w:marBottom w:val="0"/>
                          <w:divBdr>
                            <w:top w:val="none" w:sz="0" w:space="0" w:color="auto"/>
                            <w:left w:val="none" w:sz="0" w:space="0" w:color="auto"/>
                            <w:bottom w:val="none" w:sz="0" w:space="0" w:color="auto"/>
                            <w:right w:val="none" w:sz="0" w:space="0" w:color="auto"/>
                          </w:divBdr>
                          <w:divsChild>
                            <w:div w:id="975062856">
                              <w:marLeft w:val="0"/>
                              <w:marRight w:val="0"/>
                              <w:marTop w:val="0"/>
                              <w:marBottom w:val="0"/>
                              <w:divBdr>
                                <w:top w:val="none" w:sz="0" w:space="0" w:color="auto"/>
                                <w:left w:val="none" w:sz="0" w:space="0" w:color="auto"/>
                                <w:bottom w:val="none" w:sz="0" w:space="0" w:color="auto"/>
                                <w:right w:val="none" w:sz="0" w:space="0" w:color="auto"/>
                              </w:divBdr>
                              <w:divsChild>
                                <w:div w:id="1880319064">
                                  <w:marLeft w:val="0"/>
                                  <w:marRight w:val="0"/>
                                  <w:marTop w:val="0"/>
                                  <w:marBottom w:val="0"/>
                                  <w:divBdr>
                                    <w:top w:val="none" w:sz="0" w:space="0" w:color="auto"/>
                                    <w:left w:val="none" w:sz="0" w:space="0" w:color="auto"/>
                                    <w:bottom w:val="none" w:sz="0" w:space="0" w:color="auto"/>
                                    <w:right w:val="none" w:sz="0" w:space="0" w:color="auto"/>
                                  </w:divBdr>
                                  <w:divsChild>
                                    <w:div w:id="1629045587">
                                      <w:marLeft w:val="0"/>
                                      <w:marRight w:val="0"/>
                                      <w:marTop w:val="0"/>
                                      <w:marBottom w:val="0"/>
                                      <w:divBdr>
                                        <w:top w:val="none" w:sz="0" w:space="0" w:color="auto"/>
                                        <w:left w:val="none" w:sz="0" w:space="0" w:color="auto"/>
                                        <w:bottom w:val="none" w:sz="0" w:space="0" w:color="auto"/>
                                        <w:right w:val="none" w:sz="0" w:space="0" w:color="auto"/>
                                      </w:divBdr>
                                      <w:divsChild>
                                        <w:div w:id="1719357221">
                                          <w:marLeft w:val="0"/>
                                          <w:marRight w:val="0"/>
                                          <w:marTop w:val="0"/>
                                          <w:marBottom w:val="0"/>
                                          <w:divBdr>
                                            <w:top w:val="none" w:sz="0" w:space="0" w:color="auto"/>
                                            <w:left w:val="none" w:sz="0" w:space="0" w:color="auto"/>
                                            <w:bottom w:val="none" w:sz="0" w:space="0" w:color="auto"/>
                                            <w:right w:val="none" w:sz="0" w:space="0" w:color="auto"/>
                                          </w:divBdr>
                                          <w:divsChild>
                                            <w:div w:id="1775899138">
                                              <w:marLeft w:val="0"/>
                                              <w:marRight w:val="0"/>
                                              <w:marTop w:val="0"/>
                                              <w:marBottom w:val="0"/>
                                              <w:divBdr>
                                                <w:top w:val="none" w:sz="0" w:space="0" w:color="auto"/>
                                                <w:left w:val="none" w:sz="0" w:space="0" w:color="auto"/>
                                                <w:bottom w:val="none" w:sz="0" w:space="0" w:color="auto"/>
                                                <w:right w:val="none" w:sz="0" w:space="0" w:color="auto"/>
                                              </w:divBdr>
                                              <w:divsChild>
                                                <w:div w:id="1940528226">
                                                  <w:marLeft w:val="0"/>
                                                  <w:marRight w:val="0"/>
                                                  <w:marTop w:val="0"/>
                                                  <w:marBottom w:val="0"/>
                                                  <w:divBdr>
                                                    <w:top w:val="none" w:sz="0" w:space="0" w:color="auto"/>
                                                    <w:left w:val="none" w:sz="0" w:space="0" w:color="auto"/>
                                                    <w:bottom w:val="none" w:sz="0" w:space="0" w:color="auto"/>
                                                    <w:right w:val="none" w:sz="0" w:space="0" w:color="auto"/>
                                                  </w:divBdr>
                                                  <w:divsChild>
                                                    <w:div w:id="397677819">
                                                      <w:marLeft w:val="0"/>
                                                      <w:marRight w:val="0"/>
                                                      <w:marTop w:val="0"/>
                                                      <w:marBottom w:val="0"/>
                                                      <w:divBdr>
                                                        <w:top w:val="single" w:sz="6" w:space="0" w:color="ABABAB"/>
                                                        <w:left w:val="single" w:sz="6" w:space="0" w:color="ABABAB"/>
                                                        <w:bottom w:val="none" w:sz="0" w:space="0" w:color="auto"/>
                                                        <w:right w:val="single" w:sz="6" w:space="0" w:color="ABABAB"/>
                                                      </w:divBdr>
                                                      <w:divsChild>
                                                        <w:div w:id="1489398929">
                                                          <w:marLeft w:val="0"/>
                                                          <w:marRight w:val="0"/>
                                                          <w:marTop w:val="0"/>
                                                          <w:marBottom w:val="0"/>
                                                          <w:divBdr>
                                                            <w:top w:val="none" w:sz="0" w:space="0" w:color="auto"/>
                                                            <w:left w:val="none" w:sz="0" w:space="0" w:color="auto"/>
                                                            <w:bottom w:val="none" w:sz="0" w:space="0" w:color="auto"/>
                                                            <w:right w:val="none" w:sz="0" w:space="0" w:color="auto"/>
                                                          </w:divBdr>
                                                          <w:divsChild>
                                                            <w:div w:id="496771437">
                                                              <w:marLeft w:val="0"/>
                                                              <w:marRight w:val="0"/>
                                                              <w:marTop w:val="0"/>
                                                              <w:marBottom w:val="0"/>
                                                              <w:divBdr>
                                                                <w:top w:val="none" w:sz="0" w:space="0" w:color="auto"/>
                                                                <w:left w:val="none" w:sz="0" w:space="0" w:color="auto"/>
                                                                <w:bottom w:val="none" w:sz="0" w:space="0" w:color="auto"/>
                                                                <w:right w:val="none" w:sz="0" w:space="0" w:color="auto"/>
                                                              </w:divBdr>
                                                              <w:divsChild>
                                                                <w:div w:id="909660330">
                                                                  <w:marLeft w:val="0"/>
                                                                  <w:marRight w:val="0"/>
                                                                  <w:marTop w:val="0"/>
                                                                  <w:marBottom w:val="0"/>
                                                                  <w:divBdr>
                                                                    <w:top w:val="none" w:sz="0" w:space="0" w:color="auto"/>
                                                                    <w:left w:val="none" w:sz="0" w:space="0" w:color="auto"/>
                                                                    <w:bottom w:val="none" w:sz="0" w:space="0" w:color="auto"/>
                                                                    <w:right w:val="none" w:sz="0" w:space="0" w:color="auto"/>
                                                                  </w:divBdr>
                                                                  <w:divsChild>
                                                                    <w:div w:id="684986954">
                                                                      <w:marLeft w:val="0"/>
                                                                      <w:marRight w:val="0"/>
                                                                      <w:marTop w:val="0"/>
                                                                      <w:marBottom w:val="0"/>
                                                                      <w:divBdr>
                                                                        <w:top w:val="none" w:sz="0" w:space="0" w:color="auto"/>
                                                                        <w:left w:val="none" w:sz="0" w:space="0" w:color="auto"/>
                                                                        <w:bottom w:val="none" w:sz="0" w:space="0" w:color="auto"/>
                                                                        <w:right w:val="none" w:sz="0" w:space="0" w:color="auto"/>
                                                                      </w:divBdr>
                                                                      <w:divsChild>
                                                                        <w:div w:id="1641031437">
                                                                          <w:marLeft w:val="0"/>
                                                                          <w:marRight w:val="0"/>
                                                                          <w:marTop w:val="0"/>
                                                                          <w:marBottom w:val="0"/>
                                                                          <w:divBdr>
                                                                            <w:top w:val="none" w:sz="0" w:space="0" w:color="auto"/>
                                                                            <w:left w:val="none" w:sz="0" w:space="0" w:color="auto"/>
                                                                            <w:bottom w:val="none" w:sz="0" w:space="0" w:color="auto"/>
                                                                            <w:right w:val="none" w:sz="0" w:space="0" w:color="auto"/>
                                                                          </w:divBdr>
                                                                          <w:divsChild>
                                                                            <w:div w:id="1239824964">
                                                                              <w:marLeft w:val="0"/>
                                                                              <w:marRight w:val="0"/>
                                                                              <w:marTop w:val="0"/>
                                                                              <w:marBottom w:val="0"/>
                                                                              <w:divBdr>
                                                                                <w:top w:val="none" w:sz="0" w:space="0" w:color="auto"/>
                                                                                <w:left w:val="none" w:sz="0" w:space="0" w:color="auto"/>
                                                                                <w:bottom w:val="none" w:sz="0" w:space="0" w:color="auto"/>
                                                                                <w:right w:val="none" w:sz="0" w:space="0" w:color="auto"/>
                                                                              </w:divBdr>
                                                                              <w:divsChild>
                                                                                <w:div w:id="317728634">
                                                                                  <w:marLeft w:val="0"/>
                                                                                  <w:marRight w:val="0"/>
                                                                                  <w:marTop w:val="0"/>
                                                                                  <w:marBottom w:val="0"/>
                                                                                  <w:divBdr>
                                                                                    <w:top w:val="none" w:sz="0" w:space="0" w:color="auto"/>
                                                                                    <w:left w:val="none" w:sz="0" w:space="0" w:color="auto"/>
                                                                                    <w:bottom w:val="none" w:sz="0" w:space="0" w:color="auto"/>
                                                                                    <w:right w:val="none" w:sz="0" w:space="0" w:color="auto"/>
                                                                                  </w:divBdr>
                                                                                </w:div>
                                                                                <w:div w:id="974019796">
                                                                                  <w:marLeft w:val="0"/>
                                                                                  <w:marRight w:val="0"/>
                                                                                  <w:marTop w:val="0"/>
                                                                                  <w:marBottom w:val="0"/>
                                                                                  <w:divBdr>
                                                                                    <w:top w:val="none" w:sz="0" w:space="0" w:color="auto"/>
                                                                                    <w:left w:val="none" w:sz="0" w:space="0" w:color="auto"/>
                                                                                    <w:bottom w:val="none" w:sz="0" w:space="0" w:color="auto"/>
                                                                                    <w:right w:val="none" w:sz="0" w:space="0" w:color="auto"/>
                                                                                  </w:divBdr>
                                                                                  <w:divsChild>
                                                                                    <w:div w:id="83291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83867071">
      <w:bodyDiv w:val="1"/>
      <w:marLeft w:val="0"/>
      <w:marRight w:val="0"/>
      <w:marTop w:val="0"/>
      <w:marBottom w:val="0"/>
      <w:divBdr>
        <w:top w:val="none" w:sz="0" w:space="0" w:color="auto"/>
        <w:left w:val="none" w:sz="0" w:space="0" w:color="auto"/>
        <w:bottom w:val="none" w:sz="0" w:space="0" w:color="auto"/>
        <w:right w:val="none" w:sz="0" w:space="0" w:color="auto"/>
      </w:divBdr>
      <w:divsChild>
        <w:div w:id="1174758002">
          <w:marLeft w:val="0"/>
          <w:marRight w:val="0"/>
          <w:marTop w:val="0"/>
          <w:marBottom w:val="0"/>
          <w:divBdr>
            <w:top w:val="none" w:sz="0" w:space="0" w:color="auto"/>
            <w:left w:val="none" w:sz="0" w:space="0" w:color="auto"/>
            <w:bottom w:val="none" w:sz="0" w:space="0" w:color="auto"/>
            <w:right w:val="none" w:sz="0" w:space="0" w:color="auto"/>
          </w:divBdr>
          <w:divsChild>
            <w:div w:id="1038890576">
              <w:marLeft w:val="0"/>
              <w:marRight w:val="0"/>
              <w:marTop w:val="0"/>
              <w:marBottom w:val="0"/>
              <w:divBdr>
                <w:top w:val="none" w:sz="0" w:space="0" w:color="auto"/>
                <w:left w:val="none" w:sz="0" w:space="0" w:color="auto"/>
                <w:bottom w:val="none" w:sz="0" w:space="0" w:color="auto"/>
                <w:right w:val="none" w:sz="0" w:space="0" w:color="auto"/>
              </w:divBdr>
              <w:divsChild>
                <w:div w:id="367534337">
                  <w:marLeft w:val="0"/>
                  <w:marRight w:val="0"/>
                  <w:marTop w:val="0"/>
                  <w:marBottom w:val="0"/>
                  <w:divBdr>
                    <w:top w:val="none" w:sz="0" w:space="0" w:color="auto"/>
                    <w:left w:val="none" w:sz="0" w:space="0" w:color="auto"/>
                    <w:bottom w:val="none" w:sz="0" w:space="0" w:color="auto"/>
                    <w:right w:val="none" w:sz="0" w:space="0" w:color="auto"/>
                  </w:divBdr>
                  <w:divsChild>
                    <w:div w:id="2116093005">
                      <w:marLeft w:val="0"/>
                      <w:marRight w:val="0"/>
                      <w:marTop w:val="0"/>
                      <w:marBottom w:val="0"/>
                      <w:divBdr>
                        <w:top w:val="none" w:sz="0" w:space="0" w:color="auto"/>
                        <w:left w:val="none" w:sz="0" w:space="0" w:color="auto"/>
                        <w:bottom w:val="none" w:sz="0" w:space="0" w:color="auto"/>
                        <w:right w:val="none" w:sz="0" w:space="0" w:color="auto"/>
                      </w:divBdr>
                      <w:divsChild>
                        <w:div w:id="2135251474">
                          <w:marLeft w:val="0"/>
                          <w:marRight w:val="0"/>
                          <w:marTop w:val="0"/>
                          <w:marBottom w:val="0"/>
                          <w:divBdr>
                            <w:top w:val="none" w:sz="0" w:space="0" w:color="auto"/>
                            <w:left w:val="none" w:sz="0" w:space="0" w:color="auto"/>
                            <w:bottom w:val="none" w:sz="0" w:space="0" w:color="auto"/>
                            <w:right w:val="none" w:sz="0" w:space="0" w:color="auto"/>
                          </w:divBdr>
                          <w:divsChild>
                            <w:div w:id="71196195">
                              <w:marLeft w:val="15"/>
                              <w:marRight w:val="195"/>
                              <w:marTop w:val="0"/>
                              <w:marBottom w:val="0"/>
                              <w:divBdr>
                                <w:top w:val="none" w:sz="0" w:space="0" w:color="auto"/>
                                <w:left w:val="none" w:sz="0" w:space="0" w:color="auto"/>
                                <w:bottom w:val="none" w:sz="0" w:space="0" w:color="auto"/>
                                <w:right w:val="none" w:sz="0" w:space="0" w:color="auto"/>
                              </w:divBdr>
                              <w:divsChild>
                                <w:div w:id="1456872910">
                                  <w:marLeft w:val="0"/>
                                  <w:marRight w:val="0"/>
                                  <w:marTop w:val="0"/>
                                  <w:marBottom w:val="0"/>
                                  <w:divBdr>
                                    <w:top w:val="none" w:sz="0" w:space="0" w:color="auto"/>
                                    <w:left w:val="none" w:sz="0" w:space="0" w:color="auto"/>
                                    <w:bottom w:val="none" w:sz="0" w:space="0" w:color="auto"/>
                                    <w:right w:val="none" w:sz="0" w:space="0" w:color="auto"/>
                                  </w:divBdr>
                                  <w:divsChild>
                                    <w:div w:id="160432831">
                                      <w:marLeft w:val="0"/>
                                      <w:marRight w:val="0"/>
                                      <w:marTop w:val="0"/>
                                      <w:marBottom w:val="0"/>
                                      <w:divBdr>
                                        <w:top w:val="none" w:sz="0" w:space="0" w:color="auto"/>
                                        <w:left w:val="none" w:sz="0" w:space="0" w:color="auto"/>
                                        <w:bottom w:val="none" w:sz="0" w:space="0" w:color="auto"/>
                                        <w:right w:val="none" w:sz="0" w:space="0" w:color="auto"/>
                                      </w:divBdr>
                                      <w:divsChild>
                                        <w:div w:id="1248805482">
                                          <w:marLeft w:val="0"/>
                                          <w:marRight w:val="0"/>
                                          <w:marTop w:val="0"/>
                                          <w:marBottom w:val="0"/>
                                          <w:divBdr>
                                            <w:top w:val="none" w:sz="0" w:space="0" w:color="auto"/>
                                            <w:left w:val="none" w:sz="0" w:space="0" w:color="auto"/>
                                            <w:bottom w:val="none" w:sz="0" w:space="0" w:color="auto"/>
                                            <w:right w:val="none" w:sz="0" w:space="0" w:color="auto"/>
                                          </w:divBdr>
                                          <w:divsChild>
                                            <w:div w:id="933055535">
                                              <w:marLeft w:val="0"/>
                                              <w:marRight w:val="0"/>
                                              <w:marTop w:val="0"/>
                                              <w:marBottom w:val="0"/>
                                              <w:divBdr>
                                                <w:top w:val="none" w:sz="0" w:space="0" w:color="auto"/>
                                                <w:left w:val="none" w:sz="0" w:space="0" w:color="auto"/>
                                                <w:bottom w:val="none" w:sz="0" w:space="0" w:color="auto"/>
                                                <w:right w:val="none" w:sz="0" w:space="0" w:color="auto"/>
                                              </w:divBdr>
                                              <w:divsChild>
                                                <w:div w:id="1687973503">
                                                  <w:marLeft w:val="0"/>
                                                  <w:marRight w:val="0"/>
                                                  <w:marTop w:val="0"/>
                                                  <w:marBottom w:val="0"/>
                                                  <w:divBdr>
                                                    <w:top w:val="none" w:sz="0" w:space="0" w:color="auto"/>
                                                    <w:left w:val="none" w:sz="0" w:space="0" w:color="auto"/>
                                                    <w:bottom w:val="none" w:sz="0" w:space="0" w:color="auto"/>
                                                    <w:right w:val="none" w:sz="0" w:space="0" w:color="auto"/>
                                                  </w:divBdr>
                                                  <w:divsChild>
                                                    <w:div w:id="1829519607">
                                                      <w:marLeft w:val="0"/>
                                                      <w:marRight w:val="0"/>
                                                      <w:marTop w:val="0"/>
                                                      <w:marBottom w:val="0"/>
                                                      <w:divBdr>
                                                        <w:top w:val="none" w:sz="0" w:space="0" w:color="auto"/>
                                                        <w:left w:val="none" w:sz="0" w:space="0" w:color="auto"/>
                                                        <w:bottom w:val="none" w:sz="0" w:space="0" w:color="auto"/>
                                                        <w:right w:val="none" w:sz="0" w:space="0" w:color="auto"/>
                                                      </w:divBdr>
                                                      <w:divsChild>
                                                        <w:div w:id="1627077329">
                                                          <w:marLeft w:val="0"/>
                                                          <w:marRight w:val="0"/>
                                                          <w:marTop w:val="0"/>
                                                          <w:marBottom w:val="0"/>
                                                          <w:divBdr>
                                                            <w:top w:val="none" w:sz="0" w:space="0" w:color="auto"/>
                                                            <w:left w:val="none" w:sz="0" w:space="0" w:color="auto"/>
                                                            <w:bottom w:val="none" w:sz="0" w:space="0" w:color="auto"/>
                                                            <w:right w:val="none" w:sz="0" w:space="0" w:color="auto"/>
                                                          </w:divBdr>
                                                          <w:divsChild>
                                                            <w:div w:id="147596066">
                                                              <w:marLeft w:val="0"/>
                                                              <w:marRight w:val="0"/>
                                                              <w:marTop w:val="0"/>
                                                              <w:marBottom w:val="0"/>
                                                              <w:divBdr>
                                                                <w:top w:val="none" w:sz="0" w:space="0" w:color="auto"/>
                                                                <w:left w:val="none" w:sz="0" w:space="0" w:color="auto"/>
                                                                <w:bottom w:val="none" w:sz="0" w:space="0" w:color="auto"/>
                                                                <w:right w:val="none" w:sz="0" w:space="0" w:color="auto"/>
                                                              </w:divBdr>
                                                              <w:divsChild>
                                                                <w:div w:id="1436167538">
                                                                  <w:marLeft w:val="0"/>
                                                                  <w:marRight w:val="0"/>
                                                                  <w:marTop w:val="0"/>
                                                                  <w:marBottom w:val="0"/>
                                                                  <w:divBdr>
                                                                    <w:top w:val="none" w:sz="0" w:space="0" w:color="auto"/>
                                                                    <w:left w:val="none" w:sz="0" w:space="0" w:color="auto"/>
                                                                    <w:bottom w:val="none" w:sz="0" w:space="0" w:color="auto"/>
                                                                    <w:right w:val="none" w:sz="0" w:space="0" w:color="auto"/>
                                                                  </w:divBdr>
                                                                  <w:divsChild>
                                                                    <w:div w:id="182983140">
                                                                      <w:marLeft w:val="405"/>
                                                                      <w:marRight w:val="0"/>
                                                                      <w:marTop w:val="0"/>
                                                                      <w:marBottom w:val="0"/>
                                                                      <w:divBdr>
                                                                        <w:top w:val="none" w:sz="0" w:space="0" w:color="auto"/>
                                                                        <w:left w:val="none" w:sz="0" w:space="0" w:color="auto"/>
                                                                        <w:bottom w:val="none" w:sz="0" w:space="0" w:color="auto"/>
                                                                        <w:right w:val="none" w:sz="0" w:space="0" w:color="auto"/>
                                                                      </w:divBdr>
                                                                      <w:divsChild>
                                                                        <w:div w:id="907225765">
                                                                          <w:marLeft w:val="0"/>
                                                                          <w:marRight w:val="0"/>
                                                                          <w:marTop w:val="0"/>
                                                                          <w:marBottom w:val="0"/>
                                                                          <w:divBdr>
                                                                            <w:top w:val="none" w:sz="0" w:space="0" w:color="auto"/>
                                                                            <w:left w:val="none" w:sz="0" w:space="0" w:color="auto"/>
                                                                            <w:bottom w:val="none" w:sz="0" w:space="0" w:color="auto"/>
                                                                            <w:right w:val="none" w:sz="0" w:space="0" w:color="auto"/>
                                                                          </w:divBdr>
                                                                          <w:divsChild>
                                                                            <w:div w:id="1531412470">
                                                                              <w:marLeft w:val="0"/>
                                                                              <w:marRight w:val="0"/>
                                                                              <w:marTop w:val="0"/>
                                                                              <w:marBottom w:val="0"/>
                                                                              <w:divBdr>
                                                                                <w:top w:val="none" w:sz="0" w:space="0" w:color="auto"/>
                                                                                <w:left w:val="none" w:sz="0" w:space="0" w:color="auto"/>
                                                                                <w:bottom w:val="none" w:sz="0" w:space="0" w:color="auto"/>
                                                                                <w:right w:val="none" w:sz="0" w:space="0" w:color="auto"/>
                                                                              </w:divBdr>
                                                                              <w:divsChild>
                                                                                <w:div w:id="1495412278">
                                                                                  <w:marLeft w:val="0"/>
                                                                                  <w:marRight w:val="0"/>
                                                                                  <w:marTop w:val="0"/>
                                                                                  <w:marBottom w:val="0"/>
                                                                                  <w:divBdr>
                                                                                    <w:top w:val="none" w:sz="0" w:space="0" w:color="auto"/>
                                                                                    <w:left w:val="none" w:sz="0" w:space="0" w:color="auto"/>
                                                                                    <w:bottom w:val="none" w:sz="0" w:space="0" w:color="auto"/>
                                                                                    <w:right w:val="none" w:sz="0" w:space="0" w:color="auto"/>
                                                                                  </w:divBdr>
                                                                                  <w:divsChild>
                                                                                    <w:div w:id="865631129">
                                                                                      <w:marLeft w:val="0"/>
                                                                                      <w:marRight w:val="0"/>
                                                                                      <w:marTop w:val="0"/>
                                                                                      <w:marBottom w:val="0"/>
                                                                                      <w:divBdr>
                                                                                        <w:top w:val="none" w:sz="0" w:space="0" w:color="auto"/>
                                                                                        <w:left w:val="none" w:sz="0" w:space="0" w:color="auto"/>
                                                                                        <w:bottom w:val="none" w:sz="0" w:space="0" w:color="auto"/>
                                                                                        <w:right w:val="none" w:sz="0" w:space="0" w:color="auto"/>
                                                                                      </w:divBdr>
                                                                                      <w:divsChild>
                                                                                        <w:div w:id="641345226">
                                                                                          <w:marLeft w:val="0"/>
                                                                                          <w:marRight w:val="0"/>
                                                                                          <w:marTop w:val="0"/>
                                                                                          <w:marBottom w:val="0"/>
                                                                                          <w:divBdr>
                                                                                            <w:top w:val="none" w:sz="0" w:space="0" w:color="auto"/>
                                                                                            <w:left w:val="none" w:sz="0" w:space="0" w:color="auto"/>
                                                                                            <w:bottom w:val="none" w:sz="0" w:space="0" w:color="auto"/>
                                                                                            <w:right w:val="none" w:sz="0" w:space="0" w:color="auto"/>
                                                                                          </w:divBdr>
                                                                                          <w:divsChild>
                                                                                            <w:div w:id="442500040">
                                                                                              <w:marLeft w:val="0"/>
                                                                                              <w:marRight w:val="0"/>
                                                                                              <w:marTop w:val="0"/>
                                                                                              <w:marBottom w:val="0"/>
                                                                                              <w:divBdr>
                                                                                                <w:top w:val="none" w:sz="0" w:space="0" w:color="auto"/>
                                                                                                <w:left w:val="none" w:sz="0" w:space="0" w:color="auto"/>
                                                                                                <w:bottom w:val="none" w:sz="0" w:space="0" w:color="auto"/>
                                                                                                <w:right w:val="none" w:sz="0" w:space="0" w:color="auto"/>
                                                                                              </w:divBdr>
                                                                                              <w:divsChild>
                                                                                                <w:div w:id="1624917107">
                                                                                                  <w:marLeft w:val="0"/>
                                                                                                  <w:marRight w:val="0"/>
                                                                                                  <w:marTop w:val="0"/>
                                                                                                  <w:marBottom w:val="0"/>
                                                                                                  <w:divBdr>
                                                                                                    <w:top w:val="none" w:sz="0" w:space="0" w:color="auto"/>
                                                                                                    <w:left w:val="single" w:sz="12" w:space="8" w:color="auto"/>
                                                                                                    <w:bottom w:val="none" w:sz="0" w:space="0" w:color="auto"/>
                                                                                                    <w:right w:val="none" w:sz="0" w:space="0" w:color="auto"/>
                                                                                                  </w:divBdr>
                                                                                                  <w:divsChild>
                                                                                                    <w:div w:id="955210390">
                                                                                                      <w:marLeft w:val="0"/>
                                                                                                      <w:marRight w:val="0"/>
                                                                                                      <w:marTop w:val="0"/>
                                                                                                      <w:marBottom w:val="0"/>
                                                                                                      <w:divBdr>
                                                                                                        <w:top w:val="none" w:sz="0" w:space="0" w:color="auto"/>
                                                                                                        <w:left w:val="none" w:sz="0" w:space="0" w:color="auto"/>
                                                                                                        <w:bottom w:val="none" w:sz="0" w:space="0" w:color="auto"/>
                                                                                                        <w:right w:val="none" w:sz="0" w:space="0" w:color="auto"/>
                                                                                                      </w:divBdr>
                                                                                                      <w:divsChild>
                                                                                                        <w:div w:id="409039731">
                                                                                                          <w:marLeft w:val="0"/>
                                                                                                          <w:marRight w:val="0"/>
                                                                                                          <w:marTop w:val="0"/>
                                                                                                          <w:marBottom w:val="0"/>
                                                                                                          <w:divBdr>
                                                                                                            <w:top w:val="none" w:sz="0" w:space="0" w:color="auto"/>
                                                                                                            <w:left w:val="none" w:sz="0" w:space="0" w:color="auto"/>
                                                                                                            <w:bottom w:val="none" w:sz="0" w:space="0" w:color="auto"/>
                                                                                                            <w:right w:val="none" w:sz="0" w:space="0" w:color="auto"/>
                                                                                                          </w:divBdr>
                                                                                                          <w:divsChild>
                                                                                                            <w:div w:id="1861045564">
                                                                                                              <w:marLeft w:val="0"/>
                                                                                                              <w:marRight w:val="0"/>
                                                                                                              <w:marTop w:val="0"/>
                                                                                                              <w:marBottom w:val="0"/>
                                                                                                              <w:divBdr>
                                                                                                                <w:top w:val="none" w:sz="0" w:space="0" w:color="auto"/>
                                                                                                                <w:left w:val="none" w:sz="0" w:space="0" w:color="auto"/>
                                                                                                                <w:bottom w:val="none" w:sz="0" w:space="0" w:color="auto"/>
                                                                                                                <w:right w:val="none" w:sz="0" w:space="0" w:color="auto"/>
                                                                                                              </w:divBdr>
                                                                                                              <w:divsChild>
                                                                                                                <w:div w:id="1921795647">
                                                                                                                  <w:marLeft w:val="0"/>
                                                                                                                  <w:marRight w:val="0"/>
                                                                                                                  <w:marTop w:val="0"/>
                                                                                                                  <w:marBottom w:val="0"/>
                                                                                                                  <w:divBdr>
                                                                                                                    <w:top w:val="none" w:sz="0" w:space="0" w:color="auto"/>
                                                                                                                    <w:left w:val="none" w:sz="0" w:space="0" w:color="auto"/>
                                                                                                                    <w:bottom w:val="none" w:sz="0" w:space="0" w:color="auto"/>
                                                                                                                    <w:right w:val="none" w:sz="0" w:space="0" w:color="auto"/>
                                                                                                                  </w:divBdr>
                                                                                                                  <w:divsChild>
                                                                                                                    <w:div w:id="469716590">
                                                                                                                      <w:marLeft w:val="0"/>
                                                                                                                      <w:marRight w:val="0"/>
                                                                                                                      <w:marTop w:val="0"/>
                                                                                                                      <w:marBottom w:val="0"/>
                                                                                                                      <w:divBdr>
                                                                                                                        <w:top w:val="none" w:sz="0" w:space="0" w:color="auto"/>
                                                                                                                        <w:left w:val="none" w:sz="0" w:space="0" w:color="auto"/>
                                                                                                                        <w:bottom w:val="none" w:sz="0" w:space="0" w:color="auto"/>
                                                                                                                        <w:right w:val="none" w:sz="0" w:space="0" w:color="auto"/>
                                                                                                                      </w:divBdr>
                                                                                                                      <w:divsChild>
                                                                                                                        <w:div w:id="300502682">
                                                                                                                          <w:marLeft w:val="0"/>
                                                                                                                          <w:marRight w:val="0"/>
                                                                                                                          <w:marTop w:val="0"/>
                                                                                                                          <w:marBottom w:val="0"/>
                                                                                                                          <w:divBdr>
                                                                                                                            <w:top w:val="none" w:sz="0" w:space="0" w:color="auto"/>
                                                                                                                            <w:left w:val="none" w:sz="0" w:space="0" w:color="auto"/>
                                                                                                                            <w:bottom w:val="none" w:sz="0" w:space="0" w:color="auto"/>
                                                                                                                            <w:right w:val="none" w:sz="0" w:space="0" w:color="auto"/>
                                                                                                                          </w:divBdr>
                                                                                                                          <w:divsChild>
                                                                                                                            <w:div w:id="674725333">
                                                                                                                              <w:marLeft w:val="0"/>
                                                                                                                              <w:marRight w:val="0"/>
                                                                                                                              <w:marTop w:val="0"/>
                                                                                                                              <w:marBottom w:val="0"/>
                                                                                                                              <w:divBdr>
                                                                                                                                <w:top w:val="none" w:sz="0" w:space="0" w:color="auto"/>
                                                                                                                                <w:left w:val="none" w:sz="0" w:space="0" w:color="auto"/>
                                                                                                                                <w:bottom w:val="none" w:sz="0" w:space="0" w:color="auto"/>
                                                                                                                                <w:right w:val="none" w:sz="0" w:space="0" w:color="auto"/>
                                                                                                                              </w:divBdr>
                                                                                                                            </w:div>
                                                                                                                            <w:div w:id="35476552">
                                                                                                                              <w:marLeft w:val="0"/>
                                                                                                                              <w:marRight w:val="0"/>
                                                                                                                              <w:marTop w:val="0"/>
                                                                                                                              <w:marBottom w:val="0"/>
                                                                                                                              <w:divBdr>
                                                                                                                                <w:top w:val="none" w:sz="0" w:space="0" w:color="auto"/>
                                                                                                                                <w:left w:val="none" w:sz="0" w:space="0" w:color="auto"/>
                                                                                                                                <w:bottom w:val="none" w:sz="0" w:space="0" w:color="auto"/>
                                                                                                                                <w:right w:val="none" w:sz="0" w:space="0" w:color="auto"/>
                                                                                                                              </w:divBdr>
                                                                                                                            </w:div>
                                                                                                                            <w:div w:id="1804884365">
                                                                                                                              <w:marLeft w:val="0"/>
                                                                                                                              <w:marRight w:val="0"/>
                                                                                                                              <w:marTop w:val="0"/>
                                                                                                                              <w:marBottom w:val="0"/>
                                                                                                                              <w:divBdr>
                                                                                                                                <w:top w:val="none" w:sz="0" w:space="0" w:color="auto"/>
                                                                                                                                <w:left w:val="none" w:sz="0" w:space="0" w:color="auto"/>
                                                                                                                                <w:bottom w:val="none" w:sz="0" w:space="0" w:color="auto"/>
                                                                                                                                <w:right w:val="none" w:sz="0" w:space="0" w:color="auto"/>
                                                                                                                              </w:divBdr>
                                                                                                                            </w:div>
                                                                                                                            <w:div w:id="232543819">
                                                                                                                              <w:marLeft w:val="0"/>
                                                                                                                              <w:marRight w:val="0"/>
                                                                                                                              <w:marTop w:val="0"/>
                                                                                                                              <w:marBottom w:val="0"/>
                                                                                                                              <w:divBdr>
                                                                                                                                <w:top w:val="none" w:sz="0" w:space="0" w:color="auto"/>
                                                                                                                                <w:left w:val="none" w:sz="0" w:space="0" w:color="auto"/>
                                                                                                                                <w:bottom w:val="none" w:sz="0" w:space="0" w:color="auto"/>
                                                                                                                                <w:right w:val="none" w:sz="0" w:space="0" w:color="auto"/>
                                                                                                                              </w:divBdr>
                                                                                                                            </w:div>
                                                                                                                            <w:div w:id="80420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18094364">
      <w:bodyDiv w:val="1"/>
      <w:marLeft w:val="0"/>
      <w:marRight w:val="0"/>
      <w:marTop w:val="0"/>
      <w:marBottom w:val="0"/>
      <w:divBdr>
        <w:top w:val="none" w:sz="0" w:space="0" w:color="auto"/>
        <w:left w:val="none" w:sz="0" w:space="0" w:color="auto"/>
        <w:bottom w:val="none" w:sz="0" w:space="0" w:color="auto"/>
        <w:right w:val="none" w:sz="0" w:space="0" w:color="auto"/>
      </w:divBdr>
      <w:divsChild>
        <w:div w:id="888495803">
          <w:marLeft w:val="0"/>
          <w:marRight w:val="0"/>
          <w:marTop w:val="0"/>
          <w:marBottom w:val="0"/>
          <w:divBdr>
            <w:top w:val="none" w:sz="0" w:space="0" w:color="auto"/>
            <w:left w:val="none" w:sz="0" w:space="0" w:color="auto"/>
            <w:bottom w:val="none" w:sz="0" w:space="0" w:color="auto"/>
            <w:right w:val="none" w:sz="0" w:space="0" w:color="auto"/>
          </w:divBdr>
          <w:divsChild>
            <w:div w:id="1601833562">
              <w:marLeft w:val="0"/>
              <w:marRight w:val="0"/>
              <w:marTop w:val="0"/>
              <w:marBottom w:val="0"/>
              <w:divBdr>
                <w:top w:val="none" w:sz="0" w:space="0" w:color="auto"/>
                <w:left w:val="none" w:sz="0" w:space="0" w:color="auto"/>
                <w:bottom w:val="none" w:sz="0" w:space="0" w:color="auto"/>
                <w:right w:val="none" w:sz="0" w:space="0" w:color="auto"/>
              </w:divBdr>
              <w:divsChild>
                <w:div w:id="173500175">
                  <w:marLeft w:val="0"/>
                  <w:marRight w:val="0"/>
                  <w:marTop w:val="600"/>
                  <w:marBottom w:val="0"/>
                  <w:divBdr>
                    <w:top w:val="none" w:sz="0" w:space="0" w:color="auto"/>
                    <w:left w:val="none" w:sz="0" w:space="0" w:color="auto"/>
                    <w:bottom w:val="none" w:sz="0" w:space="0" w:color="auto"/>
                    <w:right w:val="none" w:sz="0" w:space="0" w:color="auto"/>
                  </w:divBdr>
                  <w:divsChild>
                    <w:div w:id="2040620279">
                      <w:marLeft w:val="0"/>
                      <w:marRight w:val="0"/>
                      <w:marTop w:val="100"/>
                      <w:marBottom w:val="100"/>
                      <w:divBdr>
                        <w:top w:val="none" w:sz="0" w:space="0" w:color="auto"/>
                        <w:left w:val="none" w:sz="0" w:space="0" w:color="auto"/>
                        <w:bottom w:val="none" w:sz="0" w:space="0" w:color="auto"/>
                        <w:right w:val="none" w:sz="0" w:space="0" w:color="auto"/>
                      </w:divBdr>
                      <w:divsChild>
                        <w:div w:id="799228088">
                          <w:blockQuote w:val="1"/>
                          <w:marLeft w:val="0"/>
                          <w:marRight w:val="0"/>
                          <w:marTop w:val="0"/>
                          <w:marBottom w:val="0"/>
                          <w:divBdr>
                            <w:top w:val="none" w:sz="0" w:space="0" w:color="auto"/>
                            <w:left w:val="single" w:sz="6" w:space="15" w:color="DADAD2"/>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consultations/2018-12/draft-additional-learning-needs-code-for-wales_0.pdf%20pgs%2034" TargetMode="External"/><Relationship Id="rId3" Type="http://schemas.openxmlformats.org/officeDocument/2006/relationships/settings" Target="settings.xml"/><Relationship Id="rId7" Type="http://schemas.openxmlformats.org/officeDocument/2006/relationships/hyperlink" Target="https://beta.gov.wales/sites/default/files/consultations/2018-12/draft-additional-learning-needs-code-for-wales_0.pdf%20pgs%203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1180</TotalTime>
  <Pages>27</Pages>
  <Words>8402</Words>
  <Characters>45918</Characters>
  <Application>Microsoft Office Word</Application>
  <DocSecurity>0</DocSecurity>
  <Lines>382</Lines>
  <Paragraphs>108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54212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Access User</dc:creator>
  <cp:keywords/>
  <dc:description/>
  <cp:lastModifiedBy>Natasha Williams</cp:lastModifiedBy>
  <cp:revision>101</cp:revision>
  <dcterms:created xsi:type="dcterms:W3CDTF">2019-02-16T19:06:00Z</dcterms:created>
  <dcterms:modified xsi:type="dcterms:W3CDTF">2019-03-26T12:51:00Z</dcterms:modified>
</cp:coreProperties>
</file>