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3A3A802D" w14:textId="1F85E682" w:rsidR="33572C6E" w:rsidRDefault="7908378C" w:rsidP="33572C6E">
            <w:pPr>
              <w:ind w:right="237"/>
              <w:rPr>
                <w:b/>
                <w:bCs/>
                <w:color w:val="auto"/>
                <w:sz w:val="32"/>
                <w:szCs w:val="32"/>
              </w:rPr>
            </w:pPr>
            <w:r w:rsidRPr="33572C6E">
              <w:rPr>
                <w:b/>
                <w:bCs/>
                <w:color w:val="auto"/>
                <w:sz w:val="32"/>
                <w:szCs w:val="32"/>
              </w:rPr>
              <w:t xml:space="preserve">Learner name: </w:t>
            </w:r>
            <w:r w:rsidR="00D84BBF">
              <w:rPr>
                <w:b/>
                <w:bCs/>
                <w:color w:val="auto"/>
                <w:sz w:val="32"/>
                <w:szCs w:val="32"/>
              </w:rPr>
              <w:t xml:space="preserve">Simon Pepperell </w:t>
            </w:r>
          </w:p>
          <w:p w14:paraId="72990BAE" w14:textId="77777777" w:rsidR="00D84BBF" w:rsidRDefault="00D84BBF" w:rsidP="33572C6E">
            <w:pPr>
              <w:ind w:right="237"/>
              <w:rPr>
                <w:b/>
                <w:bCs/>
                <w:color w:val="auto"/>
                <w:sz w:val="32"/>
                <w:szCs w:val="32"/>
              </w:rPr>
            </w:pPr>
          </w:p>
          <w:p w14:paraId="1D86F74A" w14:textId="4602CBC9" w:rsidR="33572C6E" w:rsidRDefault="7908378C" w:rsidP="33572C6E">
            <w:pPr>
              <w:ind w:right="237"/>
              <w:rPr>
                <w:b/>
                <w:bCs/>
                <w:color w:val="auto"/>
                <w:sz w:val="32"/>
                <w:szCs w:val="32"/>
              </w:rPr>
            </w:pPr>
            <w:r w:rsidRPr="33572C6E">
              <w:rPr>
                <w:b/>
                <w:bCs/>
                <w:color w:val="auto"/>
                <w:sz w:val="32"/>
                <w:szCs w:val="32"/>
              </w:rPr>
              <w:t>Learner’s University Registration Number:</w:t>
            </w:r>
            <w:r w:rsidR="00D84BBF">
              <w:rPr>
                <w:b/>
                <w:bCs/>
                <w:color w:val="auto"/>
                <w:sz w:val="32"/>
                <w:szCs w:val="32"/>
              </w:rPr>
              <w:t xml:space="preserve"> 2236402</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5F8928E7"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4578E4">
        <w:rPr>
          <w:b/>
          <w:bCs/>
          <w:i/>
          <w:iCs/>
          <w:color w:val="auto"/>
          <w:sz w:val="24"/>
          <w:szCs w:val="24"/>
        </w:rPr>
        <w:t>9</w:t>
      </w:r>
      <w:r w:rsidR="3DBF3393" w:rsidRPr="45B99DA0">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5F2CCDF" w14:textId="2D3A9201" w:rsidR="00926918" w:rsidRDefault="00E65C0E" w:rsidP="00527891">
      <w:pPr>
        <w:overflowPunct/>
        <w:autoSpaceDE/>
        <w:autoSpaceDN/>
        <w:adjustRightInd/>
        <w:jc w:val="both"/>
        <w:textAlignment w:val="auto"/>
        <w:rPr>
          <w:sz w:val="24"/>
          <w:szCs w:val="24"/>
        </w:rPr>
      </w:pPr>
      <w:r>
        <w:rPr>
          <w:sz w:val="24"/>
          <w:szCs w:val="24"/>
        </w:rPr>
        <w:t>In law enforcement, incidents involving public order offences underscore the complexities and challenges faced by police officers in maintaining community safety and upholding social norms. One such incident in which I had a significant role was a Section 4a Public order offence</w:t>
      </w:r>
      <w:r w:rsidR="00C82250">
        <w:rPr>
          <w:sz w:val="24"/>
          <w:szCs w:val="24"/>
        </w:rPr>
        <w:t>, Hate Crime</w:t>
      </w:r>
      <w:r>
        <w:rPr>
          <w:sz w:val="24"/>
          <w:szCs w:val="24"/>
        </w:rPr>
        <w:t>.</w:t>
      </w:r>
      <w:r w:rsidR="00254D4F">
        <w:rPr>
          <w:sz w:val="24"/>
          <w:szCs w:val="24"/>
        </w:rPr>
        <w:t xml:space="preserve"> The UK Government’s, Public Order Act 1986, Section 4a states that</w:t>
      </w:r>
      <w:r w:rsidR="00C82250">
        <w:rPr>
          <w:sz w:val="24"/>
          <w:szCs w:val="24"/>
        </w:rPr>
        <w:t xml:space="preserve"> “</w:t>
      </w:r>
      <w:r w:rsidR="00C82250" w:rsidRPr="00C82250">
        <w:rPr>
          <w:i/>
          <w:iCs/>
          <w:sz w:val="24"/>
          <w:szCs w:val="24"/>
        </w:rPr>
        <w:t>A person is guilty of an offence if, with intent to cause a person harassment, alarm or distress, he uses threatening, abusive or insulting words or behaviour, or disorderly behaviour Thereby causing that or another person harassment, alarm or distress.”</w:t>
      </w:r>
      <w:r w:rsidR="00C82250">
        <w:rPr>
          <w:sz w:val="24"/>
          <w:szCs w:val="24"/>
        </w:rPr>
        <w:t xml:space="preserve"> </w:t>
      </w:r>
      <w:r>
        <w:rPr>
          <w:sz w:val="24"/>
          <w:szCs w:val="24"/>
        </w:rPr>
        <w:t xml:space="preserve"> </w:t>
      </w:r>
      <w:r w:rsidR="00254D4F">
        <w:rPr>
          <w:sz w:val="24"/>
          <w:szCs w:val="24"/>
        </w:rPr>
        <w:t>In this incident, a</w:t>
      </w:r>
      <w:r>
        <w:rPr>
          <w:sz w:val="24"/>
          <w:szCs w:val="24"/>
        </w:rPr>
        <w:t xml:space="preserve"> </w:t>
      </w:r>
      <w:r w:rsidR="00926918">
        <w:rPr>
          <w:sz w:val="24"/>
          <w:szCs w:val="24"/>
        </w:rPr>
        <w:t>40-year-old</w:t>
      </w:r>
      <w:r>
        <w:rPr>
          <w:sz w:val="24"/>
          <w:szCs w:val="24"/>
        </w:rPr>
        <w:t xml:space="preserve"> male committed a public order offence by directing racial slurs and threats towards a younger male. This type of offence shows the complex nature of policing in contemporary society. </w:t>
      </w:r>
      <w:r w:rsidR="00527891">
        <w:rPr>
          <w:sz w:val="24"/>
          <w:szCs w:val="24"/>
        </w:rPr>
        <w:t xml:space="preserve">The incident in question unfolded amidst a backdrop of social tensions and heightened sensitivities surrounding issues of diversity and inclusion. The verbal altercation initiated by the induvial, marked by derogatory language and confrontational behaviour, not only posed an immediate threat to public safety but also exposed the prejudices and vulnerability within our communities. As witnesses observed the unfolding events, the response of the police became pivotal in navigating the situation and mitigating the potential repercussions. Jon Garland (2014) states that </w:t>
      </w:r>
      <w:r w:rsidR="00527891" w:rsidRPr="00527891">
        <w:rPr>
          <w:i/>
          <w:iCs/>
          <w:sz w:val="24"/>
          <w:szCs w:val="24"/>
        </w:rPr>
        <w:t>“…there have been many important developments in the last twenty years or so that have helped to improve understandings of hate crime victimisation and perpetration, as well as how to challenge its motivations, prevent its occurrence and deal with its consequences</w:t>
      </w:r>
      <w:r w:rsidR="00527891" w:rsidRPr="00527891">
        <w:rPr>
          <w:sz w:val="24"/>
          <w:szCs w:val="24"/>
        </w:rPr>
        <w:t>.</w:t>
      </w:r>
      <w:r w:rsidR="00527891">
        <w:rPr>
          <w:sz w:val="24"/>
          <w:szCs w:val="24"/>
        </w:rPr>
        <w:t xml:space="preserve">” </w:t>
      </w:r>
      <w:r>
        <w:rPr>
          <w:sz w:val="24"/>
          <w:szCs w:val="24"/>
        </w:rPr>
        <w:t xml:space="preserve">This essay reflects upon my participation in this incident, offering critical insights into the appropriateness of police approaches in supporting vulnerable individuals and addressing the underlying issues of repeat victimisation and offending. </w:t>
      </w:r>
      <w:r w:rsidR="00926918">
        <w:rPr>
          <w:sz w:val="24"/>
          <w:szCs w:val="24"/>
        </w:rPr>
        <w:t xml:space="preserve">This essay will examine the incident, the way police interacted with the vulnerable victim, and the </w:t>
      </w:r>
      <w:r w:rsidR="00926918">
        <w:rPr>
          <w:sz w:val="24"/>
          <w:szCs w:val="24"/>
        </w:rPr>
        <w:lastRenderedPageBreak/>
        <w:t xml:space="preserve">potential strategies aimed at addressing repeat victimisation and offending. By critically evaluating the appropriateness of various approaches and exploring the principles of evidence-based policing, this essay will try to show the differing methods of enhancing the effectiveness and responsiveness of the police in safeguarding the well being of communities. </w:t>
      </w:r>
    </w:p>
    <w:p w14:paraId="3ECD9E5E" w14:textId="5AFC211D" w:rsidR="00082F42" w:rsidRDefault="00926918" w:rsidP="00F56E62">
      <w:pPr>
        <w:overflowPunct/>
        <w:autoSpaceDE/>
        <w:autoSpaceDN/>
        <w:adjustRightInd/>
        <w:jc w:val="both"/>
        <w:textAlignment w:val="auto"/>
        <w:rPr>
          <w:sz w:val="24"/>
          <w:szCs w:val="24"/>
        </w:rPr>
      </w:pPr>
      <w:r>
        <w:rPr>
          <w:sz w:val="24"/>
          <w:szCs w:val="24"/>
        </w:rPr>
        <w:t xml:space="preserve">The incident occurred in the centre of a small town’s high street which is lined on both sides with </w:t>
      </w:r>
      <w:proofErr w:type="gramStart"/>
      <w:r>
        <w:rPr>
          <w:sz w:val="24"/>
          <w:szCs w:val="24"/>
        </w:rPr>
        <w:t>a number of</w:t>
      </w:r>
      <w:proofErr w:type="gramEnd"/>
      <w:r>
        <w:rPr>
          <w:sz w:val="24"/>
          <w:szCs w:val="24"/>
        </w:rPr>
        <w:t xml:space="preserve"> shops, cafes, bars and other commercial premises. It unfolded rapidly, as a 40-year-old male walked along the high street and saw the younger male outside his place of work taking a break. </w:t>
      </w:r>
      <w:r w:rsidR="000C7F52">
        <w:rPr>
          <w:sz w:val="24"/>
          <w:szCs w:val="24"/>
        </w:rPr>
        <w:t xml:space="preserve">There is a history between the two as the 40-year-old male had been caught by the younger male shoplifting from the store around a year ago. As the older male walked past the </w:t>
      </w:r>
      <w:r w:rsidR="002D6B0C">
        <w:rPr>
          <w:sz w:val="24"/>
          <w:szCs w:val="24"/>
        </w:rPr>
        <w:t>store,</w:t>
      </w:r>
      <w:r w:rsidR="000C7F52">
        <w:rPr>
          <w:sz w:val="24"/>
          <w:szCs w:val="24"/>
        </w:rPr>
        <w:t xml:space="preserve"> he unleashed a barrage of racial slurs and threats towards the younger male. The outburst, punctuated by the derogatory language and aggressive posturing, visibly shocked the surrounding bystanders who made local PCSO’s aware of the incident. Witnesses recounted the exchange, highlighting the sense of harassment, alarm and distress to the PCSO who brought the incident to the attention of officers. </w:t>
      </w:r>
      <w:r w:rsidR="00D539FB">
        <w:rPr>
          <w:sz w:val="24"/>
          <w:szCs w:val="24"/>
        </w:rPr>
        <w:t>Mazerolle and Ransley (</w:t>
      </w:r>
      <w:r w:rsidR="003C7AD2">
        <w:rPr>
          <w:sz w:val="24"/>
          <w:szCs w:val="24"/>
        </w:rPr>
        <w:t xml:space="preserve">2005) </w:t>
      </w:r>
      <w:proofErr w:type="gramStart"/>
      <w:r w:rsidR="00D57617">
        <w:rPr>
          <w:sz w:val="24"/>
          <w:szCs w:val="24"/>
        </w:rPr>
        <w:t>summarises</w:t>
      </w:r>
      <w:proofErr w:type="gramEnd"/>
      <w:r w:rsidR="00D57617">
        <w:rPr>
          <w:sz w:val="24"/>
          <w:szCs w:val="24"/>
        </w:rPr>
        <w:t xml:space="preserve"> </w:t>
      </w:r>
      <w:r w:rsidR="003C7AD2">
        <w:rPr>
          <w:sz w:val="24"/>
          <w:szCs w:val="24"/>
        </w:rPr>
        <w:t xml:space="preserve">these type of witnesses </w:t>
      </w:r>
      <w:r w:rsidR="00D57617">
        <w:rPr>
          <w:sz w:val="24"/>
          <w:szCs w:val="24"/>
        </w:rPr>
        <w:t xml:space="preserve">are </w:t>
      </w:r>
      <w:r w:rsidR="00D57617" w:rsidRPr="00D57617">
        <w:rPr>
          <w:sz w:val="24"/>
          <w:szCs w:val="24"/>
        </w:rPr>
        <w:t>T</w:t>
      </w:r>
      <w:r w:rsidR="003C7AD2" w:rsidRPr="00D57617">
        <w:rPr>
          <w:sz w:val="24"/>
          <w:szCs w:val="24"/>
        </w:rPr>
        <w:t xml:space="preserve">hird Party </w:t>
      </w:r>
      <w:r w:rsidR="00CE5126" w:rsidRPr="00D57617">
        <w:rPr>
          <w:sz w:val="24"/>
          <w:szCs w:val="24"/>
        </w:rPr>
        <w:t xml:space="preserve">Partners that create increased capacities for </w:t>
      </w:r>
      <w:r w:rsidR="00D57617">
        <w:rPr>
          <w:sz w:val="24"/>
          <w:szCs w:val="24"/>
        </w:rPr>
        <w:t xml:space="preserve">the </w:t>
      </w:r>
      <w:r w:rsidR="00CE5126" w:rsidRPr="00D57617">
        <w:rPr>
          <w:sz w:val="24"/>
          <w:szCs w:val="24"/>
        </w:rPr>
        <w:t>police,</w:t>
      </w:r>
      <w:r w:rsidR="00D57617">
        <w:rPr>
          <w:sz w:val="24"/>
          <w:szCs w:val="24"/>
        </w:rPr>
        <w:t xml:space="preserve"> they are able</w:t>
      </w:r>
      <w:r w:rsidR="00CE5126" w:rsidRPr="00D57617">
        <w:rPr>
          <w:sz w:val="24"/>
          <w:szCs w:val="24"/>
        </w:rPr>
        <w:t xml:space="preserve"> to improve crime control and </w:t>
      </w:r>
      <w:r w:rsidR="00D57617">
        <w:rPr>
          <w:sz w:val="24"/>
          <w:szCs w:val="24"/>
        </w:rPr>
        <w:t xml:space="preserve">aid in the </w:t>
      </w:r>
      <w:r w:rsidR="00CE5126" w:rsidRPr="00D57617">
        <w:rPr>
          <w:sz w:val="24"/>
          <w:szCs w:val="24"/>
        </w:rPr>
        <w:t>prevention outcomes for police.</w:t>
      </w:r>
      <w:r w:rsidR="00CE5126">
        <w:rPr>
          <w:sz w:val="24"/>
          <w:szCs w:val="24"/>
        </w:rPr>
        <w:t xml:space="preserve"> This means that in this instance, the witnesses were able to alert the police to an ongoing crime so officers could act. </w:t>
      </w:r>
      <w:r w:rsidR="00082F42">
        <w:rPr>
          <w:sz w:val="24"/>
          <w:szCs w:val="24"/>
        </w:rPr>
        <w:t xml:space="preserve">Officers were quick to attend the scene however the older male had left the area as it happened relatively quickly lasting all of one minute in all. In my role as a police officer, I spoke to the victim who was hesitant to make a complaint, claiming this occurs regularly for him. However, he did want action to be taken so gave a statement and supported police action. </w:t>
      </w:r>
    </w:p>
    <w:p w14:paraId="33A885B2" w14:textId="09F02764" w:rsidR="00C0281C" w:rsidRDefault="00082F42" w:rsidP="00F56E62">
      <w:pPr>
        <w:overflowPunct/>
        <w:autoSpaceDE/>
        <w:autoSpaceDN/>
        <w:adjustRightInd/>
        <w:jc w:val="both"/>
        <w:textAlignment w:val="auto"/>
        <w:rPr>
          <w:sz w:val="24"/>
          <w:szCs w:val="24"/>
        </w:rPr>
      </w:pPr>
      <w:proofErr w:type="gramStart"/>
      <w:r>
        <w:rPr>
          <w:sz w:val="24"/>
          <w:szCs w:val="24"/>
        </w:rPr>
        <w:t>In an effort to</w:t>
      </w:r>
      <w:proofErr w:type="gramEnd"/>
      <w:r>
        <w:rPr>
          <w:sz w:val="24"/>
          <w:szCs w:val="24"/>
        </w:rPr>
        <w:t xml:space="preserve"> swiftly </w:t>
      </w:r>
      <w:r w:rsidR="004A5A3E">
        <w:rPr>
          <w:sz w:val="24"/>
          <w:szCs w:val="24"/>
        </w:rPr>
        <w:t>identify the offender I utilised a variety of technological tools available. These included CCTV cameras which were positioned along the high street capturing crucial footage of the altercation and providing valuable visual evidence of the offender’s actions.</w:t>
      </w:r>
      <w:r w:rsidR="005227DD">
        <w:rPr>
          <w:sz w:val="24"/>
          <w:szCs w:val="24"/>
        </w:rPr>
        <w:t xml:space="preserve"> M. P. J. Ashby states that “</w:t>
      </w:r>
      <w:r w:rsidR="005227DD" w:rsidRPr="005227DD">
        <w:rPr>
          <w:i/>
          <w:iCs/>
          <w:sz w:val="24"/>
          <w:szCs w:val="24"/>
        </w:rPr>
        <w:t>CCTV may assist in identifying who was involved in a crime either directly, as when a suspect is recognised by someone viewing the recording</w:t>
      </w:r>
      <w:r w:rsidR="005227DD">
        <w:rPr>
          <w:i/>
          <w:iCs/>
          <w:sz w:val="24"/>
          <w:szCs w:val="24"/>
        </w:rPr>
        <w:t>, or indirectly…</w:t>
      </w:r>
      <w:r w:rsidR="005227DD">
        <w:rPr>
          <w:sz w:val="24"/>
          <w:szCs w:val="24"/>
        </w:rPr>
        <w:t xml:space="preserve">” (2017). </w:t>
      </w:r>
      <w:r w:rsidR="004A5A3E">
        <w:rPr>
          <w:sz w:val="24"/>
          <w:szCs w:val="24"/>
        </w:rPr>
        <w:t xml:space="preserve">Through </w:t>
      </w:r>
      <w:r w:rsidR="005227DD">
        <w:rPr>
          <w:sz w:val="24"/>
          <w:szCs w:val="24"/>
        </w:rPr>
        <w:t>CCTV,</w:t>
      </w:r>
      <w:r w:rsidR="004A5A3E">
        <w:rPr>
          <w:sz w:val="24"/>
          <w:szCs w:val="24"/>
        </w:rPr>
        <w:t xml:space="preserve"> I was </w:t>
      </w:r>
      <w:r w:rsidR="005227DD">
        <w:rPr>
          <w:sz w:val="24"/>
          <w:szCs w:val="24"/>
        </w:rPr>
        <w:t>tried</w:t>
      </w:r>
      <w:r w:rsidR="004A5A3E">
        <w:rPr>
          <w:sz w:val="24"/>
          <w:szCs w:val="24"/>
        </w:rPr>
        <w:t xml:space="preserve"> to use facial recognition technology to identify the individual involved</w:t>
      </w:r>
      <w:r w:rsidR="005227DD">
        <w:rPr>
          <w:sz w:val="24"/>
          <w:szCs w:val="24"/>
        </w:rPr>
        <w:t xml:space="preserve"> however, the quality of the image was not good enough</w:t>
      </w:r>
      <w:r w:rsidR="004A5A3E">
        <w:rPr>
          <w:sz w:val="24"/>
          <w:szCs w:val="24"/>
        </w:rPr>
        <w:t>.</w:t>
      </w:r>
      <w:r w:rsidR="005227DD">
        <w:rPr>
          <w:sz w:val="24"/>
          <w:szCs w:val="24"/>
        </w:rPr>
        <w:t xml:space="preserve"> After a discussion with local Neighbourhood Policing, I showed them the CCTV images and they were able to recognise the suspect and positively identify them. They gave a supporting statement detailing as such.</w:t>
      </w:r>
      <w:r w:rsidR="004A5A3E">
        <w:rPr>
          <w:sz w:val="24"/>
          <w:szCs w:val="24"/>
        </w:rPr>
        <w:t xml:space="preserve"> In addition to this, witness statements played a </w:t>
      </w:r>
      <w:r w:rsidR="007F40D0">
        <w:rPr>
          <w:sz w:val="24"/>
          <w:szCs w:val="24"/>
        </w:rPr>
        <w:t>pivotal</w:t>
      </w:r>
      <w:r w:rsidR="004A5A3E">
        <w:rPr>
          <w:sz w:val="24"/>
          <w:szCs w:val="24"/>
        </w:rPr>
        <w:t xml:space="preserve"> role in corroborating the sequence of events as CCTV evidence had no sound. Eyewitness accounts provided valuable insights into the dynamics of the confrontation, offering perspectives that complemented the evidence gathered by CCTV footage. By integrating these sources of information, I was able to put together a clear sequence of events and identify the offender. As </w:t>
      </w:r>
      <w:proofErr w:type="gramStart"/>
      <w:r w:rsidR="004A5A3E">
        <w:rPr>
          <w:sz w:val="24"/>
          <w:szCs w:val="24"/>
        </w:rPr>
        <w:t>a number of</w:t>
      </w:r>
      <w:proofErr w:type="gramEnd"/>
      <w:r w:rsidR="004A5A3E">
        <w:rPr>
          <w:sz w:val="24"/>
          <w:szCs w:val="24"/>
        </w:rPr>
        <w:t xml:space="preserve"> days had passed</w:t>
      </w:r>
      <w:r w:rsidR="00C0281C">
        <w:rPr>
          <w:sz w:val="24"/>
          <w:szCs w:val="24"/>
        </w:rPr>
        <w:t xml:space="preserve"> to identify the person</w:t>
      </w:r>
      <w:r w:rsidR="004A5A3E">
        <w:rPr>
          <w:sz w:val="24"/>
          <w:szCs w:val="24"/>
        </w:rPr>
        <w:t>, a Voluntary Attendance interview was arranged with the</w:t>
      </w:r>
      <w:r w:rsidR="00C0281C">
        <w:rPr>
          <w:sz w:val="24"/>
          <w:szCs w:val="24"/>
        </w:rPr>
        <w:t>m in which they</w:t>
      </w:r>
      <w:r w:rsidR="004A5A3E">
        <w:rPr>
          <w:sz w:val="24"/>
          <w:szCs w:val="24"/>
        </w:rPr>
        <w:t xml:space="preserve"> gave a no comment interview. </w:t>
      </w:r>
      <w:r w:rsidR="00C0281C">
        <w:rPr>
          <w:sz w:val="24"/>
          <w:szCs w:val="24"/>
        </w:rPr>
        <w:t>This led to the conclusion of my role as an evidence gatherer. A Case File was created, including all pieces of evidence and sent to the Crown Prosecution Service. I am still waiting on their decision.</w:t>
      </w:r>
    </w:p>
    <w:p w14:paraId="20D569EB" w14:textId="77777777" w:rsidR="007F40D0" w:rsidRDefault="00C0281C" w:rsidP="00F56E62">
      <w:pPr>
        <w:overflowPunct/>
        <w:autoSpaceDE/>
        <w:autoSpaceDN/>
        <w:adjustRightInd/>
        <w:jc w:val="both"/>
        <w:textAlignment w:val="auto"/>
        <w:rPr>
          <w:sz w:val="24"/>
          <w:szCs w:val="24"/>
        </w:rPr>
      </w:pPr>
      <w:r>
        <w:rPr>
          <w:sz w:val="24"/>
          <w:szCs w:val="24"/>
        </w:rPr>
        <w:t xml:space="preserve">The incident prompts a critical evaluation of police approaches in supporting vulnerable individuals, particularly in the </w:t>
      </w:r>
      <w:r w:rsidR="007F40D0">
        <w:rPr>
          <w:sz w:val="24"/>
          <w:szCs w:val="24"/>
        </w:rPr>
        <w:t>context</w:t>
      </w:r>
      <w:r>
        <w:rPr>
          <w:sz w:val="24"/>
          <w:szCs w:val="24"/>
        </w:rPr>
        <w:t xml:space="preserve"> of hate speech and </w:t>
      </w:r>
      <w:r w:rsidR="007F40D0">
        <w:rPr>
          <w:sz w:val="24"/>
          <w:szCs w:val="24"/>
        </w:rPr>
        <w:t>discriminatory</w:t>
      </w:r>
      <w:r>
        <w:rPr>
          <w:sz w:val="24"/>
          <w:szCs w:val="24"/>
        </w:rPr>
        <w:t xml:space="preserve"> behaviour. While police</w:t>
      </w:r>
      <w:r w:rsidR="009874C6">
        <w:rPr>
          <w:sz w:val="24"/>
          <w:szCs w:val="24"/>
        </w:rPr>
        <w:t xml:space="preserve"> response to immediate threats of public order are commendable, questions arise regarding the effectiveness of ongoing support for victims and the apprehension of offenders. However, the subsequent use of facial recognition technology to identify the offender and arrange a Voluntary Attendance </w:t>
      </w:r>
      <w:r w:rsidR="009874C6">
        <w:rPr>
          <w:sz w:val="24"/>
          <w:szCs w:val="24"/>
        </w:rPr>
        <w:lastRenderedPageBreak/>
        <w:t xml:space="preserve">interview demonstrates proactive investigative efforts. The outcome of the interview, the offender refusing to provide a statement, underscores the limitations in engaging with offenders and addressing the root cause of their behaviour. Despite these challenges, the collection and submission of evidence to the CPS shows a commitment to seek justice for the victim with regular updates </w:t>
      </w:r>
      <w:r w:rsidR="007F40D0">
        <w:rPr>
          <w:sz w:val="24"/>
          <w:szCs w:val="24"/>
        </w:rPr>
        <w:t xml:space="preserve">at each stage of the investigation. Moving forward, a comprehensive approach to supporting vulnerable individuals must encompass not only immediate intervention but also ongoing engagement, empowerment, and accountability measures to prevent recurrence and promote community cohesion. </w:t>
      </w:r>
    </w:p>
    <w:p w14:paraId="5648B480" w14:textId="2C06BB78" w:rsidR="00D84BBF" w:rsidRDefault="00D84BBF" w:rsidP="00F56E62">
      <w:pPr>
        <w:overflowPunct/>
        <w:autoSpaceDE/>
        <w:autoSpaceDN/>
        <w:adjustRightInd/>
        <w:jc w:val="both"/>
        <w:textAlignment w:val="auto"/>
        <w:rPr>
          <w:sz w:val="24"/>
          <w:szCs w:val="24"/>
        </w:rPr>
      </w:pPr>
      <w:r>
        <w:rPr>
          <w:sz w:val="24"/>
          <w:szCs w:val="24"/>
        </w:rPr>
        <w:t xml:space="preserve">Addressing repeat victimization and offending poses </w:t>
      </w:r>
      <w:proofErr w:type="gramStart"/>
      <w:r>
        <w:rPr>
          <w:sz w:val="24"/>
          <w:szCs w:val="24"/>
        </w:rPr>
        <w:t>a number of</w:t>
      </w:r>
      <w:proofErr w:type="gramEnd"/>
      <w:r>
        <w:rPr>
          <w:sz w:val="24"/>
          <w:szCs w:val="24"/>
        </w:rPr>
        <w:t xml:space="preserve"> challenges for the police. It requires a comprehensive approach that encompasses prevention, intervention, and rehabilitation strategies. Efforts to reduce repeat victimization often involve targeted initiatives aimed at enhancing awareness, improving security measures, and raising community resilience. Proactive policing tactics, such as hotspot policing and problem-orientated </w:t>
      </w:r>
      <w:r w:rsidR="00B76C1B">
        <w:rPr>
          <w:sz w:val="24"/>
          <w:szCs w:val="24"/>
        </w:rPr>
        <w:t>policing</w:t>
      </w:r>
      <w:r>
        <w:rPr>
          <w:sz w:val="24"/>
          <w:szCs w:val="24"/>
        </w:rPr>
        <w:t xml:space="preserve">, have shown promise in disrupting patterns of victimization by identifying high </w:t>
      </w:r>
      <w:r w:rsidR="00B76C1B">
        <w:rPr>
          <w:sz w:val="24"/>
          <w:szCs w:val="24"/>
        </w:rPr>
        <w:t>risk</w:t>
      </w:r>
      <w:r>
        <w:rPr>
          <w:sz w:val="24"/>
          <w:szCs w:val="24"/>
        </w:rPr>
        <w:t xml:space="preserve"> areas and implementing tailored interventions. Similarly, interventions aimed at addressing repeating offending encompass a wide range of approaches, ranging from diversionary programs and restorative </w:t>
      </w:r>
      <w:r w:rsidR="00B76C1B">
        <w:rPr>
          <w:sz w:val="24"/>
          <w:szCs w:val="24"/>
        </w:rPr>
        <w:t>justice</w:t>
      </w:r>
      <w:r>
        <w:rPr>
          <w:sz w:val="24"/>
          <w:szCs w:val="24"/>
        </w:rPr>
        <w:t xml:space="preserve"> initiatives too cognitive </w:t>
      </w:r>
      <w:r w:rsidR="00B76C1B">
        <w:rPr>
          <w:sz w:val="24"/>
          <w:szCs w:val="24"/>
        </w:rPr>
        <w:t>behavioural</w:t>
      </w:r>
      <w:r>
        <w:rPr>
          <w:sz w:val="24"/>
          <w:szCs w:val="24"/>
        </w:rPr>
        <w:t xml:space="preserve"> </w:t>
      </w:r>
      <w:r w:rsidR="00B76C1B">
        <w:rPr>
          <w:sz w:val="24"/>
          <w:szCs w:val="24"/>
        </w:rPr>
        <w:t>therapy</w:t>
      </w:r>
      <w:r>
        <w:rPr>
          <w:sz w:val="24"/>
          <w:szCs w:val="24"/>
        </w:rPr>
        <w:t xml:space="preserve"> and substance abuse treatment. </w:t>
      </w:r>
      <w:r w:rsidR="00B76C1B">
        <w:rPr>
          <w:sz w:val="24"/>
          <w:szCs w:val="24"/>
        </w:rPr>
        <w:t>B</w:t>
      </w:r>
      <w:r>
        <w:rPr>
          <w:sz w:val="24"/>
          <w:szCs w:val="24"/>
        </w:rPr>
        <w:t xml:space="preserve">y adopting a holistic and </w:t>
      </w:r>
      <w:r w:rsidR="00B76C1B">
        <w:rPr>
          <w:sz w:val="24"/>
          <w:szCs w:val="24"/>
        </w:rPr>
        <w:t>evidence-based</w:t>
      </w:r>
      <w:r>
        <w:rPr>
          <w:sz w:val="24"/>
          <w:szCs w:val="24"/>
        </w:rPr>
        <w:t xml:space="preserve"> approach to tackling repeat victimization and offending, the police and it’s supporting agencies can mitigate the underlying factors contributing to crime while promoting </w:t>
      </w:r>
      <w:r w:rsidR="00B76C1B">
        <w:rPr>
          <w:sz w:val="24"/>
          <w:szCs w:val="24"/>
        </w:rPr>
        <w:t>the</w:t>
      </w:r>
      <w:r>
        <w:rPr>
          <w:sz w:val="24"/>
          <w:szCs w:val="24"/>
        </w:rPr>
        <w:t xml:space="preserve"> rehabilitation and </w:t>
      </w:r>
      <w:r w:rsidR="00B76C1B">
        <w:rPr>
          <w:sz w:val="24"/>
          <w:szCs w:val="24"/>
        </w:rPr>
        <w:t>reintegration</w:t>
      </w:r>
      <w:r>
        <w:rPr>
          <w:sz w:val="24"/>
          <w:szCs w:val="24"/>
        </w:rPr>
        <w:t xml:space="preserve"> of individuals</w:t>
      </w:r>
      <w:r w:rsidR="00B76C1B">
        <w:rPr>
          <w:sz w:val="24"/>
          <w:szCs w:val="24"/>
        </w:rPr>
        <w:t xml:space="preserve"> into society. In this incident, Neighbourhood Policing were made aware of what had happened through their inspector. They have remained in touch with the victim, offering support and advice, and allowing them to have their say on how they feel about the process of the investigation. They have increased foot patrol in the area with the help of NPT officers and PCSO’s and have been utilising council CCTV to make sure instances like this do not occur again or if they </w:t>
      </w:r>
      <w:r w:rsidR="00E42DF0">
        <w:rPr>
          <w:sz w:val="24"/>
          <w:szCs w:val="24"/>
        </w:rPr>
        <w:t>do,</w:t>
      </w:r>
      <w:r w:rsidR="00B76C1B">
        <w:rPr>
          <w:sz w:val="24"/>
          <w:szCs w:val="24"/>
        </w:rPr>
        <w:t xml:space="preserve"> they are acted upon swiftly. </w:t>
      </w:r>
    </w:p>
    <w:p w14:paraId="40444943" w14:textId="088F5690" w:rsidR="00280DE9" w:rsidRDefault="00280DE9" w:rsidP="00F56E62">
      <w:pPr>
        <w:overflowPunct/>
        <w:autoSpaceDE/>
        <w:autoSpaceDN/>
        <w:adjustRightInd/>
        <w:jc w:val="both"/>
        <w:textAlignment w:val="auto"/>
        <w:rPr>
          <w:sz w:val="24"/>
          <w:szCs w:val="24"/>
        </w:rPr>
      </w:pPr>
      <w:r>
        <w:rPr>
          <w:sz w:val="24"/>
          <w:szCs w:val="24"/>
        </w:rPr>
        <w:t xml:space="preserve">The integration of </w:t>
      </w:r>
      <w:proofErr w:type="gramStart"/>
      <w:r>
        <w:rPr>
          <w:sz w:val="24"/>
          <w:szCs w:val="24"/>
        </w:rPr>
        <w:t>community oriented</w:t>
      </w:r>
      <w:proofErr w:type="gramEnd"/>
      <w:r>
        <w:rPr>
          <w:sz w:val="24"/>
          <w:szCs w:val="24"/>
        </w:rPr>
        <w:t xml:space="preserve"> policing principles offers another layer of effectiveness in supporting vulnerable individuals and preventing crime. Community oriented policing emphasises the development of strong relationships between the police and community members, fostering a sense of mutual trust and collaboration. This approach can be particularly beneficial in cases involving hate crimes and public order offences, as it encourages community members to actively participate in identifying and addressing issues. By engaging with local leaders, advocacy groups, and residents, police can gain a deeper understanding of the unique challenges faced by different communities and tailor their responses accordingly. Moreover, COP initiatives can facilitate the early identification of potential conflicts, allowing for proactive measures to prevent escalation. Training officers in cultural competence and bias awareness further enhances their ability to interact effectively with diverse population, ensuring that all community members feel respected and protected. By prioritising community engagement and partnership, law enforcement, agencies can create a more inclusive environment that not only address immediate concerns but also builds long term resilience against crime and disorder.  </w:t>
      </w:r>
    </w:p>
    <w:p w14:paraId="61E79E25" w14:textId="3C830E63" w:rsidR="00E42DF0" w:rsidRDefault="00E42DF0" w:rsidP="00F56E62">
      <w:pPr>
        <w:overflowPunct/>
        <w:autoSpaceDE/>
        <w:autoSpaceDN/>
        <w:adjustRightInd/>
        <w:jc w:val="both"/>
        <w:textAlignment w:val="auto"/>
        <w:rPr>
          <w:sz w:val="24"/>
          <w:szCs w:val="24"/>
        </w:rPr>
      </w:pPr>
      <w:r>
        <w:rPr>
          <w:sz w:val="24"/>
          <w:szCs w:val="24"/>
        </w:rPr>
        <w:t xml:space="preserve">Evidence based policing emphasizes the importance of utilising research and data driven approaches to inform police practices and decision making. </w:t>
      </w:r>
      <w:r w:rsidR="00760613">
        <w:rPr>
          <w:sz w:val="24"/>
          <w:szCs w:val="24"/>
        </w:rPr>
        <w:t>“</w:t>
      </w:r>
      <w:r w:rsidR="00760613">
        <w:rPr>
          <w:i/>
          <w:iCs/>
          <w:sz w:val="24"/>
          <w:szCs w:val="24"/>
        </w:rPr>
        <w:t xml:space="preserve">In recent years, the push for </w:t>
      </w:r>
      <w:proofErr w:type="gramStart"/>
      <w:r w:rsidR="00760613">
        <w:rPr>
          <w:i/>
          <w:iCs/>
          <w:sz w:val="24"/>
          <w:szCs w:val="24"/>
        </w:rPr>
        <w:t>evidence based</w:t>
      </w:r>
      <w:proofErr w:type="gramEnd"/>
      <w:r w:rsidR="00760613">
        <w:rPr>
          <w:i/>
          <w:iCs/>
          <w:sz w:val="24"/>
          <w:szCs w:val="24"/>
        </w:rPr>
        <w:t xml:space="preserve"> policing has gained momentum, advocating for the use of research and empirical data to guide police strategies and practices. The </w:t>
      </w:r>
      <w:proofErr w:type="gramStart"/>
      <w:r w:rsidR="00760613">
        <w:rPr>
          <w:i/>
          <w:iCs/>
          <w:sz w:val="24"/>
          <w:szCs w:val="24"/>
        </w:rPr>
        <w:t>evidence based</w:t>
      </w:r>
      <w:proofErr w:type="gramEnd"/>
      <w:r w:rsidR="00760613">
        <w:rPr>
          <w:i/>
          <w:iCs/>
          <w:sz w:val="24"/>
          <w:szCs w:val="24"/>
        </w:rPr>
        <w:t xml:space="preserve"> policing matrix provides a comprehensive framework for understanding which </w:t>
      </w:r>
      <w:r w:rsidR="00760613">
        <w:rPr>
          <w:i/>
          <w:iCs/>
          <w:sz w:val="24"/>
          <w:szCs w:val="24"/>
        </w:rPr>
        <w:lastRenderedPageBreak/>
        <w:t xml:space="preserve">interventions are most effective in reducing crime and disorder, highlighting the importance of targeting specific places, focusing on high risk offenders, and utilising problem oriented approaches.” </w:t>
      </w:r>
      <w:r w:rsidR="00760613">
        <w:rPr>
          <w:sz w:val="24"/>
          <w:szCs w:val="24"/>
        </w:rPr>
        <w:t xml:space="preserve">(Lum, Koper, &amp; Telep, 2011, p.7). </w:t>
      </w:r>
      <w:r>
        <w:rPr>
          <w:sz w:val="24"/>
          <w:szCs w:val="24"/>
        </w:rPr>
        <w:t xml:space="preserve">At its core, </w:t>
      </w:r>
      <w:proofErr w:type="gramStart"/>
      <w:r>
        <w:rPr>
          <w:sz w:val="24"/>
          <w:szCs w:val="24"/>
        </w:rPr>
        <w:t>evidence based</w:t>
      </w:r>
      <w:proofErr w:type="gramEnd"/>
      <w:r>
        <w:rPr>
          <w:sz w:val="24"/>
          <w:szCs w:val="24"/>
        </w:rPr>
        <w:t xml:space="preserve"> policing seeks to bridge the gap between theory and practice by rigorously evaluating the effectiveness of various interventions and strategies in addressing crime and enhancing public safety. By leveraging insights from criminological research, police agencies can identify promising practices, allocate resources more efficiently, and prioritize initiatives that yield the greatest impact on crime reduction and community </w:t>
      </w:r>
      <w:proofErr w:type="spellStart"/>
      <w:r>
        <w:rPr>
          <w:sz w:val="24"/>
          <w:szCs w:val="24"/>
        </w:rPr>
        <w:t>well being</w:t>
      </w:r>
      <w:proofErr w:type="spellEnd"/>
      <w:r>
        <w:rPr>
          <w:sz w:val="24"/>
          <w:szCs w:val="24"/>
        </w:rPr>
        <w:t xml:space="preserve">. Moreover, </w:t>
      </w:r>
      <w:proofErr w:type="gramStart"/>
      <w:r>
        <w:rPr>
          <w:sz w:val="24"/>
          <w:szCs w:val="24"/>
        </w:rPr>
        <w:t>evidence based</w:t>
      </w:r>
      <w:proofErr w:type="gramEnd"/>
      <w:r>
        <w:rPr>
          <w:sz w:val="24"/>
          <w:szCs w:val="24"/>
        </w:rPr>
        <w:t xml:space="preserve"> policing fosters a culture of continuous learning and adaptation within law enforcement organisations, encouraging officers to critically evaluate their methods and embrace innovative approaches grounded in evidence.</w:t>
      </w:r>
      <w:r w:rsidR="00760613">
        <w:rPr>
          <w:sz w:val="24"/>
          <w:szCs w:val="24"/>
        </w:rPr>
        <w:t xml:space="preserve"> </w:t>
      </w:r>
      <w:r>
        <w:rPr>
          <w:sz w:val="24"/>
          <w:szCs w:val="24"/>
        </w:rPr>
        <w:t xml:space="preserve">As policing continues to evolve in response to changing societal dynamics and emerging challenges, the principles of </w:t>
      </w:r>
      <w:proofErr w:type="gramStart"/>
      <w:r>
        <w:rPr>
          <w:sz w:val="24"/>
          <w:szCs w:val="24"/>
        </w:rPr>
        <w:t>evidence based</w:t>
      </w:r>
      <w:proofErr w:type="gramEnd"/>
      <w:r>
        <w:rPr>
          <w:sz w:val="24"/>
          <w:szCs w:val="24"/>
        </w:rPr>
        <w:t xml:space="preserve"> policing offer a robust framework for enhancing accountability, transparency, and effectiveness in law enforcement efforts.</w:t>
      </w:r>
    </w:p>
    <w:p w14:paraId="6C9C2406" w14:textId="085EFAD3" w:rsidR="00C65F0D" w:rsidRDefault="00C65F0D" w:rsidP="00F56E62">
      <w:pPr>
        <w:overflowPunct/>
        <w:autoSpaceDE/>
        <w:autoSpaceDN/>
        <w:adjustRightInd/>
        <w:jc w:val="both"/>
        <w:textAlignment w:val="auto"/>
        <w:rPr>
          <w:sz w:val="24"/>
          <w:szCs w:val="24"/>
        </w:rPr>
      </w:pPr>
      <w:r>
        <w:rPr>
          <w:sz w:val="24"/>
          <w:szCs w:val="24"/>
        </w:rPr>
        <w:t xml:space="preserve">In conclusion, the incident underscores the complexities and challenges inherent in modern policing, particularly addressing issues of hate speech, victimization, and offender accountability. By critically evaluating police approaches to supporting vulnerable individuals and leveraging </w:t>
      </w:r>
      <w:proofErr w:type="gramStart"/>
      <w:r>
        <w:rPr>
          <w:sz w:val="24"/>
          <w:szCs w:val="24"/>
        </w:rPr>
        <w:t>evidence based</w:t>
      </w:r>
      <w:proofErr w:type="gramEnd"/>
      <w:r>
        <w:rPr>
          <w:sz w:val="24"/>
          <w:szCs w:val="24"/>
        </w:rPr>
        <w:t xml:space="preserve"> strategies to tackle repeat victimization and offending, </w:t>
      </w:r>
      <w:r w:rsidR="00280DE9">
        <w:rPr>
          <w:sz w:val="24"/>
          <w:szCs w:val="24"/>
        </w:rPr>
        <w:t xml:space="preserve">the </w:t>
      </w:r>
      <w:r>
        <w:rPr>
          <w:sz w:val="24"/>
          <w:szCs w:val="24"/>
        </w:rPr>
        <w:t xml:space="preserve">police and their supporting agencies can enhance their effectiveness and responsiveness in safeguarding communities. Moving forward, it is imperative for </w:t>
      </w:r>
      <w:r w:rsidR="00280DE9">
        <w:rPr>
          <w:sz w:val="24"/>
          <w:szCs w:val="24"/>
        </w:rPr>
        <w:t>law enforcement</w:t>
      </w:r>
      <w:r>
        <w:rPr>
          <w:sz w:val="24"/>
          <w:szCs w:val="24"/>
        </w:rPr>
        <w:t xml:space="preserve"> organisations to prioritise continuous learning and adaptation, embracing innovative approaches grounded in evidence and informed community input. Moreover, fostering partnerships with </w:t>
      </w:r>
      <w:r w:rsidR="00280DE9">
        <w:rPr>
          <w:sz w:val="24"/>
          <w:szCs w:val="24"/>
        </w:rPr>
        <w:t xml:space="preserve">communities and </w:t>
      </w:r>
      <w:r>
        <w:rPr>
          <w:sz w:val="24"/>
          <w:szCs w:val="24"/>
        </w:rPr>
        <w:t xml:space="preserve">stakeholders, including advocacy groups, social service agencies, and academic institutions, can facilitate collaborative efforts to address the underlying factors contributing to crime and promoting long term community resilience. </w:t>
      </w:r>
      <w:r w:rsidR="00280DE9">
        <w:rPr>
          <w:sz w:val="24"/>
          <w:szCs w:val="24"/>
        </w:rPr>
        <w:t>Hopefully, in the incident I</w:t>
      </w:r>
      <w:r w:rsidR="004D358A">
        <w:rPr>
          <w:sz w:val="24"/>
          <w:szCs w:val="24"/>
        </w:rPr>
        <w:t xml:space="preserve"> handled I was able to show aspects of</w:t>
      </w:r>
      <w:r>
        <w:rPr>
          <w:sz w:val="24"/>
          <w:szCs w:val="24"/>
        </w:rPr>
        <w:t xml:space="preserve"> embracing a holistic and evidence driven approach to policing, </w:t>
      </w:r>
      <w:r w:rsidR="004D358A">
        <w:rPr>
          <w:sz w:val="24"/>
          <w:szCs w:val="24"/>
        </w:rPr>
        <w:t xml:space="preserve">and along with supporting </w:t>
      </w:r>
      <w:r>
        <w:rPr>
          <w:sz w:val="24"/>
          <w:szCs w:val="24"/>
        </w:rPr>
        <w:t>agencies</w:t>
      </w:r>
      <w:r w:rsidR="004D358A">
        <w:rPr>
          <w:sz w:val="24"/>
          <w:szCs w:val="24"/>
        </w:rPr>
        <w:t xml:space="preserve"> we</w:t>
      </w:r>
      <w:r>
        <w:rPr>
          <w:sz w:val="24"/>
          <w:szCs w:val="24"/>
        </w:rPr>
        <w:t xml:space="preserve"> can strive towards the shared goal of fostering safer, more inclusive communities for all. </w:t>
      </w:r>
    </w:p>
    <w:p w14:paraId="46B249B1" w14:textId="77777777" w:rsidR="004D358A" w:rsidRDefault="004D358A" w:rsidP="00F56E62">
      <w:pPr>
        <w:overflowPunct/>
        <w:autoSpaceDE/>
        <w:autoSpaceDN/>
        <w:adjustRightInd/>
        <w:jc w:val="both"/>
        <w:textAlignment w:val="auto"/>
        <w:rPr>
          <w:sz w:val="24"/>
          <w:szCs w:val="24"/>
        </w:rPr>
      </w:pPr>
    </w:p>
    <w:p w14:paraId="6BB98E24" w14:textId="3B3FF860" w:rsidR="004D358A" w:rsidRDefault="004D358A" w:rsidP="00F56E62">
      <w:pPr>
        <w:overflowPunct/>
        <w:autoSpaceDE/>
        <w:autoSpaceDN/>
        <w:adjustRightInd/>
        <w:jc w:val="both"/>
        <w:textAlignment w:val="auto"/>
        <w:rPr>
          <w:sz w:val="24"/>
          <w:szCs w:val="24"/>
        </w:rPr>
      </w:pPr>
      <w:r>
        <w:rPr>
          <w:sz w:val="24"/>
          <w:szCs w:val="24"/>
        </w:rPr>
        <w:t>1812 Words</w:t>
      </w:r>
    </w:p>
    <w:p w14:paraId="68317E39" w14:textId="20284654" w:rsidR="00E676F7" w:rsidRDefault="00E676F7" w:rsidP="00F56E62">
      <w:pPr>
        <w:overflowPunct/>
        <w:autoSpaceDE/>
        <w:autoSpaceDN/>
        <w:adjustRightInd/>
        <w:jc w:val="both"/>
        <w:textAlignment w:val="auto"/>
        <w:rPr>
          <w:b/>
          <w:bCs/>
          <w:sz w:val="24"/>
          <w:szCs w:val="24"/>
        </w:rPr>
      </w:pPr>
    </w:p>
    <w:p w14:paraId="6EC3C08C" w14:textId="77777777" w:rsidR="004D358A" w:rsidRDefault="004D358A" w:rsidP="00F56E62">
      <w:pPr>
        <w:overflowPunct/>
        <w:autoSpaceDE/>
        <w:autoSpaceDN/>
        <w:adjustRightInd/>
        <w:jc w:val="both"/>
        <w:textAlignment w:val="auto"/>
        <w:rPr>
          <w:b/>
          <w:bCs/>
          <w:sz w:val="24"/>
          <w:szCs w:val="24"/>
        </w:rPr>
      </w:pPr>
    </w:p>
    <w:p w14:paraId="3D159241" w14:textId="77777777" w:rsidR="004D358A" w:rsidRDefault="004D358A" w:rsidP="00F56E62">
      <w:pPr>
        <w:overflowPunct/>
        <w:autoSpaceDE/>
        <w:autoSpaceDN/>
        <w:adjustRightInd/>
        <w:jc w:val="both"/>
        <w:textAlignment w:val="auto"/>
        <w:rPr>
          <w:b/>
          <w:bCs/>
          <w:sz w:val="24"/>
          <w:szCs w:val="24"/>
        </w:rPr>
      </w:pPr>
    </w:p>
    <w:p w14:paraId="1C1AE077" w14:textId="77777777" w:rsidR="004D358A" w:rsidRPr="00E676F7" w:rsidRDefault="004D358A" w:rsidP="00F56E62">
      <w:pPr>
        <w:overflowPunct/>
        <w:autoSpaceDE/>
        <w:autoSpaceDN/>
        <w:adjustRightInd/>
        <w:jc w:val="both"/>
        <w:textAlignment w:val="auto"/>
        <w:rPr>
          <w:b/>
          <w:bCs/>
          <w:sz w:val="24"/>
          <w:szCs w:val="24"/>
        </w:rPr>
      </w:pP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05D7FA35" w:rsidR="00A221AB" w:rsidRDefault="00A221AB" w:rsidP="5CE196A1">
      <w:pPr>
        <w:pStyle w:val="paragraph"/>
        <w:spacing w:before="0" w:beforeAutospacing="0" w:after="0" w:afterAutospacing="0"/>
        <w:rPr>
          <w:b/>
          <w:bCs/>
        </w:rPr>
      </w:pPr>
    </w:p>
    <w:p w14:paraId="10094DEC" w14:textId="77777777" w:rsidR="004D358A" w:rsidRDefault="004D358A" w:rsidP="5CE196A1">
      <w:pPr>
        <w:pStyle w:val="paragraph"/>
        <w:spacing w:before="0" w:beforeAutospacing="0" w:after="0" w:afterAutospacing="0"/>
        <w:rPr>
          <w:b/>
          <w:bCs/>
        </w:rPr>
      </w:pPr>
    </w:p>
    <w:p w14:paraId="0745BF23" w14:textId="77777777" w:rsidR="004D358A" w:rsidRDefault="004D358A" w:rsidP="5CE196A1">
      <w:pPr>
        <w:pStyle w:val="paragraph"/>
        <w:spacing w:before="0" w:beforeAutospacing="0" w:after="0" w:afterAutospacing="0"/>
        <w:rPr>
          <w:b/>
          <w:bCs/>
        </w:rPr>
      </w:pPr>
    </w:p>
    <w:p w14:paraId="4EAA11B7" w14:textId="77777777" w:rsidR="004D358A" w:rsidRDefault="004D358A" w:rsidP="5CE196A1">
      <w:pPr>
        <w:pStyle w:val="paragraph"/>
        <w:spacing w:before="0" w:beforeAutospacing="0" w:after="0" w:afterAutospacing="0"/>
        <w:rPr>
          <w:b/>
          <w:bCs/>
        </w:rPr>
      </w:pPr>
    </w:p>
    <w:p w14:paraId="7438A233" w14:textId="77777777" w:rsidR="004D358A" w:rsidRDefault="004D358A" w:rsidP="5CE196A1">
      <w:pPr>
        <w:pStyle w:val="paragraph"/>
        <w:spacing w:before="0" w:beforeAutospacing="0" w:after="0" w:afterAutospacing="0"/>
        <w:rPr>
          <w:b/>
          <w:bCs/>
        </w:rPr>
      </w:pPr>
    </w:p>
    <w:p w14:paraId="6EC42CAE" w14:textId="77777777" w:rsidR="004D358A" w:rsidRDefault="004D358A" w:rsidP="5CE196A1">
      <w:pPr>
        <w:pStyle w:val="paragraph"/>
        <w:spacing w:before="0" w:beforeAutospacing="0" w:after="0" w:afterAutospacing="0"/>
        <w:rPr>
          <w:b/>
          <w:bCs/>
        </w:rPr>
      </w:pPr>
    </w:p>
    <w:p w14:paraId="6383DFC5" w14:textId="77777777" w:rsidR="004D358A" w:rsidRDefault="004D358A" w:rsidP="5CE196A1">
      <w:pPr>
        <w:pStyle w:val="paragraph"/>
        <w:spacing w:before="0" w:beforeAutospacing="0" w:after="0" w:afterAutospacing="0"/>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430D44AC" w:rsidR="00025650" w:rsidRDefault="005C35D3" w:rsidP="0FF883D4">
      <w:pPr>
        <w:ind w:right="237"/>
        <w:jc w:val="both"/>
        <w:rPr>
          <w:color w:val="000000" w:themeColor="text1"/>
          <w:sz w:val="24"/>
          <w:szCs w:val="24"/>
        </w:rPr>
      </w:pPr>
      <w:r>
        <w:rPr>
          <w:color w:val="000000" w:themeColor="text1"/>
          <w:sz w:val="24"/>
          <w:szCs w:val="24"/>
        </w:rPr>
        <w:t xml:space="preserve">Domestic Abuse remains a widespread issue nationally and globally. It affects individuals irrespective of age, gender, or socio-economic status. This essay critically assesses the challenges associated with a domestic abuse incident </w:t>
      </w:r>
      <w:r>
        <w:rPr>
          <w:color w:val="000000" w:themeColor="text1"/>
          <w:sz w:val="24"/>
          <w:szCs w:val="24"/>
        </w:rPr>
        <w:lastRenderedPageBreak/>
        <w:t xml:space="preserve">between a recently separated couple. The female had placed the </w:t>
      </w:r>
      <w:proofErr w:type="gramStart"/>
      <w:r>
        <w:rPr>
          <w:color w:val="000000" w:themeColor="text1"/>
          <w:sz w:val="24"/>
          <w:szCs w:val="24"/>
        </w:rPr>
        <w:t>males</w:t>
      </w:r>
      <w:proofErr w:type="gramEnd"/>
      <w:r>
        <w:rPr>
          <w:color w:val="000000" w:themeColor="text1"/>
          <w:sz w:val="24"/>
          <w:szCs w:val="24"/>
        </w:rPr>
        <w:t xml:space="preserve"> belongings in a cardboard and left them out in the street for the male to find. This has caused the male to become enraged. While collecting his belongings from his former partner’s residence, he has become verbally abusive towards </w:t>
      </w:r>
      <w:proofErr w:type="gramStart"/>
      <w:r>
        <w:rPr>
          <w:color w:val="000000" w:themeColor="text1"/>
          <w:sz w:val="24"/>
          <w:szCs w:val="24"/>
        </w:rPr>
        <w:t>her  and</w:t>
      </w:r>
      <w:proofErr w:type="gramEnd"/>
      <w:r>
        <w:rPr>
          <w:color w:val="000000" w:themeColor="text1"/>
          <w:sz w:val="24"/>
          <w:szCs w:val="24"/>
        </w:rPr>
        <w:t xml:space="preserve"> has thrown what the female describes as a </w:t>
      </w:r>
      <w:proofErr w:type="spellStart"/>
      <w:r>
        <w:rPr>
          <w:color w:val="000000" w:themeColor="text1"/>
          <w:sz w:val="24"/>
          <w:szCs w:val="24"/>
        </w:rPr>
        <w:t>china</w:t>
      </w:r>
      <w:proofErr w:type="spellEnd"/>
      <w:r>
        <w:rPr>
          <w:color w:val="000000" w:themeColor="text1"/>
          <w:sz w:val="24"/>
          <w:szCs w:val="24"/>
        </w:rPr>
        <w:t xml:space="preserve"> cup at her, striking her on the side of her head. The female has accused the male of ongoing domestic abuse and has given a statement to officers of this incident. This unpleasant incident was witnessed by their </w:t>
      </w:r>
      <w:proofErr w:type="gramStart"/>
      <w:r>
        <w:rPr>
          <w:color w:val="000000" w:themeColor="text1"/>
          <w:sz w:val="24"/>
          <w:szCs w:val="24"/>
        </w:rPr>
        <w:t>13 year old</w:t>
      </w:r>
      <w:proofErr w:type="gramEnd"/>
      <w:r>
        <w:rPr>
          <w:color w:val="000000" w:themeColor="text1"/>
          <w:sz w:val="24"/>
          <w:szCs w:val="24"/>
        </w:rPr>
        <w:t xml:space="preserve"> daughter, who has provided her statement through a video interview conducted by specially trained officers. This Essay will also highlight strategies developed for effective policing in such challenging situations, drawing on relevant literature and expert opinions. </w:t>
      </w:r>
    </w:p>
    <w:p w14:paraId="00BED0F7" w14:textId="0D9E6267" w:rsidR="00025650" w:rsidRDefault="002F4CB8" w:rsidP="0FF883D4">
      <w:pPr>
        <w:ind w:right="237"/>
        <w:jc w:val="both"/>
        <w:rPr>
          <w:color w:val="000000" w:themeColor="text1"/>
          <w:sz w:val="24"/>
          <w:szCs w:val="24"/>
        </w:rPr>
      </w:pPr>
      <w:r>
        <w:rPr>
          <w:color w:val="000000" w:themeColor="text1"/>
          <w:sz w:val="24"/>
          <w:szCs w:val="24"/>
        </w:rPr>
        <w:t xml:space="preserve">The incident in questions involves physical violence, a common aspect of domestic abuse. The male’s actions of throwing a </w:t>
      </w:r>
      <w:proofErr w:type="spellStart"/>
      <w:r>
        <w:rPr>
          <w:color w:val="000000" w:themeColor="text1"/>
          <w:sz w:val="24"/>
          <w:szCs w:val="24"/>
        </w:rPr>
        <w:t>china</w:t>
      </w:r>
      <w:proofErr w:type="spellEnd"/>
      <w:r>
        <w:rPr>
          <w:color w:val="000000" w:themeColor="text1"/>
          <w:sz w:val="24"/>
          <w:szCs w:val="24"/>
        </w:rPr>
        <w:t xml:space="preserve"> cup at the female and injuring her represents a form of physical aggression that can have severe physical and psychological impacts on the victim. According to the World Health Organisation (2021), </w:t>
      </w:r>
      <w:r>
        <w:rPr>
          <w:i/>
          <w:iCs/>
          <w:color w:val="000000" w:themeColor="text1"/>
          <w:sz w:val="24"/>
          <w:szCs w:val="24"/>
        </w:rPr>
        <w:t xml:space="preserve">physical violence in domestic settings can lead to injuries, long term health problems, and even death. </w:t>
      </w:r>
      <w:r>
        <w:rPr>
          <w:color w:val="000000" w:themeColor="text1"/>
          <w:sz w:val="24"/>
          <w:szCs w:val="24"/>
        </w:rPr>
        <w:t xml:space="preserve">The victim in this case, sustained an injury to her ear, which could have lasting consequences both physically and emotionally and could have been so much worse if the cup and struck her a couple of inches towards her face. The psychological trauma inflicted on the victim in this scenario cannot be understated. Victims of domestic violence often suffer from anxiety, depression, post traumatic stress disorder (PTSD), and other mental health issues. The National Domestic Violence Hotline (2023) states that the emotional and psychological scars of domestic abuse can be more enduring than physical injuries. The act of violence not only causes immediate physical pain but also reinforces a cycle of fear and intimidation, which can have long term psychological effects. </w:t>
      </w:r>
      <w:r w:rsidR="00F85346">
        <w:rPr>
          <w:color w:val="000000" w:themeColor="text1"/>
          <w:sz w:val="24"/>
          <w:szCs w:val="24"/>
        </w:rPr>
        <w:t xml:space="preserve">The presence of the couple’s </w:t>
      </w:r>
      <w:proofErr w:type="gramStart"/>
      <w:r w:rsidR="00F85346">
        <w:rPr>
          <w:color w:val="000000" w:themeColor="text1"/>
          <w:sz w:val="24"/>
          <w:szCs w:val="24"/>
        </w:rPr>
        <w:t>13-year old</w:t>
      </w:r>
      <w:proofErr w:type="gramEnd"/>
      <w:r w:rsidR="00F85346">
        <w:rPr>
          <w:color w:val="000000" w:themeColor="text1"/>
          <w:sz w:val="24"/>
          <w:szCs w:val="24"/>
        </w:rPr>
        <w:t xml:space="preserve"> daughter during the incident adds another layer of complexity to the situation. Children who witness domestic violence are at a higher risk of experiencing emotional and behavioural problems. According to a study by Holt, Buckley, and Whelan (2008), </w:t>
      </w:r>
      <w:r w:rsidR="00F85346">
        <w:rPr>
          <w:i/>
          <w:iCs/>
          <w:color w:val="000000" w:themeColor="text1"/>
          <w:sz w:val="24"/>
          <w:szCs w:val="24"/>
        </w:rPr>
        <w:t xml:space="preserve">children exposed to domestic violence can exhibit symptoms of trauma, anxiety, depression, and difficulties in school. </w:t>
      </w:r>
      <w:r w:rsidR="00F85346">
        <w:rPr>
          <w:color w:val="000000" w:themeColor="text1"/>
          <w:sz w:val="24"/>
          <w:szCs w:val="24"/>
        </w:rPr>
        <w:t xml:space="preserve">The witnessing of violence by a parent can also affect their perception of relationships and conflict resolution in the future. </w:t>
      </w:r>
    </w:p>
    <w:p w14:paraId="478FCCF5" w14:textId="34F43BBA" w:rsidR="005210E1" w:rsidRDefault="005210E1" w:rsidP="0FF883D4">
      <w:pPr>
        <w:ind w:right="237"/>
        <w:jc w:val="both"/>
        <w:rPr>
          <w:color w:val="000000" w:themeColor="text1"/>
          <w:sz w:val="24"/>
          <w:szCs w:val="24"/>
        </w:rPr>
      </w:pPr>
      <w:r>
        <w:rPr>
          <w:color w:val="000000" w:themeColor="text1"/>
          <w:sz w:val="24"/>
          <w:szCs w:val="24"/>
        </w:rPr>
        <w:t xml:space="preserve">Following the disclosure made by the female on </w:t>
      </w:r>
      <w:proofErr w:type="gramStart"/>
      <w:r>
        <w:rPr>
          <w:color w:val="000000" w:themeColor="text1"/>
          <w:sz w:val="24"/>
          <w:szCs w:val="24"/>
        </w:rPr>
        <w:t>the a</w:t>
      </w:r>
      <w:proofErr w:type="gramEnd"/>
      <w:r>
        <w:rPr>
          <w:color w:val="000000" w:themeColor="text1"/>
          <w:sz w:val="24"/>
          <w:szCs w:val="24"/>
        </w:rPr>
        <w:t xml:space="preserve"> police officer’s body worn camera, the male was promptly arrested. Body-worn cameras are instrumental in capturing real-time evidence and statements during domestic abuse incidents. In this instance, the victim’s immediate and spontaneous account of the event was crucial in establishing a timeline and context for the assault. The footage provided a clear and unbiased record and allowed the police to take positive action. Ellis et al (2015) sate “</w:t>
      </w:r>
      <w:r>
        <w:rPr>
          <w:i/>
          <w:iCs/>
          <w:color w:val="000000" w:themeColor="text1"/>
          <w:sz w:val="24"/>
          <w:szCs w:val="24"/>
        </w:rPr>
        <w:t xml:space="preserve">The use of body-worn cameras in domestic violence cases can enhance evidence quality, reduce the incidence of retraction by victims, and improve prosecution rates”. </w:t>
      </w:r>
      <w:r>
        <w:rPr>
          <w:color w:val="000000" w:themeColor="text1"/>
          <w:sz w:val="24"/>
          <w:szCs w:val="24"/>
        </w:rPr>
        <w:t xml:space="preserve">During the interview, the male denied the accusation, claiming that it </w:t>
      </w:r>
      <w:r w:rsidR="0096130E">
        <w:rPr>
          <w:color w:val="000000" w:themeColor="text1"/>
          <w:sz w:val="24"/>
          <w:szCs w:val="24"/>
        </w:rPr>
        <w:t>w</w:t>
      </w:r>
      <w:r>
        <w:rPr>
          <w:color w:val="000000" w:themeColor="text1"/>
          <w:sz w:val="24"/>
          <w:szCs w:val="24"/>
        </w:rPr>
        <w:t xml:space="preserve">as the female who had assaulted him. This type of </w:t>
      </w:r>
      <w:proofErr w:type="gramStart"/>
      <w:r>
        <w:rPr>
          <w:color w:val="000000" w:themeColor="text1"/>
          <w:sz w:val="24"/>
          <w:szCs w:val="24"/>
        </w:rPr>
        <w:t>counter-accusation</w:t>
      </w:r>
      <w:proofErr w:type="gramEnd"/>
      <w:r>
        <w:rPr>
          <w:color w:val="000000" w:themeColor="text1"/>
          <w:sz w:val="24"/>
          <w:szCs w:val="24"/>
        </w:rPr>
        <w:t xml:space="preserve"> is not uncommon in domestic abuse cases, as perpetrators often attempt to shift blame and discredit the victim’s account. Such claims necessitate a thorough and impartial investigation to determine the veracity of the statements made by both parties. The police must carefully analyse all available evidence, including physical injuries, witness testimonies, and any previous history of abuse, to discern the truth. Given the conflicting accounts, the male was bailed under stringent conditions aimed at protecting the victim and preventing further incidents. These bail conditions included </w:t>
      </w:r>
      <w:r>
        <w:rPr>
          <w:color w:val="000000" w:themeColor="text1"/>
          <w:sz w:val="24"/>
          <w:szCs w:val="24"/>
        </w:rPr>
        <w:lastRenderedPageBreak/>
        <w:t xml:space="preserve">prohibiting any direct or indirect contact with the victim, not to attend her residence of place of work, and arranging child contact through a third party. These measures are critical in safeguarding the victim and ensuring her safety. </w:t>
      </w:r>
    </w:p>
    <w:p w14:paraId="4B1BB6A0" w14:textId="5FC4F99D" w:rsidR="00000E02" w:rsidRPr="005210E1" w:rsidRDefault="00000E02" w:rsidP="0FF883D4">
      <w:pPr>
        <w:ind w:right="237"/>
        <w:jc w:val="both"/>
        <w:rPr>
          <w:color w:val="000000" w:themeColor="text1"/>
          <w:sz w:val="24"/>
          <w:szCs w:val="24"/>
        </w:rPr>
      </w:pPr>
      <w:r>
        <w:rPr>
          <w:color w:val="000000" w:themeColor="text1"/>
          <w:sz w:val="24"/>
          <w:szCs w:val="24"/>
        </w:rPr>
        <w:t xml:space="preserve">The bail conditions </w:t>
      </w:r>
      <w:proofErr w:type="gramStart"/>
      <w:r>
        <w:rPr>
          <w:color w:val="000000" w:themeColor="text1"/>
          <w:sz w:val="24"/>
          <w:szCs w:val="24"/>
        </w:rPr>
        <w:t>serves</w:t>
      </w:r>
      <w:proofErr w:type="gramEnd"/>
      <w:r>
        <w:rPr>
          <w:color w:val="000000" w:themeColor="text1"/>
          <w:sz w:val="24"/>
          <w:szCs w:val="24"/>
        </w:rPr>
        <w:t xml:space="preserve"> multiple purposes in the context of domestic abuse cases. Firstly, it provides an immediate sense of security to the victim, reducing the likelihood of further harassment of violence. The restriction on contacting or approaching the victim helps to create a physical and psychological barrier, allowing the victim to feel safer in her home and workplace. This separation is vital for the victim’s recovery and stability, as continuous exposure to the perpetrator can exacerbate trauma and hinder healing. Secondly, these conditions help to maintain a structured and controlled environment for the couple’s child. By using a third party to facilitate contact between the father and the child the potential for conflict and further trauma to the child is minimised. This arrangement ensures that the child can maintain a relationship with the father without being exposed to additional conflict or violence. </w:t>
      </w:r>
      <w:r w:rsidRPr="00000E02">
        <w:rPr>
          <w:i/>
          <w:iCs/>
          <w:color w:val="000000" w:themeColor="text1"/>
          <w:sz w:val="24"/>
          <w:szCs w:val="24"/>
        </w:rPr>
        <w:t xml:space="preserve">The importance of shielding children from further trauma is underscored by research, which shows that ongoing exposure to parental conflict can have long term adverse effects on a child’s emotional and psychological </w:t>
      </w:r>
      <w:proofErr w:type="spellStart"/>
      <w:r w:rsidRPr="00000E02">
        <w:rPr>
          <w:i/>
          <w:iCs/>
          <w:color w:val="000000" w:themeColor="text1"/>
          <w:sz w:val="24"/>
          <w:szCs w:val="24"/>
        </w:rPr>
        <w:t>well being</w:t>
      </w:r>
      <w:proofErr w:type="spellEnd"/>
      <w:r>
        <w:rPr>
          <w:color w:val="000000" w:themeColor="text1"/>
          <w:sz w:val="24"/>
          <w:szCs w:val="24"/>
        </w:rPr>
        <w:t xml:space="preserve"> (</w:t>
      </w:r>
      <w:proofErr w:type="spellStart"/>
      <w:r>
        <w:rPr>
          <w:color w:val="000000" w:themeColor="text1"/>
          <w:sz w:val="24"/>
          <w:szCs w:val="24"/>
        </w:rPr>
        <w:t>Klitzmann</w:t>
      </w:r>
      <w:proofErr w:type="spellEnd"/>
      <w:r>
        <w:rPr>
          <w:color w:val="000000" w:themeColor="text1"/>
          <w:sz w:val="24"/>
          <w:szCs w:val="24"/>
        </w:rPr>
        <w:t xml:space="preserve"> et al. 2003). Finally, the bail conditions also serve as a deterrent for the perpetrator, emphasizing the seriousness of the offense and the legal repercussions of non-compliance. By clearly outlining the boundaries and consequences, the legal system reinforces the importance of adhering to these conditions. This can be particularly effective in preventing further </w:t>
      </w:r>
      <w:r w:rsidR="0096130E">
        <w:rPr>
          <w:color w:val="000000" w:themeColor="text1"/>
          <w:sz w:val="24"/>
          <w:szCs w:val="24"/>
        </w:rPr>
        <w:t xml:space="preserve">incidents of abuse and ensuring that the perpetrator understands the gravity of his actions. </w:t>
      </w:r>
    </w:p>
    <w:p w14:paraId="5DE67D59" w14:textId="38232C6F" w:rsidR="00F85346" w:rsidRDefault="00F85346" w:rsidP="0FF883D4">
      <w:pPr>
        <w:ind w:right="237"/>
        <w:jc w:val="both"/>
        <w:rPr>
          <w:color w:val="000000" w:themeColor="text1"/>
          <w:sz w:val="24"/>
          <w:szCs w:val="24"/>
        </w:rPr>
      </w:pPr>
      <w:r>
        <w:rPr>
          <w:color w:val="000000" w:themeColor="text1"/>
          <w:sz w:val="24"/>
          <w:szCs w:val="24"/>
        </w:rPr>
        <w:t xml:space="preserve">One of the primary challenges in this case is gathering sufficient evidence to support prosecution. The female gave a statement of the incident and the male, in interview, denied throwing anything at all. There </w:t>
      </w:r>
      <w:r w:rsidR="001668C0">
        <w:rPr>
          <w:color w:val="000000" w:themeColor="text1"/>
          <w:sz w:val="24"/>
          <w:szCs w:val="24"/>
        </w:rPr>
        <w:t>were</w:t>
      </w:r>
      <w:r>
        <w:rPr>
          <w:color w:val="000000" w:themeColor="text1"/>
          <w:sz w:val="24"/>
          <w:szCs w:val="24"/>
        </w:rPr>
        <w:t xml:space="preserve"> no other witnesses to and after officers spoke to neighbours during their </w:t>
      </w:r>
      <w:proofErr w:type="gramStart"/>
      <w:r>
        <w:rPr>
          <w:color w:val="000000" w:themeColor="text1"/>
          <w:sz w:val="24"/>
          <w:szCs w:val="24"/>
        </w:rPr>
        <w:t>house to house</w:t>
      </w:r>
      <w:proofErr w:type="gramEnd"/>
      <w:r>
        <w:rPr>
          <w:color w:val="000000" w:themeColor="text1"/>
          <w:sz w:val="24"/>
          <w:szCs w:val="24"/>
        </w:rPr>
        <w:t xml:space="preserve"> enquiries, there was no CCTV either. As such the daughter’s testimony is crucial, but the delicacy of involving a child in legal proceedings cannot be overlooked, especially as she will be supporting the prosecution of her father. The Crown Prosecution Service (2022) highlights that children are particularly vulnerable witnesses, and special care must be taken to ensure their well-being during the process.</w:t>
      </w:r>
      <w:r w:rsidR="001668C0">
        <w:rPr>
          <w:color w:val="000000" w:themeColor="text1"/>
          <w:sz w:val="24"/>
          <w:szCs w:val="24"/>
        </w:rPr>
        <w:t xml:space="preserve"> The welfare of the child is paramount. The video interview conducted by specially trained officers is an appropriate step, as it minimizes the stress and potential trauma associated with giving evidence. According to </w:t>
      </w:r>
      <w:proofErr w:type="spellStart"/>
      <w:r w:rsidR="001668C0">
        <w:rPr>
          <w:color w:val="000000" w:themeColor="text1"/>
          <w:sz w:val="24"/>
          <w:szCs w:val="24"/>
        </w:rPr>
        <w:t>Plotnikoff</w:t>
      </w:r>
      <w:proofErr w:type="spellEnd"/>
      <w:r w:rsidR="001668C0">
        <w:rPr>
          <w:color w:val="000000" w:themeColor="text1"/>
          <w:sz w:val="24"/>
          <w:szCs w:val="24"/>
        </w:rPr>
        <w:t xml:space="preserve"> and Woolfson (2009), video interviews can provide a less intimidating environment for child witnesses, allowing them to provide their testimony more comfortably. However, ensuring that the child feels safe and supported throughout the process remains a significant challenge. The involvement of a child in legal proceeding raises several ethical and legal considerations. Ensuring the child’s testimony is reliable while protecting their emotional and psychological well being is a delicate balance. The UK Government’s Achieving Best Evidence guidelines (2011) emphasise the need for specially trained officers to handle such cases, highlighting the importance of using child-friendly techniques and environments. Providing adequate emotional and psychological support to both the victim and the child is crucial. Support services, such as counselling and therapy, should be made available to help them cope with the trauma of the incident. The National Society for the Prevention of Cruelty to Children (NSPCC, 2023) underscores the importance of </w:t>
      </w:r>
      <w:r w:rsidR="001668C0" w:rsidRPr="001668C0">
        <w:rPr>
          <w:i/>
          <w:iCs/>
          <w:color w:val="000000" w:themeColor="text1"/>
          <w:sz w:val="24"/>
          <w:szCs w:val="24"/>
        </w:rPr>
        <w:t>therapeutic support for children who have witnessed domestic violence, as it can aid in their recovery and emotional stability</w:t>
      </w:r>
      <w:r w:rsidR="001668C0">
        <w:rPr>
          <w:color w:val="000000" w:themeColor="text1"/>
          <w:sz w:val="24"/>
          <w:szCs w:val="24"/>
        </w:rPr>
        <w:t>.</w:t>
      </w:r>
    </w:p>
    <w:p w14:paraId="332B41DD" w14:textId="06B595C4" w:rsidR="001668C0" w:rsidRPr="005D14A1" w:rsidRDefault="005D14A1" w:rsidP="0FF883D4">
      <w:pPr>
        <w:ind w:right="237"/>
        <w:jc w:val="both"/>
        <w:rPr>
          <w:color w:val="000000" w:themeColor="text1"/>
          <w:sz w:val="24"/>
          <w:szCs w:val="24"/>
        </w:rPr>
      </w:pPr>
      <w:r>
        <w:rPr>
          <w:color w:val="000000" w:themeColor="text1"/>
          <w:sz w:val="24"/>
          <w:szCs w:val="24"/>
        </w:rPr>
        <w:lastRenderedPageBreak/>
        <w:t xml:space="preserve">Effective policing of domestic abuse incidents requires specialised training for officers. Training programs should focus on understanding the dynamics of domestic abuse, recognising signs of abuse, and handling victims and witnesses with sensitivity. According to the College of Policing (2021), </w:t>
      </w:r>
      <w:r>
        <w:rPr>
          <w:i/>
          <w:iCs/>
          <w:color w:val="000000" w:themeColor="text1"/>
          <w:sz w:val="24"/>
          <w:szCs w:val="24"/>
        </w:rPr>
        <w:t xml:space="preserve">specialised domestic abuse units and training programs can significantly improve the police response to such incidents. </w:t>
      </w:r>
      <w:r>
        <w:rPr>
          <w:color w:val="000000" w:themeColor="text1"/>
          <w:sz w:val="24"/>
          <w:szCs w:val="24"/>
        </w:rPr>
        <w:t xml:space="preserve">Collaboration between police, social services, healthcare providers, and domestic abuse support organisations is essential for addressing the multifaceted nature of domestic abuse. </w:t>
      </w:r>
      <w:r w:rsidRPr="005D14A1">
        <w:rPr>
          <w:i/>
          <w:iCs/>
          <w:color w:val="000000" w:themeColor="text1"/>
          <w:sz w:val="24"/>
          <w:szCs w:val="24"/>
        </w:rPr>
        <w:t>Multi-agency Risk Assessment Conferences (MARACs) are an example of such collaboration where different agencies work together to assess the risk to the victim and develop a coordinated response</w:t>
      </w:r>
      <w:r>
        <w:rPr>
          <w:color w:val="000000" w:themeColor="text1"/>
          <w:sz w:val="24"/>
          <w:szCs w:val="24"/>
        </w:rPr>
        <w:t xml:space="preserve"> (</w:t>
      </w:r>
      <w:proofErr w:type="spellStart"/>
      <w:r>
        <w:rPr>
          <w:color w:val="000000" w:themeColor="text1"/>
          <w:sz w:val="24"/>
          <w:szCs w:val="24"/>
        </w:rPr>
        <w:t>SaveLives</w:t>
      </w:r>
      <w:proofErr w:type="spellEnd"/>
      <w:r>
        <w:rPr>
          <w:color w:val="000000" w:themeColor="text1"/>
          <w:sz w:val="24"/>
          <w:szCs w:val="24"/>
        </w:rPr>
        <w:t xml:space="preserve">, 2023). This approach ensures that victims receive comprehensive support and protection. In this instance, MARAC was able to re-home the female to an address unknown to the male to prevent any further incidents between the pair.  </w:t>
      </w:r>
    </w:p>
    <w:p w14:paraId="2E902B8F" w14:textId="16B3FCE1" w:rsidR="00025650" w:rsidRPr="00E676F7" w:rsidRDefault="005D14A1" w:rsidP="0FF883D4">
      <w:pPr>
        <w:ind w:right="237"/>
        <w:jc w:val="both"/>
        <w:rPr>
          <w:color w:val="000000" w:themeColor="text1"/>
          <w:sz w:val="24"/>
          <w:szCs w:val="24"/>
        </w:rPr>
      </w:pPr>
      <w:r>
        <w:rPr>
          <w:color w:val="000000" w:themeColor="text1"/>
          <w:sz w:val="24"/>
          <w:szCs w:val="24"/>
        </w:rPr>
        <w:t xml:space="preserve">Technology can play a crucial role in improving the effectiveness of policing domestic abuse. </w:t>
      </w:r>
      <w:r w:rsidR="00FD2EFF">
        <w:rPr>
          <w:color w:val="000000" w:themeColor="text1"/>
          <w:sz w:val="24"/>
          <w:szCs w:val="24"/>
        </w:rPr>
        <w:t xml:space="preserve">The use of body worn cameras by police officers can provide crucial evidence in domestic abuse cases. A study by Owens, Mann, and McKenna (2014) found that body worn cameras can enhance evidence collection and increase the likelihood of successful prosecutions, Additionally, digital platforms for reporting abuse and accessing support services can empower victims and provide them with easier access to help. Legal reforms aimed at protecting domestic abuse victims and ensuring perpetrators are held accountable are vital. The Domestic Abuse Act 2021 in the UK introduces several measures to strengthen the response to domestic abuse, including the creation of Domestic Abuse Protection Notices (DAPNs) and Domestic Abuse Protection Orders (DAPOs). These measures provide immediate protection for victims and ensures that perpetrators are monitored and restricted from causing further harm. </w:t>
      </w:r>
    </w:p>
    <w:p w14:paraId="72529F42" w14:textId="1F1C490E" w:rsidR="00025650" w:rsidRDefault="00FD2EFF" w:rsidP="0FF883D4">
      <w:pPr>
        <w:ind w:right="237"/>
        <w:jc w:val="both"/>
        <w:rPr>
          <w:color w:val="000000" w:themeColor="text1"/>
          <w:sz w:val="24"/>
          <w:szCs w:val="24"/>
        </w:rPr>
      </w:pPr>
      <w:r>
        <w:rPr>
          <w:color w:val="000000" w:themeColor="text1"/>
          <w:sz w:val="24"/>
          <w:szCs w:val="24"/>
        </w:rPr>
        <w:t>Providing comprehensive support services to victims of domestic abuse is crucial for their recovery and safety. These services can include emergency housing, legal assistance, counselling, and financial support. Organisations such as Refuge and Women’s Aid offer extensive support to domestic abuse victims, helping them navigate the legal system, access necessary resources and rebuild their lives. Protecting children who witness domestic abuse requires a tailored approach that considers their unique needs</w:t>
      </w:r>
      <w:r w:rsidR="009573B7">
        <w:rPr>
          <w:color w:val="000000" w:themeColor="text1"/>
          <w:sz w:val="24"/>
          <w:szCs w:val="24"/>
        </w:rPr>
        <w:t xml:space="preserve"> and vulnerabilities. Child protection services should work closely with the police and other agencies to ensure the child receives appropriate care and support. The NSPCC (2023) emphasises the importance of providing a safe and nurturing environment for children affected by domestic abuse, as well as access to therapeutic services to address their emotional and psychological needs. Monitoring and evaluating the effectiveness of policing strategies and support services is essential for continuous improvement. Regular assessments can help identify gaps in services, areas for improvement, and best practices. According to the Home Office (2020), systemic monitoring and evaluation can enhance the overall response to domestic abuse and ensure that victims receive the best possible support and protection. </w:t>
      </w:r>
    </w:p>
    <w:p w14:paraId="685D8D8D" w14:textId="5787590E" w:rsidR="009573B7" w:rsidRPr="00E676F7" w:rsidRDefault="0096130E" w:rsidP="0FF883D4">
      <w:pPr>
        <w:ind w:right="237"/>
        <w:jc w:val="both"/>
        <w:rPr>
          <w:color w:val="000000" w:themeColor="text1"/>
          <w:sz w:val="24"/>
          <w:szCs w:val="24"/>
        </w:rPr>
      </w:pPr>
      <w:r>
        <w:rPr>
          <w:color w:val="000000" w:themeColor="text1"/>
          <w:sz w:val="24"/>
          <w:szCs w:val="24"/>
        </w:rPr>
        <w:t xml:space="preserve">The case of the recently separated couple, where the male threw a </w:t>
      </w:r>
      <w:proofErr w:type="spellStart"/>
      <w:r>
        <w:rPr>
          <w:color w:val="000000" w:themeColor="text1"/>
          <w:sz w:val="24"/>
          <w:szCs w:val="24"/>
        </w:rPr>
        <w:t>china</w:t>
      </w:r>
      <w:proofErr w:type="spellEnd"/>
      <w:r>
        <w:rPr>
          <w:color w:val="000000" w:themeColor="text1"/>
          <w:sz w:val="24"/>
          <w:szCs w:val="24"/>
        </w:rPr>
        <w:t xml:space="preserve"> cup at the female victim, underscores the complexities and challenges associated with domestic abuse incidents. The presence of their </w:t>
      </w:r>
      <w:proofErr w:type="gramStart"/>
      <w:r>
        <w:rPr>
          <w:color w:val="000000" w:themeColor="text1"/>
          <w:sz w:val="24"/>
          <w:szCs w:val="24"/>
        </w:rPr>
        <w:t>13 year old</w:t>
      </w:r>
      <w:proofErr w:type="gramEnd"/>
      <w:r>
        <w:rPr>
          <w:color w:val="000000" w:themeColor="text1"/>
          <w:sz w:val="24"/>
          <w:szCs w:val="24"/>
        </w:rPr>
        <w:t xml:space="preserve"> daughter as a witness further complicates the situation, highlighting the need for sensitive and effective policing strategies. The arrest and subsequent bail conditions imposed on the male demonstrate the legal system’s efforts to protect the victim and ensure her safety. the use of body worn cameras played a pivotal role in capturing the initial disclosure </w:t>
      </w:r>
      <w:r>
        <w:rPr>
          <w:color w:val="000000" w:themeColor="text1"/>
          <w:sz w:val="24"/>
          <w:szCs w:val="24"/>
        </w:rPr>
        <w:lastRenderedPageBreak/>
        <w:t xml:space="preserve">and providing crucial evidence. However, the investigation was complicated by the male’s counter allegation, necessitating a thorough and impartial examination of all available evidence. The bail conditions imposed aimed to protect the victim and minimise further trauma to the child, underscoring the importance of victim safety and structured contact arrangements. Effective policing of domestic abuse requires a multi-faceted approach that combines specialised training, technology, multi-agency collaboration, and comprehensive support services for victims and children. By continuously evaluating and improving these strategies, law enforcement and support services can better respond to domestic abuse, ensuring the safety and well-being of those affected. </w:t>
      </w:r>
    </w:p>
    <w:p w14:paraId="41381FDB" w14:textId="10AF242D" w:rsidR="00025650" w:rsidRPr="00E676F7" w:rsidRDefault="00025650" w:rsidP="0FF883D4">
      <w:pPr>
        <w:ind w:right="237"/>
        <w:jc w:val="both"/>
        <w:rPr>
          <w:color w:val="000000" w:themeColor="text1"/>
          <w:sz w:val="24"/>
          <w:szCs w:val="24"/>
        </w:rPr>
      </w:pPr>
    </w:p>
    <w:p w14:paraId="5B0C1A0F" w14:textId="62A0C5E2" w:rsidR="00025650" w:rsidRDefault="00B51D73" w:rsidP="0FF883D4">
      <w:pPr>
        <w:ind w:right="237"/>
        <w:jc w:val="both"/>
        <w:rPr>
          <w:color w:val="000000" w:themeColor="text1"/>
          <w:sz w:val="24"/>
          <w:szCs w:val="24"/>
        </w:rPr>
      </w:pPr>
      <w:r>
        <w:rPr>
          <w:color w:val="000000" w:themeColor="text1"/>
          <w:sz w:val="24"/>
          <w:szCs w:val="24"/>
        </w:rPr>
        <w:t>1907 words</w:t>
      </w:r>
    </w:p>
    <w:p w14:paraId="0B5A650C" w14:textId="77777777" w:rsidR="00B51D73" w:rsidRDefault="00B51D73" w:rsidP="0FF883D4">
      <w:pPr>
        <w:ind w:right="237"/>
        <w:jc w:val="both"/>
        <w:rPr>
          <w:color w:val="000000" w:themeColor="text1"/>
          <w:sz w:val="24"/>
          <w:szCs w:val="24"/>
        </w:rPr>
      </w:pPr>
    </w:p>
    <w:p w14:paraId="199B7EFC" w14:textId="77777777" w:rsidR="00B51D73" w:rsidRDefault="00B51D73" w:rsidP="0FF883D4">
      <w:pPr>
        <w:ind w:right="237"/>
        <w:jc w:val="both"/>
        <w:rPr>
          <w:color w:val="000000" w:themeColor="text1"/>
          <w:sz w:val="24"/>
          <w:szCs w:val="24"/>
        </w:rPr>
      </w:pPr>
    </w:p>
    <w:p w14:paraId="633FDFD1" w14:textId="77777777" w:rsidR="00B51D73" w:rsidRDefault="00B51D73" w:rsidP="0FF883D4">
      <w:pPr>
        <w:ind w:right="237"/>
        <w:jc w:val="both"/>
        <w:rPr>
          <w:color w:val="000000" w:themeColor="text1"/>
          <w:sz w:val="24"/>
          <w:szCs w:val="24"/>
        </w:rPr>
      </w:pPr>
    </w:p>
    <w:p w14:paraId="7F245E14" w14:textId="77777777" w:rsidR="00B51D73" w:rsidRDefault="00B51D73" w:rsidP="0FF883D4">
      <w:pPr>
        <w:ind w:right="237"/>
        <w:jc w:val="both"/>
        <w:rPr>
          <w:color w:val="000000" w:themeColor="text1"/>
          <w:sz w:val="24"/>
          <w:szCs w:val="24"/>
        </w:rPr>
      </w:pPr>
    </w:p>
    <w:p w14:paraId="1CEA934B" w14:textId="77777777" w:rsidR="00B51D73" w:rsidRDefault="00B51D73" w:rsidP="0FF883D4">
      <w:pPr>
        <w:ind w:right="237"/>
        <w:jc w:val="both"/>
        <w:rPr>
          <w:color w:val="000000" w:themeColor="text1"/>
          <w:sz w:val="24"/>
          <w:szCs w:val="24"/>
        </w:rPr>
      </w:pPr>
    </w:p>
    <w:p w14:paraId="13795FFD" w14:textId="77777777" w:rsidR="00B51D73" w:rsidRDefault="00B51D73" w:rsidP="0FF883D4">
      <w:pPr>
        <w:ind w:right="237"/>
        <w:jc w:val="both"/>
        <w:rPr>
          <w:color w:val="000000" w:themeColor="text1"/>
          <w:sz w:val="24"/>
          <w:szCs w:val="24"/>
        </w:rPr>
      </w:pPr>
    </w:p>
    <w:p w14:paraId="4932257F" w14:textId="77777777" w:rsidR="00B51D73" w:rsidRDefault="00B51D73" w:rsidP="0FF883D4">
      <w:pPr>
        <w:ind w:right="237"/>
        <w:jc w:val="both"/>
        <w:rPr>
          <w:color w:val="000000" w:themeColor="text1"/>
          <w:sz w:val="24"/>
          <w:szCs w:val="24"/>
        </w:rPr>
      </w:pPr>
    </w:p>
    <w:p w14:paraId="47BAEB10" w14:textId="77777777" w:rsidR="00B51D73" w:rsidRDefault="00B51D73" w:rsidP="0FF883D4">
      <w:pPr>
        <w:ind w:right="237"/>
        <w:jc w:val="both"/>
        <w:rPr>
          <w:color w:val="000000" w:themeColor="text1"/>
          <w:sz w:val="24"/>
          <w:szCs w:val="24"/>
        </w:rPr>
      </w:pPr>
    </w:p>
    <w:p w14:paraId="5B95A3F5" w14:textId="77777777" w:rsidR="00B51D73" w:rsidRDefault="00B51D73" w:rsidP="0FF883D4">
      <w:pPr>
        <w:ind w:right="237"/>
        <w:jc w:val="both"/>
        <w:rPr>
          <w:color w:val="000000" w:themeColor="text1"/>
          <w:sz w:val="24"/>
          <w:szCs w:val="24"/>
        </w:rPr>
      </w:pPr>
    </w:p>
    <w:p w14:paraId="56CFB63A" w14:textId="77777777" w:rsidR="00B51D73" w:rsidRDefault="00B51D73" w:rsidP="0FF883D4">
      <w:pPr>
        <w:ind w:right="237"/>
        <w:jc w:val="both"/>
        <w:rPr>
          <w:color w:val="000000" w:themeColor="text1"/>
          <w:sz w:val="24"/>
          <w:szCs w:val="24"/>
        </w:rPr>
      </w:pPr>
    </w:p>
    <w:p w14:paraId="7068CA85" w14:textId="77777777" w:rsidR="00B51D73" w:rsidRDefault="00B51D73" w:rsidP="0FF883D4">
      <w:pPr>
        <w:ind w:right="237"/>
        <w:jc w:val="both"/>
        <w:rPr>
          <w:color w:val="000000" w:themeColor="text1"/>
          <w:sz w:val="24"/>
          <w:szCs w:val="24"/>
        </w:rPr>
      </w:pPr>
    </w:p>
    <w:p w14:paraId="2FAE463C" w14:textId="77777777" w:rsidR="00B51D73" w:rsidRDefault="00B51D73" w:rsidP="0FF883D4">
      <w:pPr>
        <w:ind w:right="237"/>
        <w:jc w:val="both"/>
        <w:rPr>
          <w:color w:val="000000" w:themeColor="text1"/>
          <w:sz w:val="24"/>
          <w:szCs w:val="24"/>
        </w:rPr>
      </w:pPr>
    </w:p>
    <w:p w14:paraId="038CCF60" w14:textId="77777777" w:rsidR="00B51D73" w:rsidRDefault="00B51D73" w:rsidP="0FF883D4">
      <w:pPr>
        <w:ind w:right="237"/>
        <w:jc w:val="both"/>
        <w:rPr>
          <w:color w:val="000000" w:themeColor="text1"/>
          <w:sz w:val="24"/>
          <w:szCs w:val="24"/>
        </w:rPr>
      </w:pPr>
    </w:p>
    <w:p w14:paraId="260D3099" w14:textId="77777777" w:rsidR="00B51D73" w:rsidRDefault="00B51D73" w:rsidP="0FF883D4">
      <w:pPr>
        <w:ind w:right="237"/>
        <w:jc w:val="both"/>
        <w:rPr>
          <w:color w:val="000000" w:themeColor="text1"/>
          <w:sz w:val="24"/>
          <w:szCs w:val="24"/>
        </w:rPr>
      </w:pPr>
    </w:p>
    <w:p w14:paraId="2F382C89" w14:textId="77777777" w:rsidR="00B51D73" w:rsidRDefault="00B51D73" w:rsidP="0FF883D4">
      <w:pPr>
        <w:ind w:right="237"/>
        <w:jc w:val="both"/>
        <w:rPr>
          <w:color w:val="000000" w:themeColor="text1"/>
          <w:sz w:val="24"/>
          <w:szCs w:val="24"/>
        </w:rPr>
      </w:pPr>
    </w:p>
    <w:p w14:paraId="46AEE478" w14:textId="77777777" w:rsidR="00B51D73" w:rsidRDefault="00B51D73" w:rsidP="0FF883D4">
      <w:pPr>
        <w:ind w:right="237"/>
        <w:jc w:val="both"/>
        <w:rPr>
          <w:color w:val="000000" w:themeColor="text1"/>
          <w:sz w:val="24"/>
          <w:szCs w:val="24"/>
        </w:rPr>
      </w:pPr>
    </w:p>
    <w:p w14:paraId="436E4F2B" w14:textId="77777777" w:rsidR="00B51D73" w:rsidRDefault="00B51D73" w:rsidP="0FF883D4">
      <w:pPr>
        <w:ind w:right="237"/>
        <w:jc w:val="both"/>
        <w:rPr>
          <w:color w:val="000000" w:themeColor="text1"/>
          <w:sz w:val="24"/>
          <w:szCs w:val="24"/>
        </w:rPr>
      </w:pPr>
    </w:p>
    <w:p w14:paraId="202F122E" w14:textId="77777777" w:rsidR="00B51D73" w:rsidRDefault="00B51D73" w:rsidP="0FF883D4">
      <w:pPr>
        <w:ind w:right="237"/>
        <w:jc w:val="both"/>
        <w:rPr>
          <w:color w:val="000000" w:themeColor="text1"/>
          <w:sz w:val="24"/>
          <w:szCs w:val="24"/>
        </w:rPr>
      </w:pPr>
    </w:p>
    <w:p w14:paraId="50C731A8" w14:textId="77777777" w:rsidR="00B51D73" w:rsidRDefault="00B51D73" w:rsidP="0FF883D4">
      <w:pPr>
        <w:ind w:right="237"/>
        <w:jc w:val="both"/>
        <w:rPr>
          <w:color w:val="000000" w:themeColor="text1"/>
          <w:sz w:val="24"/>
          <w:szCs w:val="24"/>
        </w:rPr>
      </w:pPr>
    </w:p>
    <w:p w14:paraId="26D9AAAB" w14:textId="77777777" w:rsidR="00B51D73" w:rsidRDefault="00B51D73" w:rsidP="0FF883D4">
      <w:pPr>
        <w:ind w:right="237"/>
        <w:jc w:val="both"/>
        <w:rPr>
          <w:color w:val="000000" w:themeColor="text1"/>
          <w:sz w:val="24"/>
          <w:szCs w:val="24"/>
        </w:rPr>
      </w:pPr>
    </w:p>
    <w:p w14:paraId="3653AC02" w14:textId="77777777" w:rsidR="00B51D73" w:rsidRDefault="00B51D73" w:rsidP="0FF883D4">
      <w:pPr>
        <w:ind w:right="237"/>
        <w:jc w:val="both"/>
        <w:rPr>
          <w:color w:val="000000" w:themeColor="text1"/>
          <w:sz w:val="24"/>
          <w:szCs w:val="24"/>
        </w:rPr>
      </w:pPr>
    </w:p>
    <w:p w14:paraId="21DFC182" w14:textId="77777777" w:rsidR="00B51D73" w:rsidRDefault="00B51D73" w:rsidP="0FF883D4">
      <w:pPr>
        <w:ind w:right="237"/>
        <w:jc w:val="both"/>
        <w:rPr>
          <w:color w:val="000000" w:themeColor="text1"/>
          <w:sz w:val="24"/>
          <w:szCs w:val="24"/>
        </w:rPr>
      </w:pPr>
    </w:p>
    <w:p w14:paraId="08FCE5DB" w14:textId="77777777" w:rsidR="00B51D73" w:rsidRDefault="00B51D73" w:rsidP="0FF883D4">
      <w:pPr>
        <w:ind w:right="237"/>
        <w:jc w:val="both"/>
        <w:rPr>
          <w:color w:val="000000" w:themeColor="text1"/>
          <w:sz w:val="24"/>
          <w:szCs w:val="24"/>
        </w:rPr>
      </w:pPr>
    </w:p>
    <w:p w14:paraId="5A720EE4" w14:textId="77777777" w:rsidR="00B51D73" w:rsidRDefault="00B51D73" w:rsidP="0FF883D4">
      <w:pPr>
        <w:ind w:right="237"/>
        <w:jc w:val="both"/>
        <w:rPr>
          <w:color w:val="000000" w:themeColor="text1"/>
          <w:sz w:val="24"/>
          <w:szCs w:val="24"/>
        </w:rPr>
      </w:pPr>
    </w:p>
    <w:p w14:paraId="1F4E6873" w14:textId="77777777" w:rsidR="00B51D73" w:rsidRDefault="00B51D73" w:rsidP="0FF883D4">
      <w:pPr>
        <w:ind w:right="237"/>
        <w:jc w:val="both"/>
        <w:rPr>
          <w:color w:val="000000" w:themeColor="text1"/>
          <w:sz w:val="24"/>
          <w:szCs w:val="24"/>
        </w:rPr>
      </w:pPr>
    </w:p>
    <w:p w14:paraId="7AB311A3" w14:textId="77777777" w:rsidR="00B51D73" w:rsidRDefault="00B51D73" w:rsidP="0FF883D4">
      <w:pPr>
        <w:ind w:right="237"/>
        <w:jc w:val="both"/>
        <w:rPr>
          <w:color w:val="000000" w:themeColor="text1"/>
          <w:sz w:val="24"/>
          <w:szCs w:val="24"/>
        </w:rPr>
      </w:pPr>
    </w:p>
    <w:p w14:paraId="3EACD0C2" w14:textId="77777777" w:rsidR="00B51D73" w:rsidRDefault="00B51D73" w:rsidP="0FF883D4">
      <w:pPr>
        <w:ind w:right="237"/>
        <w:jc w:val="both"/>
        <w:rPr>
          <w:color w:val="000000" w:themeColor="text1"/>
          <w:sz w:val="24"/>
          <w:szCs w:val="24"/>
        </w:rPr>
      </w:pPr>
    </w:p>
    <w:p w14:paraId="2B593B18" w14:textId="77777777" w:rsidR="00B51D73" w:rsidRDefault="00B51D73" w:rsidP="0FF883D4">
      <w:pPr>
        <w:ind w:right="237"/>
        <w:jc w:val="both"/>
        <w:rPr>
          <w:color w:val="000000" w:themeColor="text1"/>
          <w:sz w:val="24"/>
          <w:szCs w:val="24"/>
        </w:rPr>
      </w:pPr>
    </w:p>
    <w:p w14:paraId="4D3BF86D" w14:textId="77777777" w:rsidR="00B51D73" w:rsidRDefault="00B51D73" w:rsidP="0FF883D4">
      <w:pPr>
        <w:ind w:right="237"/>
        <w:jc w:val="both"/>
        <w:rPr>
          <w:color w:val="000000" w:themeColor="text1"/>
          <w:sz w:val="24"/>
          <w:szCs w:val="24"/>
        </w:rPr>
      </w:pPr>
    </w:p>
    <w:p w14:paraId="3C5AFFCD" w14:textId="77777777" w:rsidR="00B51D73" w:rsidRDefault="00B51D73" w:rsidP="0FF883D4">
      <w:pPr>
        <w:ind w:right="237"/>
        <w:jc w:val="both"/>
        <w:rPr>
          <w:color w:val="000000" w:themeColor="text1"/>
          <w:sz w:val="24"/>
          <w:szCs w:val="24"/>
        </w:rPr>
      </w:pPr>
    </w:p>
    <w:p w14:paraId="40AD9982" w14:textId="77777777" w:rsidR="00B51D73" w:rsidRDefault="00B51D73" w:rsidP="0FF883D4">
      <w:pPr>
        <w:ind w:right="237"/>
        <w:jc w:val="both"/>
        <w:rPr>
          <w:color w:val="000000" w:themeColor="text1"/>
          <w:sz w:val="24"/>
          <w:szCs w:val="24"/>
        </w:rPr>
      </w:pPr>
    </w:p>
    <w:p w14:paraId="59DF94AB" w14:textId="77777777" w:rsidR="00B51D73" w:rsidRDefault="00B51D73" w:rsidP="0FF883D4">
      <w:pPr>
        <w:ind w:right="237"/>
        <w:jc w:val="both"/>
        <w:rPr>
          <w:color w:val="000000" w:themeColor="text1"/>
          <w:sz w:val="24"/>
          <w:szCs w:val="24"/>
        </w:rPr>
      </w:pPr>
    </w:p>
    <w:p w14:paraId="3C91A54A" w14:textId="77777777" w:rsidR="00B51D73" w:rsidRDefault="00B51D73" w:rsidP="0FF883D4">
      <w:pPr>
        <w:ind w:right="237"/>
        <w:jc w:val="both"/>
        <w:rPr>
          <w:color w:val="000000" w:themeColor="text1"/>
          <w:sz w:val="24"/>
          <w:szCs w:val="24"/>
        </w:rPr>
      </w:pPr>
    </w:p>
    <w:p w14:paraId="2D47EEAE" w14:textId="77777777" w:rsidR="00B51D73" w:rsidRPr="00E676F7" w:rsidRDefault="00B51D73"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lastRenderedPageBreak/>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0427DD">
          <w:footerReference w:type="default" r:id="rId15"/>
          <w:pgSz w:w="11906" w:h="16838" w:code="9"/>
          <w:pgMar w:top="1440" w:right="1440" w:bottom="1440" w:left="1440" w:header="720" w:footer="720" w:gutter="0"/>
          <w:cols w:space="720"/>
          <w:docGrid w:linePitch="272"/>
        </w:sectPr>
      </w:pPr>
    </w:p>
    <w:p w14:paraId="2B4DA333" w14:textId="77777777" w:rsidR="004923DA" w:rsidRDefault="004923DA" w:rsidP="00340E9A">
      <w:pPr>
        <w:keepNext/>
        <w:spacing w:before="240" w:after="60"/>
        <w:ind w:right="237"/>
        <w:jc w:val="both"/>
        <w:rPr>
          <w:b/>
          <w:sz w:val="24"/>
          <w:szCs w:val="24"/>
        </w:rPr>
      </w:pPr>
      <w:r w:rsidRPr="00E676F7">
        <w:rPr>
          <w:b/>
          <w:sz w:val="24"/>
          <w:szCs w:val="24"/>
        </w:rPr>
        <w:lastRenderedPageBreak/>
        <w:t>Bibliography</w:t>
      </w:r>
    </w:p>
    <w:p w14:paraId="78EC16B1" w14:textId="77777777" w:rsidR="000A1A8A" w:rsidRPr="00AD5B7D" w:rsidRDefault="000A1A8A" w:rsidP="000A1A8A">
      <w:pPr>
        <w:pStyle w:val="NormalWeb"/>
        <w:shd w:val="clear" w:color="auto" w:fill="FFFFFF"/>
        <w:spacing w:before="0" w:beforeAutospacing="0" w:after="173" w:afterAutospacing="0"/>
        <w:rPr>
          <w:rFonts w:ascii="Arial" w:hAnsi="Arial" w:cs="Arial"/>
          <w:color w:val="000000"/>
          <w:sz w:val="22"/>
          <w:szCs w:val="22"/>
        </w:rPr>
      </w:pPr>
      <w:r w:rsidRPr="00AD5B7D">
        <w:rPr>
          <w:rFonts w:ascii="Arial" w:hAnsi="Arial" w:cs="Arial"/>
          <w:color w:val="000000"/>
          <w:sz w:val="22"/>
          <w:szCs w:val="22"/>
        </w:rPr>
        <w:t>ASHBY, M.P.J., 2017. The Value of CCTV Surveillance Cameras as an Investigative Tool: An Empirical Analysis. </w:t>
      </w:r>
      <w:r w:rsidRPr="00AD5B7D">
        <w:rPr>
          <w:rFonts w:ascii="Arial" w:hAnsi="Arial" w:cs="Arial"/>
          <w:i/>
          <w:iCs/>
          <w:color w:val="000000"/>
          <w:sz w:val="22"/>
          <w:szCs w:val="22"/>
        </w:rPr>
        <w:t>European Journal on Criminal Policy and Research, </w:t>
      </w:r>
      <w:r w:rsidRPr="00AD5B7D">
        <w:rPr>
          <w:rFonts w:ascii="Arial" w:hAnsi="Arial" w:cs="Arial"/>
          <w:b/>
          <w:bCs/>
          <w:color w:val="000000"/>
          <w:sz w:val="22"/>
          <w:szCs w:val="22"/>
        </w:rPr>
        <w:t>23</w:t>
      </w:r>
      <w:r w:rsidRPr="00AD5B7D">
        <w:rPr>
          <w:rFonts w:ascii="Arial" w:hAnsi="Arial" w:cs="Arial"/>
          <w:color w:val="000000"/>
          <w:sz w:val="22"/>
          <w:szCs w:val="22"/>
        </w:rPr>
        <w:t>, pp. 441-459.</w:t>
      </w:r>
    </w:p>
    <w:p w14:paraId="142F785E" w14:textId="77777777" w:rsidR="000A1A8A" w:rsidRPr="00AD5B7D" w:rsidRDefault="000A1A8A" w:rsidP="000A1A8A">
      <w:pPr>
        <w:pStyle w:val="NormalWeb"/>
        <w:shd w:val="clear" w:color="auto" w:fill="FFFFFF"/>
        <w:spacing w:before="0" w:beforeAutospacing="0" w:after="173" w:afterAutospacing="0"/>
        <w:rPr>
          <w:rFonts w:ascii="Arial" w:hAnsi="Arial" w:cs="Arial"/>
          <w:color w:val="000000"/>
          <w:sz w:val="22"/>
          <w:szCs w:val="22"/>
        </w:rPr>
      </w:pPr>
      <w:r w:rsidRPr="00AD5B7D">
        <w:rPr>
          <w:rFonts w:ascii="Arial" w:hAnsi="Arial" w:cs="Arial"/>
          <w:color w:val="000000"/>
          <w:sz w:val="22"/>
          <w:szCs w:val="22"/>
        </w:rPr>
        <w:t>CHAKRABORTI, N.G., Jon, 2014. </w:t>
      </w:r>
      <w:r w:rsidRPr="00AD5B7D">
        <w:rPr>
          <w:rFonts w:ascii="Arial" w:hAnsi="Arial" w:cs="Arial"/>
          <w:i/>
          <w:iCs/>
          <w:color w:val="000000"/>
          <w:sz w:val="22"/>
          <w:szCs w:val="22"/>
        </w:rPr>
        <w:t>Responding to hate crime; The case for connecting policy and research. </w:t>
      </w:r>
      <w:r w:rsidRPr="00AD5B7D">
        <w:rPr>
          <w:rFonts w:ascii="Arial" w:hAnsi="Arial" w:cs="Arial"/>
          <w:color w:val="000000"/>
          <w:sz w:val="22"/>
          <w:szCs w:val="22"/>
        </w:rPr>
        <w:t xml:space="preserve">1 </w:t>
      </w:r>
      <w:proofErr w:type="spellStart"/>
      <w:r w:rsidRPr="00AD5B7D">
        <w:rPr>
          <w:rFonts w:ascii="Arial" w:hAnsi="Arial" w:cs="Arial"/>
          <w:color w:val="000000"/>
          <w:sz w:val="22"/>
          <w:szCs w:val="22"/>
        </w:rPr>
        <w:t>edn</w:t>
      </w:r>
      <w:proofErr w:type="spellEnd"/>
      <w:r w:rsidRPr="00AD5B7D">
        <w:rPr>
          <w:rFonts w:ascii="Arial" w:hAnsi="Arial" w:cs="Arial"/>
          <w:color w:val="000000"/>
          <w:sz w:val="22"/>
          <w:szCs w:val="22"/>
        </w:rPr>
        <w:t>. Bristol University Press.</w:t>
      </w:r>
    </w:p>
    <w:p w14:paraId="3EB72489" w14:textId="77777777" w:rsidR="00AD5B7D" w:rsidRDefault="00AD5B7D" w:rsidP="00AD5B7D">
      <w:pPr>
        <w:rPr>
          <w:sz w:val="22"/>
          <w:szCs w:val="22"/>
        </w:rPr>
      </w:pPr>
      <w:r w:rsidRPr="00AD5B7D">
        <w:rPr>
          <w:sz w:val="22"/>
          <w:szCs w:val="22"/>
        </w:rPr>
        <w:t>College of Policing. (2021). Domestic abuse: Recognising and responding to victims. [online] Available at: https://www.college.police.uk/guidance/domestic-abuse/recognising-and-responding-victims [Accessed 5 Jun. 2024].</w:t>
      </w:r>
    </w:p>
    <w:p w14:paraId="1177DAED" w14:textId="77777777" w:rsidR="00AD5B7D" w:rsidRPr="00AD5B7D" w:rsidRDefault="00AD5B7D" w:rsidP="00AD5B7D">
      <w:pPr>
        <w:rPr>
          <w:color w:val="auto"/>
          <w:sz w:val="22"/>
          <w:szCs w:val="22"/>
        </w:rPr>
      </w:pPr>
    </w:p>
    <w:p w14:paraId="130171F1" w14:textId="4BEF589A" w:rsidR="00AD5B7D" w:rsidRDefault="00AD5B7D" w:rsidP="00AD5B7D">
      <w:pPr>
        <w:rPr>
          <w:sz w:val="22"/>
          <w:szCs w:val="22"/>
        </w:rPr>
      </w:pPr>
      <w:r w:rsidRPr="00AD5B7D">
        <w:rPr>
          <w:sz w:val="22"/>
          <w:szCs w:val="22"/>
        </w:rPr>
        <w:t>Crown Prosecution Service. (2022). Child witnesses: Special measures. [online] Available at: https://www.cps.gov.uk/legal-guidance/child-witnesses-special-measures [Accessed 5 Jun. 2024].</w:t>
      </w:r>
    </w:p>
    <w:p w14:paraId="45D59D4E" w14:textId="77777777" w:rsidR="00D16CA6" w:rsidRDefault="00D16CA6" w:rsidP="00AD5B7D">
      <w:pPr>
        <w:rPr>
          <w:sz w:val="22"/>
          <w:szCs w:val="22"/>
        </w:rPr>
      </w:pPr>
    </w:p>
    <w:p w14:paraId="397CD9AE" w14:textId="089E8EB6" w:rsidR="00AD5B7D" w:rsidRPr="00AD5B7D" w:rsidRDefault="00AD5B7D" w:rsidP="00AD5B7D">
      <w:pPr>
        <w:rPr>
          <w:sz w:val="22"/>
          <w:szCs w:val="22"/>
        </w:rPr>
      </w:pPr>
      <w:r w:rsidRPr="00AD5B7D">
        <w:rPr>
          <w:sz w:val="22"/>
          <w:szCs w:val="22"/>
        </w:rPr>
        <w:t>Ellis, T., Jenkins, C., and Smith, P. (2015). The Use of Body-Worn Video in Police Public-Order Situations. Policing, 9(4), pp. 455-467.</w:t>
      </w:r>
    </w:p>
    <w:p w14:paraId="44433536" w14:textId="77777777" w:rsidR="00D16CA6" w:rsidRDefault="00D16CA6" w:rsidP="00AD5B7D">
      <w:pPr>
        <w:rPr>
          <w:sz w:val="22"/>
          <w:szCs w:val="22"/>
        </w:rPr>
      </w:pPr>
    </w:p>
    <w:p w14:paraId="05B7CBB8" w14:textId="2F00943A" w:rsidR="00AD5B7D" w:rsidRDefault="00AD5B7D" w:rsidP="00AD5B7D">
      <w:pPr>
        <w:rPr>
          <w:sz w:val="22"/>
          <w:szCs w:val="22"/>
        </w:rPr>
      </w:pPr>
      <w:r w:rsidRPr="00AD5B7D">
        <w:rPr>
          <w:sz w:val="22"/>
          <w:szCs w:val="22"/>
        </w:rPr>
        <w:t>Holt, S., Buckley, H., and Whelan, S. (2008). The impact of exposure to domestic violence on children and young people: A review of the literature. Child Abuse &amp; Neglect, 32(8), pp.797-810.</w:t>
      </w:r>
    </w:p>
    <w:p w14:paraId="092A5D1E" w14:textId="77777777" w:rsidR="00AD5B7D" w:rsidRPr="00AD5B7D" w:rsidRDefault="00AD5B7D" w:rsidP="00AD5B7D">
      <w:pPr>
        <w:rPr>
          <w:sz w:val="22"/>
          <w:szCs w:val="22"/>
        </w:rPr>
      </w:pPr>
    </w:p>
    <w:p w14:paraId="770F0DB5" w14:textId="59B53E14" w:rsidR="00AD5B7D" w:rsidRDefault="00AD5B7D" w:rsidP="00AD5B7D">
      <w:pPr>
        <w:rPr>
          <w:sz w:val="22"/>
          <w:szCs w:val="22"/>
        </w:rPr>
      </w:pPr>
      <w:r w:rsidRPr="00AD5B7D">
        <w:rPr>
          <w:sz w:val="22"/>
          <w:szCs w:val="22"/>
        </w:rPr>
        <w:t>Home Office. (2021). Domestic Abuse Act 2021. [online] Available at: https://www.legislation.gov.uk/ukpga/2021/17/contents/enacted [Accessed 5 Jun. 2024].</w:t>
      </w:r>
    </w:p>
    <w:p w14:paraId="359D37F1" w14:textId="77777777" w:rsidR="00AD5B7D" w:rsidRDefault="00AD5B7D" w:rsidP="00AD5B7D">
      <w:pPr>
        <w:rPr>
          <w:sz w:val="22"/>
          <w:szCs w:val="22"/>
        </w:rPr>
      </w:pPr>
    </w:p>
    <w:p w14:paraId="729243E5" w14:textId="77777777" w:rsidR="00AD5B7D" w:rsidRPr="00AD5B7D" w:rsidRDefault="00AD5B7D" w:rsidP="00AD5B7D">
      <w:pPr>
        <w:rPr>
          <w:sz w:val="22"/>
          <w:szCs w:val="22"/>
        </w:rPr>
      </w:pPr>
    </w:p>
    <w:p w14:paraId="178DDDFB" w14:textId="48DFA147" w:rsidR="00AD5B7D" w:rsidRDefault="00AD5B7D" w:rsidP="00AD5B7D">
      <w:pPr>
        <w:rPr>
          <w:sz w:val="22"/>
          <w:szCs w:val="22"/>
        </w:rPr>
      </w:pPr>
      <w:r w:rsidRPr="00AD5B7D">
        <w:rPr>
          <w:sz w:val="22"/>
          <w:szCs w:val="22"/>
        </w:rPr>
        <w:t>Kitzmann, K.M., Gaylord, N.K., Holt, A.R., and Kenny, E.D. (2003). Child witnesses to domestic violence: a meta-analytic review. Journal of Consulting and Clinical Psychology, 71(2), pp.339-352.</w:t>
      </w:r>
    </w:p>
    <w:p w14:paraId="6DE804B6" w14:textId="77777777" w:rsidR="00AD5B7D" w:rsidRPr="00AD5B7D" w:rsidRDefault="00AD5B7D" w:rsidP="00AD5B7D">
      <w:pPr>
        <w:rPr>
          <w:sz w:val="22"/>
          <w:szCs w:val="22"/>
        </w:rPr>
      </w:pPr>
    </w:p>
    <w:p w14:paraId="38899829" w14:textId="48E3F67E" w:rsidR="00AD5B7D" w:rsidRDefault="00AD5B7D" w:rsidP="00AD5B7D">
      <w:pPr>
        <w:rPr>
          <w:sz w:val="22"/>
          <w:szCs w:val="22"/>
        </w:rPr>
      </w:pPr>
      <w:r w:rsidRPr="00AD5B7D">
        <w:rPr>
          <w:sz w:val="22"/>
          <w:szCs w:val="22"/>
        </w:rPr>
        <w:t>Lum, C., Stoltz, M., Koper, C.S., and Scherer, J.A. (2019). Research on Body-Worn Cameras: What We Know, What We Need to Know. Criminology &amp; Public Policy, 18(1), pp.93-118.</w:t>
      </w:r>
    </w:p>
    <w:p w14:paraId="7315C394" w14:textId="77777777" w:rsidR="00D16CA6" w:rsidRDefault="00D16CA6" w:rsidP="00AD5B7D">
      <w:pPr>
        <w:rPr>
          <w:sz w:val="22"/>
          <w:szCs w:val="22"/>
        </w:rPr>
      </w:pPr>
    </w:p>
    <w:p w14:paraId="6CCEC544" w14:textId="77777777" w:rsidR="00D16CA6" w:rsidRPr="00AD5B7D" w:rsidRDefault="00D16CA6" w:rsidP="00D16CA6">
      <w:pPr>
        <w:pStyle w:val="NormalWeb"/>
        <w:shd w:val="clear" w:color="auto" w:fill="FFFFFF"/>
        <w:spacing w:before="0" w:beforeAutospacing="0" w:after="173" w:afterAutospacing="0"/>
        <w:rPr>
          <w:rFonts w:ascii="Arial" w:hAnsi="Arial" w:cs="Arial"/>
          <w:color w:val="000000"/>
          <w:sz w:val="22"/>
          <w:szCs w:val="22"/>
        </w:rPr>
      </w:pPr>
      <w:r w:rsidRPr="00AD5B7D">
        <w:rPr>
          <w:rFonts w:ascii="Arial" w:hAnsi="Arial" w:cs="Arial"/>
          <w:color w:val="000000"/>
          <w:sz w:val="22"/>
          <w:szCs w:val="22"/>
        </w:rPr>
        <w:t>LUM, C., KOPER, C.S. AND TELEP, C.W., 2011. The Evidence Based Policing Matrix. </w:t>
      </w:r>
      <w:r w:rsidRPr="00AD5B7D">
        <w:rPr>
          <w:rFonts w:ascii="Arial" w:hAnsi="Arial" w:cs="Arial"/>
          <w:i/>
          <w:iCs/>
          <w:color w:val="000000"/>
          <w:sz w:val="22"/>
          <w:szCs w:val="22"/>
        </w:rPr>
        <w:t>Journal of Experimental Criminology, </w:t>
      </w:r>
      <w:r w:rsidRPr="00AD5B7D">
        <w:rPr>
          <w:rFonts w:ascii="Arial" w:hAnsi="Arial" w:cs="Arial"/>
          <w:b/>
          <w:bCs/>
          <w:color w:val="000000"/>
          <w:sz w:val="22"/>
          <w:szCs w:val="22"/>
        </w:rPr>
        <w:t>7</w:t>
      </w:r>
      <w:r w:rsidRPr="00AD5B7D">
        <w:rPr>
          <w:rFonts w:ascii="Arial" w:hAnsi="Arial" w:cs="Arial"/>
          <w:color w:val="000000"/>
          <w:sz w:val="22"/>
          <w:szCs w:val="22"/>
        </w:rPr>
        <w:t>(1), pp. Page 7 pp. 3-26.</w:t>
      </w:r>
    </w:p>
    <w:p w14:paraId="0582AA70" w14:textId="77777777" w:rsidR="00AD5B7D" w:rsidRPr="00AD5B7D" w:rsidRDefault="00AD5B7D" w:rsidP="00AD5B7D">
      <w:pPr>
        <w:rPr>
          <w:sz w:val="22"/>
          <w:szCs w:val="22"/>
        </w:rPr>
      </w:pPr>
    </w:p>
    <w:p w14:paraId="6B75FC97" w14:textId="77777777" w:rsidR="00D16CA6" w:rsidRPr="00AD5B7D" w:rsidRDefault="00D16CA6" w:rsidP="00D16CA6">
      <w:pPr>
        <w:pStyle w:val="NormalWeb"/>
        <w:shd w:val="clear" w:color="auto" w:fill="FFFFFF"/>
        <w:spacing w:before="0" w:beforeAutospacing="0" w:after="173" w:afterAutospacing="0"/>
        <w:rPr>
          <w:rFonts w:ascii="Arial" w:hAnsi="Arial" w:cs="Arial"/>
          <w:color w:val="000000"/>
          <w:sz w:val="22"/>
          <w:szCs w:val="22"/>
        </w:rPr>
      </w:pPr>
      <w:r w:rsidRPr="00AD5B7D">
        <w:rPr>
          <w:rFonts w:ascii="Arial" w:hAnsi="Arial" w:cs="Arial"/>
          <w:color w:val="000000"/>
          <w:sz w:val="22"/>
          <w:szCs w:val="22"/>
        </w:rPr>
        <w:t>MAZEROLLE, L.R., J, 2005. </w:t>
      </w:r>
      <w:r w:rsidRPr="00AD5B7D">
        <w:rPr>
          <w:rFonts w:ascii="Arial" w:hAnsi="Arial" w:cs="Arial"/>
          <w:i/>
          <w:iCs/>
          <w:color w:val="000000"/>
          <w:sz w:val="22"/>
          <w:szCs w:val="22"/>
        </w:rPr>
        <w:t>Third Party Policing. </w:t>
      </w:r>
      <w:r w:rsidRPr="00AD5B7D">
        <w:rPr>
          <w:rFonts w:ascii="Arial" w:hAnsi="Arial" w:cs="Arial"/>
          <w:color w:val="000000"/>
          <w:sz w:val="22"/>
          <w:szCs w:val="22"/>
        </w:rPr>
        <w:t>Cambridge University Press.</w:t>
      </w:r>
    </w:p>
    <w:p w14:paraId="119F3CA8" w14:textId="586CB91E" w:rsidR="00AD5B7D" w:rsidRDefault="00AD5B7D" w:rsidP="00AD5B7D">
      <w:pPr>
        <w:rPr>
          <w:sz w:val="22"/>
          <w:szCs w:val="22"/>
        </w:rPr>
      </w:pPr>
      <w:r w:rsidRPr="00AD5B7D">
        <w:rPr>
          <w:sz w:val="22"/>
          <w:szCs w:val="22"/>
        </w:rPr>
        <w:t>National Domestic Violence Hotline. (2023). Effects of Domestic Violence. [online] Available at: https://www.thehotline.org/effects-of-domestic-violence/ [Accessed 5 Jun. 2024].</w:t>
      </w:r>
    </w:p>
    <w:p w14:paraId="73F4BDD4" w14:textId="77777777" w:rsidR="00AD5B7D" w:rsidRPr="00AD5B7D" w:rsidRDefault="00AD5B7D" w:rsidP="00AD5B7D">
      <w:pPr>
        <w:rPr>
          <w:sz w:val="22"/>
          <w:szCs w:val="22"/>
        </w:rPr>
      </w:pPr>
    </w:p>
    <w:p w14:paraId="24E6B1C1" w14:textId="29112100" w:rsidR="00AD5B7D" w:rsidRDefault="00AD5B7D" w:rsidP="00AD5B7D">
      <w:pPr>
        <w:rPr>
          <w:sz w:val="22"/>
          <w:szCs w:val="22"/>
        </w:rPr>
      </w:pPr>
      <w:r w:rsidRPr="00AD5B7D">
        <w:rPr>
          <w:sz w:val="22"/>
          <w:szCs w:val="22"/>
        </w:rPr>
        <w:t>National Society for the Prevention of Cruelty to Children (NSPCC). (2023). Therapeutic services for children who witness domestic violence. [online] Available at: https://www.nspcc.org.uk/services-and-resources/childrens-services/therapeutic-services/ [Accessed 5 Jun. 2024].</w:t>
      </w:r>
    </w:p>
    <w:p w14:paraId="597123DC" w14:textId="77777777" w:rsidR="00AD5B7D" w:rsidRPr="00AD5B7D" w:rsidRDefault="00AD5B7D" w:rsidP="00AD5B7D">
      <w:pPr>
        <w:rPr>
          <w:sz w:val="22"/>
          <w:szCs w:val="22"/>
        </w:rPr>
      </w:pPr>
    </w:p>
    <w:p w14:paraId="413DFFD9" w14:textId="52D40929" w:rsidR="00AD5B7D" w:rsidRDefault="00AD5B7D" w:rsidP="00AD5B7D">
      <w:pPr>
        <w:rPr>
          <w:sz w:val="22"/>
          <w:szCs w:val="22"/>
        </w:rPr>
      </w:pPr>
      <w:r w:rsidRPr="00AD5B7D">
        <w:rPr>
          <w:sz w:val="22"/>
          <w:szCs w:val="22"/>
        </w:rPr>
        <w:t>Owens, C., Mann, D., and Mckenna, R. (2014). The Essex Body Worn Video Trial: The impact of body worn video on criminal justice outcomes of domestic abuse incidents. Journal of Policing, Intelligence and Counter Terrorism, 9(1), pp.77-97.</w:t>
      </w:r>
    </w:p>
    <w:p w14:paraId="597AD43D" w14:textId="77777777" w:rsidR="00AD5B7D" w:rsidRPr="00AD5B7D" w:rsidRDefault="00AD5B7D" w:rsidP="00AD5B7D">
      <w:pPr>
        <w:rPr>
          <w:sz w:val="22"/>
          <w:szCs w:val="22"/>
        </w:rPr>
      </w:pPr>
    </w:p>
    <w:p w14:paraId="028CED4B" w14:textId="3E907513" w:rsidR="00AD5B7D" w:rsidRDefault="00AD5B7D" w:rsidP="00AD5B7D">
      <w:pPr>
        <w:rPr>
          <w:sz w:val="22"/>
          <w:szCs w:val="22"/>
        </w:rPr>
      </w:pPr>
      <w:proofErr w:type="spellStart"/>
      <w:r w:rsidRPr="00AD5B7D">
        <w:rPr>
          <w:sz w:val="22"/>
          <w:szCs w:val="22"/>
        </w:rPr>
        <w:t>Plotnikoff</w:t>
      </w:r>
      <w:proofErr w:type="spellEnd"/>
      <w:r w:rsidRPr="00AD5B7D">
        <w:rPr>
          <w:sz w:val="22"/>
          <w:szCs w:val="22"/>
        </w:rPr>
        <w:t>, J. and Woolfson, R. (2009). Measuring Up? Evaluating Implementation of Government Commitments to Young Witnesses in Criminal Proceedings. London: NSPCC.</w:t>
      </w:r>
    </w:p>
    <w:p w14:paraId="24D11A67" w14:textId="77777777" w:rsidR="00AD5B7D" w:rsidRPr="00AD5B7D" w:rsidRDefault="00AD5B7D" w:rsidP="00AD5B7D">
      <w:pPr>
        <w:rPr>
          <w:sz w:val="22"/>
          <w:szCs w:val="22"/>
        </w:rPr>
      </w:pPr>
    </w:p>
    <w:p w14:paraId="73781854" w14:textId="2020AF46" w:rsidR="00AD5B7D" w:rsidRDefault="00AD5B7D" w:rsidP="00AD5B7D">
      <w:pPr>
        <w:rPr>
          <w:sz w:val="22"/>
          <w:szCs w:val="22"/>
        </w:rPr>
      </w:pPr>
      <w:proofErr w:type="spellStart"/>
      <w:r w:rsidRPr="00AD5B7D">
        <w:rPr>
          <w:sz w:val="22"/>
          <w:szCs w:val="22"/>
        </w:rPr>
        <w:lastRenderedPageBreak/>
        <w:t>SafeLives</w:t>
      </w:r>
      <w:proofErr w:type="spellEnd"/>
      <w:r w:rsidRPr="00AD5B7D">
        <w:rPr>
          <w:sz w:val="22"/>
          <w:szCs w:val="22"/>
        </w:rPr>
        <w:t>. (2023). MARAC (Multi-Agency Risk Assessment Conference). [online] Available at: https://safelives.org.uk/practice-support/resources-marac-meetings [Accessed 5 Jun. 2024].</w:t>
      </w:r>
    </w:p>
    <w:p w14:paraId="52E05E17" w14:textId="77777777" w:rsidR="00AD5B7D" w:rsidRPr="00AD5B7D" w:rsidRDefault="00AD5B7D" w:rsidP="00AD5B7D">
      <w:pPr>
        <w:rPr>
          <w:sz w:val="22"/>
          <w:szCs w:val="22"/>
        </w:rPr>
      </w:pPr>
    </w:p>
    <w:p w14:paraId="08184306" w14:textId="77777777" w:rsidR="00D16CA6" w:rsidRPr="00AD5B7D" w:rsidRDefault="00D16CA6" w:rsidP="00D16CA6">
      <w:pPr>
        <w:pStyle w:val="NormalWeb"/>
        <w:shd w:val="clear" w:color="auto" w:fill="FFFFFF"/>
        <w:spacing w:before="0" w:beforeAutospacing="0" w:after="173" w:afterAutospacing="0"/>
        <w:rPr>
          <w:rFonts w:ascii="Arial" w:hAnsi="Arial" w:cs="Arial"/>
          <w:color w:val="000000"/>
          <w:sz w:val="22"/>
          <w:szCs w:val="22"/>
        </w:rPr>
      </w:pPr>
      <w:r w:rsidRPr="00AD5B7D">
        <w:rPr>
          <w:rFonts w:ascii="Arial" w:hAnsi="Arial" w:cs="Arial"/>
          <w:color w:val="000000"/>
          <w:sz w:val="22"/>
          <w:szCs w:val="22"/>
        </w:rPr>
        <w:t>UK GOVERNMENT, 26/04/, 2024-last update, Public Order Act 1986, Section 4A. Available: </w:t>
      </w:r>
      <w:hyperlink r:id="rId16" w:tgtFrame="_blank" w:history="1">
        <w:r w:rsidRPr="00AD5B7D">
          <w:rPr>
            <w:rStyle w:val="Hyperlink"/>
            <w:rFonts w:ascii="Arial" w:hAnsi="Arial" w:cs="Arial"/>
            <w:color w:val="0066CC"/>
            <w:sz w:val="22"/>
            <w:szCs w:val="22"/>
          </w:rPr>
          <w:t>https://www.legislation.gov.uk/ukpga/1986/64/section/4A</w:t>
        </w:r>
      </w:hyperlink>
      <w:r w:rsidRPr="00AD5B7D">
        <w:rPr>
          <w:rFonts w:ascii="Arial" w:hAnsi="Arial" w:cs="Arial"/>
          <w:color w:val="000000"/>
          <w:sz w:val="22"/>
          <w:szCs w:val="22"/>
        </w:rPr>
        <w:t> [26/04/, 2024].</w:t>
      </w:r>
    </w:p>
    <w:p w14:paraId="1400D3E1" w14:textId="77777777" w:rsidR="00D16CA6" w:rsidRPr="00AD5B7D" w:rsidRDefault="00D16CA6" w:rsidP="00D16CA6">
      <w:pPr>
        <w:rPr>
          <w:sz w:val="22"/>
          <w:szCs w:val="22"/>
        </w:rPr>
      </w:pPr>
      <w:r w:rsidRPr="00AD5B7D">
        <w:rPr>
          <w:sz w:val="22"/>
          <w:szCs w:val="22"/>
        </w:rPr>
        <w:t>World Health Organization. (2021). Violence against women prevalence estimates, 2018. Geneva: WHO.</w:t>
      </w:r>
    </w:p>
    <w:p w14:paraId="2D456C9B" w14:textId="77777777" w:rsidR="000A1A8A" w:rsidRPr="000A1A8A" w:rsidRDefault="000A1A8A" w:rsidP="00340E9A">
      <w:pPr>
        <w:keepNext/>
        <w:spacing w:before="240" w:after="60"/>
        <w:ind w:right="237"/>
        <w:jc w:val="both"/>
        <w:rPr>
          <w:bCs/>
          <w:sz w:val="24"/>
          <w:szCs w:val="24"/>
        </w:rPr>
      </w:pPr>
    </w:p>
    <w:sectPr w:rsidR="000A1A8A" w:rsidRPr="000A1A8A" w:rsidSect="000427DD">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2E3A86" w14:textId="77777777" w:rsidR="00141783" w:rsidRDefault="00141783">
      <w:r>
        <w:separator/>
      </w:r>
    </w:p>
  </w:endnote>
  <w:endnote w:type="continuationSeparator" w:id="0">
    <w:p w14:paraId="0FECD8EF" w14:textId="77777777" w:rsidR="00141783" w:rsidRDefault="0014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438E1D" w14:textId="77777777" w:rsidR="00141783" w:rsidRDefault="00141783">
      <w:r>
        <w:separator/>
      </w:r>
    </w:p>
  </w:footnote>
  <w:footnote w:type="continuationSeparator" w:id="0">
    <w:p w14:paraId="0F0BA389" w14:textId="77777777" w:rsidR="00141783" w:rsidRDefault="00141783">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2B4FB8E"/>
    <w:lvl w:ilvl="0" w:tplc="2B20F9FE">
      <w:start w:val="1"/>
      <w:numFmt w:val="decimal"/>
      <w:lvlText w:val="%1."/>
      <w:lvlJc w:val="left"/>
      <w:pPr>
        <w:ind w:left="720" w:hanging="360"/>
      </w:pPr>
    </w:lvl>
    <w:lvl w:ilvl="1" w:tplc="529EF94C">
      <w:start w:val="1"/>
      <w:numFmt w:val="lowerLetter"/>
      <w:lvlText w:val="%2."/>
      <w:lvlJc w:val="left"/>
      <w:pPr>
        <w:ind w:left="1440" w:hanging="360"/>
      </w:pPr>
    </w:lvl>
    <w:lvl w:ilvl="2" w:tplc="5AA85256">
      <w:start w:val="1"/>
      <w:numFmt w:val="lowerRoman"/>
      <w:lvlText w:val="%3."/>
      <w:lvlJc w:val="right"/>
      <w:pPr>
        <w:ind w:left="2160" w:hanging="180"/>
      </w:pPr>
    </w:lvl>
    <w:lvl w:ilvl="3" w:tplc="2D14B53E">
      <w:start w:val="1"/>
      <w:numFmt w:val="decimal"/>
      <w:lvlText w:val="%4."/>
      <w:lvlJc w:val="left"/>
      <w:pPr>
        <w:ind w:left="2880" w:hanging="360"/>
      </w:pPr>
    </w:lvl>
    <w:lvl w:ilvl="4" w:tplc="AE849C6E">
      <w:start w:val="1"/>
      <w:numFmt w:val="lowerLetter"/>
      <w:lvlText w:val="%5."/>
      <w:lvlJc w:val="left"/>
      <w:pPr>
        <w:ind w:left="3600" w:hanging="360"/>
      </w:pPr>
    </w:lvl>
    <w:lvl w:ilvl="5" w:tplc="951282B0">
      <w:start w:val="1"/>
      <w:numFmt w:val="lowerRoman"/>
      <w:lvlText w:val="%6."/>
      <w:lvlJc w:val="right"/>
      <w:pPr>
        <w:ind w:left="4320" w:hanging="180"/>
      </w:pPr>
    </w:lvl>
    <w:lvl w:ilvl="6" w:tplc="325EC90E">
      <w:start w:val="1"/>
      <w:numFmt w:val="decimal"/>
      <w:lvlText w:val="%7."/>
      <w:lvlJc w:val="left"/>
      <w:pPr>
        <w:ind w:left="5040" w:hanging="360"/>
      </w:pPr>
    </w:lvl>
    <w:lvl w:ilvl="7" w:tplc="B3EC1840">
      <w:start w:val="1"/>
      <w:numFmt w:val="lowerLetter"/>
      <w:lvlText w:val="%8."/>
      <w:lvlJc w:val="left"/>
      <w:pPr>
        <w:ind w:left="5760" w:hanging="360"/>
      </w:pPr>
    </w:lvl>
    <w:lvl w:ilvl="8" w:tplc="D76E227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47"/>
  </w:num>
  <w:num w:numId="2" w16cid:durableId="1938901848">
    <w:abstractNumId w:val="10"/>
  </w:num>
  <w:num w:numId="3" w16cid:durableId="1470124959">
    <w:abstractNumId w:val="1"/>
    <w:lvlOverride w:ilvl="0">
      <w:lvl w:ilvl="0">
        <w:start w:val="1"/>
        <w:numFmt w:val="bullet"/>
        <w:lvlText w:val=""/>
        <w:lvlJc w:val="left"/>
        <w:pPr>
          <w:ind w:left="720" w:hanging="360"/>
        </w:pPr>
        <w:rPr>
          <w:rFonts w:ascii="Symbol" w:hAnsi="Symbol" w:hint="default"/>
        </w:rPr>
      </w:lvl>
    </w:lvlOverride>
  </w:num>
  <w:num w:numId="4" w16cid:durableId="1106581371">
    <w:abstractNumId w:val="22"/>
  </w:num>
  <w:num w:numId="5" w16cid:durableId="681973665">
    <w:abstractNumId w:val="44"/>
  </w:num>
  <w:num w:numId="6" w16cid:durableId="2030257421">
    <w:abstractNumId w:val="46"/>
  </w:num>
  <w:num w:numId="7" w16cid:durableId="1001156350">
    <w:abstractNumId w:val="34"/>
  </w:num>
  <w:num w:numId="8" w16cid:durableId="693071113">
    <w:abstractNumId w:val="32"/>
  </w:num>
  <w:num w:numId="9" w16cid:durableId="1461191123">
    <w:abstractNumId w:val="29"/>
  </w:num>
  <w:num w:numId="10" w16cid:durableId="47804158">
    <w:abstractNumId w:val="30"/>
  </w:num>
  <w:num w:numId="11" w16cid:durableId="1906380597">
    <w:abstractNumId w:val="9"/>
  </w:num>
  <w:num w:numId="12" w16cid:durableId="1916237999">
    <w:abstractNumId w:val="33"/>
  </w:num>
  <w:num w:numId="13" w16cid:durableId="101875315">
    <w:abstractNumId w:val="17"/>
  </w:num>
  <w:num w:numId="14" w16cid:durableId="1284531750">
    <w:abstractNumId w:val="16"/>
  </w:num>
  <w:num w:numId="15" w16cid:durableId="2067952899">
    <w:abstractNumId w:val="26"/>
  </w:num>
  <w:num w:numId="16" w16cid:durableId="1798572232">
    <w:abstractNumId w:val="7"/>
  </w:num>
  <w:num w:numId="17" w16cid:durableId="1574390430">
    <w:abstractNumId w:val="25"/>
  </w:num>
  <w:num w:numId="18" w16cid:durableId="2029672228">
    <w:abstractNumId w:val="15"/>
  </w:num>
  <w:num w:numId="19" w16cid:durableId="1446851564">
    <w:abstractNumId w:val="13"/>
  </w:num>
  <w:num w:numId="20" w16cid:durableId="4444225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88720080">
    <w:abstractNumId w:val="23"/>
  </w:num>
  <w:num w:numId="22" w16cid:durableId="555354352">
    <w:abstractNumId w:val="18"/>
  </w:num>
  <w:num w:numId="23" w16cid:durableId="398673831">
    <w:abstractNumId w:val="14"/>
  </w:num>
  <w:num w:numId="24" w16cid:durableId="182718511">
    <w:abstractNumId w:val="11"/>
  </w:num>
  <w:num w:numId="25" w16cid:durableId="741802029">
    <w:abstractNumId w:val="27"/>
  </w:num>
  <w:num w:numId="26" w16cid:durableId="1650397480">
    <w:abstractNumId w:val="19"/>
  </w:num>
  <w:num w:numId="27" w16cid:durableId="797259064">
    <w:abstractNumId w:val="40"/>
  </w:num>
  <w:num w:numId="28" w16cid:durableId="1722634903">
    <w:abstractNumId w:val="35"/>
  </w:num>
  <w:num w:numId="29" w16cid:durableId="1249390611">
    <w:abstractNumId w:val="39"/>
  </w:num>
  <w:num w:numId="30" w16cid:durableId="1344282584">
    <w:abstractNumId w:val="20"/>
  </w:num>
  <w:num w:numId="31" w16cid:durableId="1746609829">
    <w:abstractNumId w:val="42"/>
  </w:num>
  <w:num w:numId="32" w16cid:durableId="1988586761">
    <w:abstractNumId w:val="31"/>
  </w:num>
  <w:num w:numId="33" w16cid:durableId="1557475669">
    <w:abstractNumId w:val="12"/>
  </w:num>
  <w:num w:numId="34" w16cid:durableId="2114667185">
    <w:abstractNumId w:val="43"/>
  </w:num>
  <w:num w:numId="35" w16cid:durableId="1402630006">
    <w:abstractNumId w:val="38"/>
  </w:num>
  <w:num w:numId="36" w16cid:durableId="2135364684">
    <w:abstractNumId w:val="4"/>
  </w:num>
  <w:num w:numId="37" w16cid:durableId="1523282661">
    <w:abstractNumId w:val="45"/>
  </w:num>
  <w:num w:numId="38" w16cid:durableId="384984533">
    <w:abstractNumId w:val="41"/>
  </w:num>
  <w:num w:numId="39" w16cid:durableId="119036455">
    <w:abstractNumId w:val="36"/>
  </w:num>
  <w:num w:numId="40" w16cid:durableId="186407522">
    <w:abstractNumId w:val="37"/>
  </w:num>
  <w:num w:numId="41" w16cid:durableId="538278770">
    <w:abstractNumId w:val="3"/>
  </w:num>
  <w:num w:numId="42" w16cid:durableId="270403961">
    <w:abstractNumId w:val="5"/>
  </w:num>
  <w:num w:numId="43" w16cid:durableId="375279222">
    <w:abstractNumId w:val="24"/>
  </w:num>
  <w:num w:numId="44" w16cid:durableId="865367823">
    <w:abstractNumId w:val="6"/>
  </w:num>
  <w:num w:numId="45" w16cid:durableId="30696390">
    <w:abstractNumId w:val="2"/>
  </w:num>
  <w:num w:numId="46" w16cid:durableId="2036300638">
    <w:abstractNumId w:val="0"/>
  </w:num>
  <w:num w:numId="47" w16cid:durableId="1663193171">
    <w:abstractNumId w:val="21"/>
  </w:num>
  <w:num w:numId="48" w16cid:durableId="1686589403">
    <w:abstractNumId w:val="28"/>
  </w:num>
  <w:num w:numId="49" w16cid:durableId="339695764">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E02"/>
    <w:rsid w:val="00003990"/>
    <w:rsid w:val="000045B8"/>
    <w:rsid w:val="00020EEC"/>
    <w:rsid w:val="00025650"/>
    <w:rsid w:val="00026FAB"/>
    <w:rsid w:val="00027B1F"/>
    <w:rsid w:val="0003088B"/>
    <w:rsid w:val="000325D9"/>
    <w:rsid w:val="000372B2"/>
    <w:rsid w:val="0004079F"/>
    <w:rsid w:val="000427DD"/>
    <w:rsid w:val="00045B87"/>
    <w:rsid w:val="00045C07"/>
    <w:rsid w:val="00055D43"/>
    <w:rsid w:val="00056FAC"/>
    <w:rsid w:val="00057751"/>
    <w:rsid w:val="00062E39"/>
    <w:rsid w:val="0006580E"/>
    <w:rsid w:val="00080E58"/>
    <w:rsid w:val="00082F42"/>
    <w:rsid w:val="00083D99"/>
    <w:rsid w:val="00084EA6"/>
    <w:rsid w:val="00085699"/>
    <w:rsid w:val="00087891"/>
    <w:rsid w:val="00091F52"/>
    <w:rsid w:val="00092970"/>
    <w:rsid w:val="00092BC7"/>
    <w:rsid w:val="00093720"/>
    <w:rsid w:val="000938E6"/>
    <w:rsid w:val="00093B3C"/>
    <w:rsid w:val="0009488C"/>
    <w:rsid w:val="00095C1B"/>
    <w:rsid w:val="00096DEA"/>
    <w:rsid w:val="000A1A8A"/>
    <w:rsid w:val="000A4240"/>
    <w:rsid w:val="000A469A"/>
    <w:rsid w:val="000B1E96"/>
    <w:rsid w:val="000C378F"/>
    <w:rsid w:val="000C6892"/>
    <w:rsid w:val="000C6FFE"/>
    <w:rsid w:val="000C7F52"/>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1783"/>
    <w:rsid w:val="001447F6"/>
    <w:rsid w:val="00147DE3"/>
    <w:rsid w:val="00150794"/>
    <w:rsid w:val="001608C4"/>
    <w:rsid w:val="001666E2"/>
    <w:rsid w:val="001668C0"/>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0AA9"/>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4D4F"/>
    <w:rsid w:val="00255D8E"/>
    <w:rsid w:val="002657E9"/>
    <w:rsid w:val="0026665E"/>
    <w:rsid w:val="00270EEB"/>
    <w:rsid w:val="0027147E"/>
    <w:rsid w:val="00274DE8"/>
    <w:rsid w:val="002761F4"/>
    <w:rsid w:val="002775E1"/>
    <w:rsid w:val="00277979"/>
    <w:rsid w:val="002808EB"/>
    <w:rsid w:val="0028095D"/>
    <w:rsid w:val="00280DE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B0C"/>
    <w:rsid w:val="002E7017"/>
    <w:rsid w:val="002F4CB8"/>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C9A"/>
    <w:rsid w:val="00365DF9"/>
    <w:rsid w:val="0036668D"/>
    <w:rsid w:val="00372DB4"/>
    <w:rsid w:val="0037490C"/>
    <w:rsid w:val="00375AF5"/>
    <w:rsid w:val="003761BD"/>
    <w:rsid w:val="003769F6"/>
    <w:rsid w:val="00385414"/>
    <w:rsid w:val="0038604D"/>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7AD2"/>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78E4"/>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5A3E"/>
    <w:rsid w:val="004B600B"/>
    <w:rsid w:val="004B6822"/>
    <w:rsid w:val="004B69F6"/>
    <w:rsid w:val="004C2D3A"/>
    <w:rsid w:val="004D03C4"/>
    <w:rsid w:val="004D0BF1"/>
    <w:rsid w:val="004D24D2"/>
    <w:rsid w:val="004D358A"/>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0E1"/>
    <w:rsid w:val="00521123"/>
    <w:rsid w:val="00521221"/>
    <w:rsid w:val="005227DD"/>
    <w:rsid w:val="005264F8"/>
    <w:rsid w:val="0052789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35D3"/>
    <w:rsid w:val="005C6CE5"/>
    <w:rsid w:val="005C76DE"/>
    <w:rsid w:val="005D14A1"/>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B63C4"/>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0613"/>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40D0"/>
    <w:rsid w:val="007F5497"/>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4629"/>
    <w:rsid w:val="008D5813"/>
    <w:rsid w:val="008D634E"/>
    <w:rsid w:val="008D778A"/>
    <w:rsid w:val="008E12C3"/>
    <w:rsid w:val="008F22BD"/>
    <w:rsid w:val="009079BD"/>
    <w:rsid w:val="00912BD9"/>
    <w:rsid w:val="00916CFB"/>
    <w:rsid w:val="00920E5B"/>
    <w:rsid w:val="009249F8"/>
    <w:rsid w:val="00926436"/>
    <w:rsid w:val="00926918"/>
    <w:rsid w:val="0093018C"/>
    <w:rsid w:val="00932CCA"/>
    <w:rsid w:val="00935020"/>
    <w:rsid w:val="009544C0"/>
    <w:rsid w:val="00954FA4"/>
    <w:rsid w:val="00956AE9"/>
    <w:rsid w:val="009573B7"/>
    <w:rsid w:val="0096130E"/>
    <w:rsid w:val="00964CC6"/>
    <w:rsid w:val="009874C6"/>
    <w:rsid w:val="00991FDA"/>
    <w:rsid w:val="009927A1"/>
    <w:rsid w:val="00995F8E"/>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6B06"/>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A44"/>
    <w:rsid w:val="00A94C5E"/>
    <w:rsid w:val="00AA241A"/>
    <w:rsid w:val="00AA252C"/>
    <w:rsid w:val="00AA666E"/>
    <w:rsid w:val="00AB5518"/>
    <w:rsid w:val="00AC01D4"/>
    <w:rsid w:val="00AC4A04"/>
    <w:rsid w:val="00AD336F"/>
    <w:rsid w:val="00AD3550"/>
    <w:rsid w:val="00AD5B7D"/>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1D73"/>
    <w:rsid w:val="00B558EB"/>
    <w:rsid w:val="00B577D3"/>
    <w:rsid w:val="00B60466"/>
    <w:rsid w:val="00B6548F"/>
    <w:rsid w:val="00B7502A"/>
    <w:rsid w:val="00B76C1B"/>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281C"/>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C0"/>
    <w:rsid w:val="00C54AED"/>
    <w:rsid w:val="00C55B2F"/>
    <w:rsid w:val="00C63D00"/>
    <w:rsid w:val="00C6441B"/>
    <w:rsid w:val="00C65F0D"/>
    <w:rsid w:val="00C7108B"/>
    <w:rsid w:val="00C8089F"/>
    <w:rsid w:val="00C82250"/>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E5126"/>
    <w:rsid w:val="00CF1E90"/>
    <w:rsid w:val="00CF3DB3"/>
    <w:rsid w:val="00D052BC"/>
    <w:rsid w:val="00D07026"/>
    <w:rsid w:val="00D07BAB"/>
    <w:rsid w:val="00D11C62"/>
    <w:rsid w:val="00D16CA6"/>
    <w:rsid w:val="00D22C8F"/>
    <w:rsid w:val="00D33491"/>
    <w:rsid w:val="00D44F8E"/>
    <w:rsid w:val="00D44FD0"/>
    <w:rsid w:val="00D539FB"/>
    <w:rsid w:val="00D5733C"/>
    <w:rsid w:val="00D57617"/>
    <w:rsid w:val="00D607EF"/>
    <w:rsid w:val="00D60F88"/>
    <w:rsid w:val="00D625E7"/>
    <w:rsid w:val="00D646BD"/>
    <w:rsid w:val="00D70239"/>
    <w:rsid w:val="00D71201"/>
    <w:rsid w:val="00D720C7"/>
    <w:rsid w:val="00D77A04"/>
    <w:rsid w:val="00D81D06"/>
    <w:rsid w:val="00D84BBF"/>
    <w:rsid w:val="00D8652C"/>
    <w:rsid w:val="00D876E6"/>
    <w:rsid w:val="00DA0821"/>
    <w:rsid w:val="00DA1025"/>
    <w:rsid w:val="00DA22EC"/>
    <w:rsid w:val="00DA5860"/>
    <w:rsid w:val="00DB1A49"/>
    <w:rsid w:val="00DB2767"/>
    <w:rsid w:val="00DC4729"/>
    <w:rsid w:val="00DE556F"/>
    <w:rsid w:val="00E03B6D"/>
    <w:rsid w:val="00E0649E"/>
    <w:rsid w:val="00E17160"/>
    <w:rsid w:val="00E35BEC"/>
    <w:rsid w:val="00E42DF0"/>
    <w:rsid w:val="00E50821"/>
    <w:rsid w:val="00E50EF8"/>
    <w:rsid w:val="00E51F91"/>
    <w:rsid w:val="00E65C0E"/>
    <w:rsid w:val="00E676F7"/>
    <w:rsid w:val="00E7086E"/>
    <w:rsid w:val="00E7184A"/>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03B44"/>
    <w:rsid w:val="00F10A08"/>
    <w:rsid w:val="00F139CF"/>
    <w:rsid w:val="00F22AC5"/>
    <w:rsid w:val="00F254D1"/>
    <w:rsid w:val="00F32B82"/>
    <w:rsid w:val="00F4043E"/>
    <w:rsid w:val="00F40CB5"/>
    <w:rsid w:val="00F41BBC"/>
    <w:rsid w:val="00F43B9D"/>
    <w:rsid w:val="00F444F0"/>
    <w:rsid w:val="00F50847"/>
    <w:rsid w:val="00F53F27"/>
    <w:rsid w:val="00F546D1"/>
    <w:rsid w:val="00F56E62"/>
    <w:rsid w:val="00F6513F"/>
    <w:rsid w:val="00F66272"/>
    <w:rsid w:val="00F6ACA0"/>
    <w:rsid w:val="00F709C0"/>
    <w:rsid w:val="00F85346"/>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2EFF"/>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PlainText">
    <w:name w:val="Plain Text"/>
    <w:basedOn w:val="Normal"/>
    <w:link w:val="PlainTextChar"/>
    <w:uiPriority w:val="99"/>
    <w:semiHidden/>
    <w:unhideWhenUsed/>
    <w:rsid w:val="000A1A8A"/>
    <w:pPr>
      <w:overflowPunct/>
      <w:autoSpaceDE/>
      <w:autoSpaceDN/>
      <w:adjustRightInd/>
      <w:textAlignment w:val="auto"/>
    </w:pPr>
    <w:rPr>
      <w:rFonts w:ascii="Calibr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0A1A8A"/>
    <w:rPr>
      <w:rFonts w:ascii="Calibri" w:hAnsi="Calibri" w:cstheme="minorBidi"/>
      <w:kern w:val="2"/>
      <w:sz w:val="22"/>
      <w:szCs w:val="21"/>
      <w:lang w:eastAsia="en-US"/>
      <w14:ligatures w14:val="standardContextual"/>
    </w:rPr>
  </w:style>
  <w:style w:type="paragraph" w:styleId="NormalWeb">
    <w:name w:val="Normal (Web)"/>
    <w:basedOn w:val="Normal"/>
    <w:uiPriority w:val="99"/>
    <w:semiHidden/>
    <w:unhideWhenUsed/>
    <w:rsid w:val="000A1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96044">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2891452">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2807188">
      <w:bodyDiv w:val="1"/>
      <w:marLeft w:val="0"/>
      <w:marRight w:val="0"/>
      <w:marTop w:val="0"/>
      <w:marBottom w:val="0"/>
      <w:divBdr>
        <w:top w:val="none" w:sz="0" w:space="0" w:color="auto"/>
        <w:left w:val="none" w:sz="0" w:space="0" w:color="auto"/>
        <w:bottom w:val="none" w:sz="0" w:space="0" w:color="auto"/>
        <w:right w:val="none" w:sz="0" w:space="0" w:color="auto"/>
      </w:divBdr>
    </w:div>
    <w:div w:id="157905055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legislation.gov.uk/ukpga/1986/64/section/4A"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5974</Words>
  <Characters>34053</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Pepperell,Simon swp8524</cp:lastModifiedBy>
  <cp:revision>2</cp:revision>
  <cp:lastPrinted>2014-08-26T08:55:00Z</cp:lastPrinted>
  <dcterms:created xsi:type="dcterms:W3CDTF">2024-07-16T10:33:00Z</dcterms:created>
  <dcterms:modified xsi:type="dcterms:W3CDTF">2024-07-16T10:33:00Z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2024-04-17T12:12:02Z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c6c45318-8b79-401c-b8ae-843e4acba286</vt:lpwstr>
  </property>
  <property fmtid="{D5CDD505-2E9C-101B-9397-08002B2CF9AE}" pid="9" name="MSIP_Label_66cf8fe5-b7b7-4df7-b38d-1c61ac2f6639_ContentBits">
    <vt:lpwstr>0</vt:lpwstr>
  </property>
</Properties>
</file>