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D3737" w:rsidRPr="00D61FD2" w:rsidRDefault="00AD3737" w:rsidP="00D61FD2">
      <w:pPr>
        <w:pStyle w:val="Heading1"/>
        <w:spacing w:before="0" w:line="360" w:lineRule="auto"/>
        <w:rPr>
          <w:bCs w:val="0"/>
          <w:color w:val="0E101A"/>
        </w:rPr>
      </w:pPr>
      <w:r w:rsidRPr="00D61FD2">
        <w:rPr>
          <w:bCs w:val="0"/>
          <w:color w:val="0E101A"/>
        </w:rPr>
        <w:t>Introduction</w:t>
      </w:r>
    </w:p>
    <w:p w:rsidR="00AD3737" w:rsidRDefault="00AD3737" w:rsidP="00D61FD2">
      <w:pPr>
        <w:pStyle w:val="NormalWeb"/>
        <w:spacing w:after="0" w:line="360" w:lineRule="auto"/>
        <w:jc w:val="both"/>
        <w:rPr>
          <w:color w:val="0E101A"/>
        </w:rPr>
      </w:pPr>
      <w:r>
        <w:rPr>
          <w:color w:val="0E101A"/>
        </w:rPr>
        <w:t>The presentation will focus on the Healthier You Programme initiated by the NHS to increase awareness of people with type 2 diabetes. The presentation's main focus will be on the aim of this health promotion, its target audience and the outcome of this intervention. Healthcare interventions that include community health professionals in diabetes management seek to enhance patient care and self-management practices.</w:t>
      </w:r>
    </w:p>
    <w:p w:rsidR="00AD3737" w:rsidRDefault="00AD3737" w:rsidP="00D61FD2">
      <w:pPr>
        <w:pStyle w:val="NormalWeb"/>
        <w:spacing w:after="0" w:line="360" w:lineRule="auto"/>
        <w:jc w:val="both"/>
        <w:rPr>
          <w:color w:val="0E101A"/>
        </w:rPr>
      </w:pPr>
      <w:r>
        <w:rPr>
          <w:rStyle w:val="Strong"/>
          <w:color w:val="0E101A"/>
        </w:rPr>
        <w:t>Health Promotion </w:t>
      </w:r>
    </w:p>
    <w:p w:rsidR="00AD3737" w:rsidRDefault="00AD3737" w:rsidP="00D61FD2">
      <w:pPr>
        <w:pStyle w:val="NormalWeb"/>
        <w:spacing w:after="0" w:line="360" w:lineRule="auto"/>
        <w:jc w:val="both"/>
        <w:rPr>
          <w:color w:val="0E101A"/>
        </w:rPr>
      </w:pPr>
      <w:r>
        <w:rPr>
          <w:color w:val="0E101A"/>
        </w:rPr>
        <w:t>Health promotion empowers individuals to take charge of their well-being and make positive changes. It shifts the emphasis from individual actions to various environmental and societal initiatives. Individuals at high risk of getting type 2 diabetes are referred to a nine-month, evidence-based lifestyle modification course by the Healthier You NHS Diabetes Prevention course, also called the Healthier You programme.</w:t>
      </w:r>
    </w:p>
    <w:p w:rsidR="00AD3737" w:rsidRDefault="00AD3737" w:rsidP="00D61FD2">
      <w:pPr>
        <w:pStyle w:val="NormalWeb"/>
        <w:spacing w:after="0" w:line="360" w:lineRule="auto"/>
        <w:jc w:val="both"/>
        <w:rPr>
          <w:color w:val="0E101A"/>
        </w:rPr>
      </w:pPr>
      <w:r>
        <w:rPr>
          <w:color w:val="0E101A"/>
        </w:rPr>
        <w:t>The Healthier You programme has two delivery methods: online and in-person group sessions. Those referred to the programme have the option to select either one. In the in-person group programme, participants get individualized encouragement to lower their body mass index (BMI), eat healthier, and increase their physical activity; these lifestyle changes have been associated with a decreased risk of acquiring type 2 diabetes.</w:t>
      </w:r>
    </w:p>
    <w:p w:rsidR="00AD3737" w:rsidRDefault="00AD3737" w:rsidP="00D61FD2">
      <w:pPr>
        <w:pStyle w:val="NormalWeb"/>
        <w:spacing w:after="0" w:line="360" w:lineRule="auto"/>
        <w:jc w:val="both"/>
        <w:rPr>
          <w:color w:val="0E101A"/>
        </w:rPr>
      </w:pPr>
      <w:r>
        <w:rPr>
          <w:color w:val="0E101A"/>
        </w:rPr>
        <w:t>The digital service provides the same assistance with digital tools like fitness trackers. These applications connect users to health coaches, virtual support groups, and electronic goal-setting and tracking. The Healthier You NHS Diabetes Prevention Programme has saved thousands of lives by reducing the number of new cases of type 2 diabetes in England, according to research. Those who stick with the plan for the whole duration reduce their chance of getting type 2 diabetes by almost 35%.</w:t>
      </w:r>
    </w:p>
    <w:p w:rsidR="00AD3737" w:rsidRDefault="00AD3737" w:rsidP="00D61FD2">
      <w:pPr>
        <w:pStyle w:val="NormalWeb"/>
        <w:spacing w:after="0" w:line="360" w:lineRule="auto"/>
        <w:jc w:val="both"/>
        <w:rPr>
          <w:color w:val="0E101A"/>
        </w:rPr>
      </w:pPr>
      <w:r>
        <w:rPr>
          <w:color w:val="0E101A"/>
        </w:rPr>
        <w:t>While there is no way to prevent type 1 diabetes, type 2 diabetes can be significantly decreased by altering one's lifestyle. The most prevalent form of diabetes, type 2, affects two million people in England who are at high risk of developing the condition. It is the leading cause of preventable blindness in working-age adults and a major risk factor for heart attacks, strokes, and kidney failure. Diabetes type 2 affects over 90% of people with the disease. For people with type 2 diabetes, the risk of hospital-acquir</w:t>
      </w:r>
      <w:bookmarkStart w:id="0" w:name="_GoBack"/>
      <w:bookmarkEnd w:id="0"/>
      <w:r>
        <w:rPr>
          <w:color w:val="0E101A"/>
        </w:rPr>
        <w:t>ed COVID-19 mortality is doubled when compared to those without the illness.</w:t>
      </w:r>
    </w:p>
    <w:p w:rsidR="00AD3737" w:rsidRDefault="00AD3737" w:rsidP="00D61FD2">
      <w:pPr>
        <w:pStyle w:val="NormalWeb"/>
        <w:spacing w:after="0" w:line="360" w:lineRule="auto"/>
        <w:jc w:val="both"/>
        <w:rPr>
          <w:color w:val="0E101A"/>
        </w:rPr>
      </w:pPr>
      <w:r>
        <w:rPr>
          <w:color w:val="0E101A"/>
        </w:rPr>
        <w:lastRenderedPageBreak/>
        <w:t>Diabetes develops when either the pancreas does not make enough insulin, or the body does not make good use of the insulin it does make. It is the job of the hormone insulin to control blood sugar levels. The neurological system and blood vessels are among the many systems in the body that can be negatively affected by hyperglycemia or elevated blood sugar, a common consequence of uncontrolled diabetes</w:t>
      </w:r>
      <w:r w:rsidR="00D61FD2">
        <w:rPr>
          <w:color w:val="0E101A"/>
        </w:rPr>
        <w:t xml:space="preserve"> (McCardle, 2022</w:t>
      </w:r>
      <w:r>
        <w:rPr>
          <w:color w:val="0E101A"/>
        </w:rPr>
        <w:t>). Medications, lifestyle modifications and close monitoring and treatment of complications can all help keep Diabetes under control and delay or prevent its worst consequences. Lower limb amputation, cardiovascular disease, stroke, kidney failure, and blindness are all increased risks in people with Diabetes. Eating properly, exercising often, maintaining a normal weight, and not smoking are crucial to avoid diabetes.</w:t>
      </w:r>
    </w:p>
    <w:p w:rsidR="00AD3737" w:rsidRDefault="00AD3737" w:rsidP="00D61FD2">
      <w:pPr>
        <w:pStyle w:val="NormalWeb"/>
        <w:spacing w:after="0" w:line="360" w:lineRule="auto"/>
        <w:jc w:val="both"/>
        <w:rPr>
          <w:color w:val="0E101A"/>
        </w:rPr>
      </w:pPr>
      <w:r>
        <w:rPr>
          <w:color w:val="0E101A"/>
        </w:rPr>
        <w:t>An increasing number of people are being affected by this challenging condition, and it has also grown increasingly frequent among adolescents, particularly among specific ethnic groups, due to the increasing incidence of obesity (Centers for Disease Control and Prevention, 2023). The comparatively low-cost measurement of blood glucose allows for early detection. Insulin shots are life-sustaining for those who have type 1 diabetes. Maintaining a healthy lifestyle is crucial when dealing with Diabetes. The International Diabetes Federation reports that more than half of all cases of type 2 diabetes may be avoided. To keep blood sugar levels under control, it is essential to follow a healthy, balanced diet, exercise regularly, and take medicine as prescribed.</w:t>
      </w:r>
    </w:p>
    <w:p w:rsidR="00AD3737" w:rsidRDefault="00AD3737" w:rsidP="00D61FD2">
      <w:pPr>
        <w:pStyle w:val="NormalWeb"/>
        <w:spacing w:after="0" w:line="360" w:lineRule="auto"/>
        <w:jc w:val="both"/>
        <w:rPr>
          <w:color w:val="0E101A"/>
        </w:rPr>
      </w:pPr>
      <w:r>
        <w:rPr>
          <w:color w:val="0E101A"/>
        </w:rPr>
        <w:t>Healthier You Program aims to make people aware that people with Diabetes frequently require blood pressure medication and statins to lessen the likelihood of problems in addition to glucose-lowering drugs (Min and Stephens, 2021). Diabetes complications may necessitate further medical treatment, such as:</w:t>
      </w:r>
    </w:p>
    <w:p w:rsidR="00AD3737" w:rsidRDefault="00AD3737" w:rsidP="00D61FD2">
      <w:pPr>
        <w:numPr>
          <w:ilvl w:val="0"/>
          <w:numId w:val="11"/>
        </w:numPr>
        <w:spacing w:after="0" w:line="360" w:lineRule="auto"/>
        <w:jc w:val="both"/>
        <w:rPr>
          <w:color w:val="0E101A"/>
        </w:rPr>
      </w:pPr>
      <w:r>
        <w:rPr>
          <w:color w:val="0E101A"/>
        </w:rPr>
        <w:t>foot care</w:t>
      </w:r>
    </w:p>
    <w:p w:rsidR="00AD3737" w:rsidRDefault="00AD3737" w:rsidP="00D61FD2">
      <w:pPr>
        <w:numPr>
          <w:ilvl w:val="0"/>
          <w:numId w:val="11"/>
        </w:numPr>
        <w:spacing w:after="0" w:line="360" w:lineRule="auto"/>
        <w:jc w:val="both"/>
        <w:rPr>
          <w:color w:val="0E101A"/>
        </w:rPr>
      </w:pPr>
      <w:r>
        <w:rPr>
          <w:color w:val="0E101A"/>
        </w:rPr>
        <w:t>Kidney disease screenings and treatment</w:t>
      </w:r>
    </w:p>
    <w:p w:rsidR="00AD3737" w:rsidRDefault="00AD3737" w:rsidP="00D61FD2">
      <w:pPr>
        <w:numPr>
          <w:ilvl w:val="0"/>
          <w:numId w:val="11"/>
        </w:numPr>
        <w:spacing w:after="0" w:line="360" w:lineRule="auto"/>
        <w:jc w:val="both"/>
        <w:rPr>
          <w:color w:val="0E101A"/>
        </w:rPr>
      </w:pPr>
      <w:r>
        <w:rPr>
          <w:color w:val="0E101A"/>
        </w:rPr>
        <w:t>Regular eye exams are necessary to detect retinopathy, which can lead to blindness (Juszczak and Owen, 2017).</w:t>
      </w:r>
    </w:p>
    <w:p w:rsidR="00AD3737" w:rsidRDefault="00AD3737" w:rsidP="00D61FD2">
      <w:pPr>
        <w:pStyle w:val="NormalWeb"/>
        <w:spacing w:after="0" w:line="360" w:lineRule="auto"/>
        <w:jc w:val="both"/>
        <w:rPr>
          <w:color w:val="0E101A"/>
        </w:rPr>
      </w:pPr>
      <w:r>
        <w:rPr>
          <w:color w:val="0E101A"/>
        </w:rPr>
        <w:t>The presentation also focuses on the initiatives taken by the WHO. The World Health Organization (WHO) intends to encourage and support adopting efficient measures to monitor, prevent, and treat diabetes and its complications effectively, particularly in countries with low or medium economic levels. The World Health Organization (WHO) performs a wide range of tasks, including the following:</w:t>
      </w:r>
    </w:p>
    <w:p w:rsidR="00AD3737" w:rsidRDefault="00AD3737" w:rsidP="00D61FD2">
      <w:pPr>
        <w:numPr>
          <w:ilvl w:val="0"/>
          <w:numId w:val="12"/>
        </w:numPr>
        <w:spacing w:after="0" w:line="360" w:lineRule="auto"/>
        <w:jc w:val="both"/>
        <w:rPr>
          <w:color w:val="0E101A"/>
        </w:rPr>
      </w:pPr>
      <w:r>
        <w:rPr>
          <w:color w:val="0E101A"/>
        </w:rPr>
        <w:lastRenderedPageBreak/>
        <w:t>Observing World Diabetes Day to raise awareness of the global diabetes epidemic.</w:t>
      </w:r>
    </w:p>
    <w:p w:rsidR="00AD3737" w:rsidRDefault="00AD3737" w:rsidP="00D61FD2">
      <w:pPr>
        <w:numPr>
          <w:ilvl w:val="0"/>
          <w:numId w:val="12"/>
        </w:numPr>
        <w:spacing w:after="0" w:line="360" w:lineRule="auto"/>
        <w:jc w:val="both"/>
        <w:rPr>
          <w:color w:val="0E101A"/>
        </w:rPr>
      </w:pPr>
      <w:r>
        <w:rPr>
          <w:color w:val="0E101A"/>
        </w:rPr>
        <w:t>Developing guidelines for the accurate diagnosis and treatment of diabetes.</w:t>
      </w:r>
    </w:p>
    <w:p w:rsidR="00AD3737" w:rsidRDefault="00AD3737" w:rsidP="00D61FD2">
      <w:pPr>
        <w:numPr>
          <w:ilvl w:val="0"/>
          <w:numId w:val="12"/>
        </w:numPr>
        <w:spacing w:after="0" w:line="360" w:lineRule="auto"/>
        <w:jc w:val="both"/>
        <w:rPr>
          <w:color w:val="0E101A"/>
        </w:rPr>
      </w:pPr>
      <w:r>
        <w:rPr>
          <w:color w:val="0E101A"/>
        </w:rPr>
        <w:t>Monitoring the disease and its risk factors.</w:t>
      </w:r>
    </w:p>
    <w:p w:rsidR="00AD3737" w:rsidRDefault="00AD3737" w:rsidP="00D61FD2">
      <w:pPr>
        <w:numPr>
          <w:ilvl w:val="0"/>
          <w:numId w:val="12"/>
        </w:numPr>
        <w:spacing w:after="0" w:line="360" w:lineRule="auto"/>
        <w:jc w:val="both"/>
        <w:rPr>
          <w:color w:val="0E101A"/>
        </w:rPr>
      </w:pPr>
      <w:r>
        <w:rPr>
          <w:color w:val="0E101A"/>
        </w:rPr>
        <w:t>Providing scientific advice for the prevention of serious non-communicable diseases like diabetes.</w:t>
      </w:r>
    </w:p>
    <w:p w:rsidR="00AD3737" w:rsidRDefault="00AD3737" w:rsidP="00D61FD2">
      <w:pPr>
        <w:pStyle w:val="NormalWeb"/>
        <w:spacing w:after="0" w:line="360" w:lineRule="auto"/>
        <w:jc w:val="both"/>
        <w:rPr>
          <w:color w:val="0E101A"/>
        </w:rPr>
      </w:pPr>
      <w:r>
        <w:rPr>
          <w:color w:val="0E101A"/>
        </w:rPr>
        <w:t>The World Health Organization (WHO) established the Global Diabetes Compact in 2022 to support low- and middle-income countries in their fight against diabetes (World Health Organization, 2023). To better prevent and manage Diabetes, the World Health Assembly passed a resolution. Five worldwide goals for diabetes care and treatment were approved by the World Health Assembly in 2022 and are to be accomplished by 2030.</w:t>
      </w:r>
    </w:p>
    <w:p w:rsidR="00AD3737" w:rsidRDefault="00AD3737" w:rsidP="00D61FD2">
      <w:pPr>
        <w:pStyle w:val="NormalWeb"/>
        <w:spacing w:after="0" w:line="360" w:lineRule="auto"/>
        <w:jc w:val="both"/>
        <w:rPr>
          <w:color w:val="0E101A"/>
        </w:rPr>
      </w:pPr>
      <w:r>
        <w:rPr>
          <w:color w:val="0E101A"/>
        </w:rPr>
        <w:t>Research shows that individuals with prediabetes can lower their chance of acquiring diabetes by 60% if they participate in a program to improve their lifestyle systematically. Diabetes monitoring is now part of a more thorough population-based surveillance system, with waist circumference as a short-term surrogate for diabetes risk.</w:t>
      </w:r>
    </w:p>
    <w:p w:rsidR="00AD3737" w:rsidRDefault="00AD3737" w:rsidP="00D61FD2">
      <w:pPr>
        <w:pStyle w:val="NormalWeb"/>
        <w:spacing w:after="0" w:line="360" w:lineRule="auto"/>
        <w:jc w:val="both"/>
        <w:rPr>
          <w:color w:val="0E101A"/>
        </w:rPr>
      </w:pPr>
      <w:r>
        <w:rPr>
          <w:color w:val="0E101A"/>
        </w:rPr>
        <w:t>The plan specifies that biochemical evaluations and other improved monitoring will be part of a future effort to conduct a more thorough evaluation. As part of a comprehensive, long-term, culturally competent, and resource-conscious program, it is crucial to incorporate health services for high-risk populations into efforts to prevent diabetes and increase the detection of new cases. The Program aims to maximize control of risk factors, a common theme across various noncommunicable diseases (Fox et al., 2015). All types of medical professionals are welcome to participate in the CME program. Ensuring anti-diabetics are available at all healthcare levels is another important aspect of the approach. It has also been considered crucial to strengthen health system capacity and coalitions that advocate for diabetes prevention. Following the advice of community leaders, serving the community, forming relationships, and sharing information are all part of the plan (Balakumar, Maung-U and Jagadeesh, 2016).</w:t>
      </w:r>
    </w:p>
    <w:p w:rsidR="00AD3737" w:rsidRDefault="00AD3737" w:rsidP="00D61FD2">
      <w:pPr>
        <w:pStyle w:val="NormalWeb"/>
        <w:spacing w:after="0" w:line="360" w:lineRule="auto"/>
        <w:jc w:val="both"/>
        <w:rPr>
          <w:color w:val="0E101A"/>
        </w:rPr>
      </w:pPr>
      <w:r>
        <w:rPr>
          <w:rStyle w:val="Strong"/>
          <w:color w:val="0E101A"/>
        </w:rPr>
        <w:t>Conclusion </w:t>
      </w:r>
    </w:p>
    <w:p w:rsidR="00AD3737" w:rsidRDefault="00AD3737" w:rsidP="00D61FD2">
      <w:pPr>
        <w:pStyle w:val="NormalWeb"/>
        <w:spacing w:after="0" w:line="360" w:lineRule="auto"/>
        <w:jc w:val="both"/>
        <w:rPr>
          <w:color w:val="0E101A"/>
        </w:rPr>
      </w:pPr>
      <w:r>
        <w:rPr>
          <w:color w:val="0E101A"/>
        </w:rPr>
        <w:t>The Healthier You Programme, an NHS initiative to raise awareness of type 2 diabetes, will be the main topic of the presentation. The goals, intended recipients, and outcomes of this health promotion activity will form the backbone of the production. Improving patient care and self-management practises are the goals of healthcare initiatives that include community health workers in diabetes treatment.</w:t>
      </w: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300562" w:rsidP="00300562">
      <w:pPr>
        <w:spacing w:line="360" w:lineRule="auto"/>
        <w:jc w:val="both"/>
      </w:pPr>
    </w:p>
    <w:p w:rsidR="00300562" w:rsidRDefault="00B60D1C" w:rsidP="00300562">
      <w:pPr>
        <w:pStyle w:val="Heading1"/>
        <w:jc w:val="center"/>
      </w:pPr>
      <w:r>
        <w:t>References</w:t>
      </w:r>
    </w:p>
    <w:p w:rsidR="00A041C9" w:rsidRPr="00E41437" w:rsidRDefault="00B60D1C" w:rsidP="00300562">
      <w:pPr>
        <w:spacing w:after="0" w:line="360" w:lineRule="auto"/>
        <w:ind w:left="567" w:hanging="567"/>
        <w:jc w:val="both"/>
        <w:rPr>
          <w:rFonts w:eastAsia="Times New Roman" w:cs="Times New Roman"/>
          <w:kern w:val="0"/>
          <w:szCs w:val="24"/>
          <w14:ligatures w14:val="none"/>
        </w:rPr>
      </w:pPr>
      <w:r w:rsidRPr="00E41437">
        <w:rPr>
          <w:rFonts w:cs="Times New Roman"/>
          <w:szCs w:val="24"/>
        </w:rPr>
        <w:t>Centres for Disease Control and Prevention (2023). </w:t>
      </w:r>
      <w:r w:rsidRPr="00E41437">
        <w:rPr>
          <w:rFonts w:cs="Times New Roman"/>
          <w:i/>
          <w:iCs/>
          <w:szCs w:val="24"/>
        </w:rPr>
        <w:t>What Is Diabetes?</w:t>
      </w:r>
      <w:r w:rsidRPr="00E41437">
        <w:rPr>
          <w:rFonts w:cs="Times New Roman"/>
          <w:szCs w:val="24"/>
        </w:rPr>
        <w:t xml:space="preserve"> [online] Centers for Disease Control and Prevention. Available at: </w:t>
      </w:r>
      <w:hyperlink r:id="rId8" w:history="1">
        <w:r w:rsidRPr="00E41437">
          <w:rPr>
            <w:rStyle w:val="Hyperlink"/>
            <w:rFonts w:cs="Times New Roman"/>
            <w:color w:val="auto"/>
            <w:szCs w:val="24"/>
          </w:rPr>
          <w:t>https://www.cdc.gov/diabetes/basics/diabetes.html</w:t>
        </w:r>
      </w:hyperlink>
      <w:r w:rsidRPr="00E41437">
        <w:rPr>
          <w:rFonts w:cs="Times New Roman"/>
          <w:szCs w:val="24"/>
        </w:rPr>
        <w:t>.</w:t>
      </w:r>
    </w:p>
    <w:p w:rsidR="00A041C9" w:rsidRPr="00E41437" w:rsidRDefault="00D61FD2" w:rsidP="00300562">
      <w:pPr>
        <w:spacing w:line="360" w:lineRule="auto"/>
        <w:ind w:left="567" w:hanging="567"/>
        <w:jc w:val="both"/>
        <w:rPr>
          <w:rFonts w:cs="Times New Roman"/>
          <w:szCs w:val="24"/>
        </w:rPr>
      </w:pPr>
      <w:r>
        <w:rPr>
          <w:rFonts w:cs="Times New Roman"/>
          <w:szCs w:val="24"/>
        </w:rPr>
        <w:t>McCardle, J. (2022</w:t>
      </w:r>
      <w:r w:rsidR="00B60D1C" w:rsidRPr="00E41437">
        <w:rPr>
          <w:rFonts w:cs="Times New Roman"/>
          <w:szCs w:val="24"/>
        </w:rPr>
        <w:t>). The diabetic foot: a core component of diabetes management. Diabetes Management, 5(2), pp.63–65. doi:https://doi.org/10.2217/dmt.14.60.</w:t>
      </w:r>
    </w:p>
    <w:p w:rsidR="00665C96" w:rsidRPr="00E41437" w:rsidRDefault="00B60D1C" w:rsidP="00300562">
      <w:pPr>
        <w:spacing w:line="360" w:lineRule="auto"/>
        <w:ind w:left="567" w:hanging="567"/>
        <w:jc w:val="both"/>
        <w:rPr>
          <w:rFonts w:cs="Times New Roman"/>
          <w:szCs w:val="24"/>
        </w:rPr>
      </w:pPr>
      <w:r w:rsidRPr="00E41437">
        <w:rPr>
          <w:rFonts w:cs="Times New Roman"/>
          <w:szCs w:val="24"/>
        </w:rPr>
        <w:t>Aponte, J. (2015). Diabetes Training for Community Health Workers. </w:t>
      </w:r>
      <w:r w:rsidRPr="00E41437">
        <w:rPr>
          <w:rFonts w:cs="Times New Roman"/>
          <w:i/>
          <w:iCs/>
          <w:szCs w:val="24"/>
        </w:rPr>
        <w:t>Journal of Community Medicine &amp; Health Education</w:t>
      </w:r>
      <w:r w:rsidRPr="00E41437">
        <w:rPr>
          <w:rFonts w:cs="Times New Roman"/>
          <w:szCs w:val="24"/>
        </w:rPr>
        <w:t>, 05(06). doi:https://doi.org/10.4172/2161-0711.1000378.</w:t>
      </w:r>
    </w:p>
    <w:p w:rsidR="00A041C9" w:rsidRPr="00E41437" w:rsidRDefault="00AD3737" w:rsidP="00300562">
      <w:pPr>
        <w:spacing w:line="360" w:lineRule="auto"/>
        <w:ind w:left="567" w:hanging="567"/>
        <w:jc w:val="both"/>
        <w:rPr>
          <w:rFonts w:cs="Times New Roman"/>
          <w:szCs w:val="24"/>
        </w:rPr>
      </w:pPr>
      <w:r>
        <w:rPr>
          <w:rFonts w:cs="Times New Roman"/>
          <w:szCs w:val="24"/>
        </w:rPr>
        <w:t>Min, T. and Stephens, J.W. (2021</w:t>
      </w:r>
      <w:r w:rsidR="00B60D1C" w:rsidRPr="00E41437">
        <w:rPr>
          <w:rFonts w:cs="Times New Roman"/>
          <w:szCs w:val="24"/>
        </w:rPr>
        <w:t>). Targeting abdominal obesity in Diabetes. </w:t>
      </w:r>
      <w:r w:rsidR="00B60D1C" w:rsidRPr="00E41437">
        <w:rPr>
          <w:rFonts w:cs="Times New Roman"/>
          <w:i/>
          <w:iCs/>
          <w:szCs w:val="24"/>
        </w:rPr>
        <w:t>Diabetes Management</w:t>
      </w:r>
      <w:r w:rsidR="00B60D1C" w:rsidRPr="00E41437">
        <w:rPr>
          <w:rFonts w:cs="Times New Roman"/>
          <w:szCs w:val="24"/>
        </w:rPr>
        <w:t>, 5(4), pp.301–309. doi:https://doi.org/10.2217/dmt.15.14.</w:t>
      </w:r>
    </w:p>
    <w:p w:rsidR="00A041C9" w:rsidRPr="00E41437" w:rsidRDefault="00B60D1C" w:rsidP="00300562">
      <w:pPr>
        <w:spacing w:line="360" w:lineRule="auto"/>
        <w:ind w:left="567" w:hanging="567"/>
        <w:jc w:val="both"/>
        <w:rPr>
          <w:rFonts w:cs="Times New Roman"/>
          <w:szCs w:val="24"/>
        </w:rPr>
      </w:pPr>
      <w:r w:rsidRPr="00E41437">
        <w:rPr>
          <w:rFonts w:cs="Times New Roman"/>
          <w:szCs w:val="24"/>
        </w:rPr>
        <w:lastRenderedPageBreak/>
        <w:t>Bowles, K. (2014). Management of Diabetes within a secure environment. </w:t>
      </w:r>
      <w:r w:rsidRPr="00E41437">
        <w:rPr>
          <w:rFonts w:cs="Times New Roman"/>
          <w:i/>
          <w:iCs/>
          <w:szCs w:val="24"/>
        </w:rPr>
        <w:t>Practical Diabetes</w:t>
      </w:r>
      <w:r w:rsidRPr="00E41437">
        <w:rPr>
          <w:rFonts w:cs="Times New Roman"/>
          <w:szCs w:val="24"/>
        </w:rPr>
        <w:t>, 31(2), pp.62–66. doi:https://doi.org/10.1002/pdi.1834.</w:t>
      </w:r>
    </w:p>
    <w:p w:rsidR="00665C96" w:rsidRPr="00E41437" w:rsidRDefault="00B60D1C" w:rsidP="00300562">
      <w:pPr>
        <w:spacing w:after="0" w:line="360" w:lineRule="auto"/>
        <w:ind w:left="567" w:hanging="567"/>
        <w:jc w:val="both"/>
        <w:rPr>
          <w:rFonts w:eastAsia="Times New Roman" w:cs="Times New Roman"/>
          <w:kern w:val="0"/>
          <w:szCs w:val="24"/>
          <w14:ligatures w14:val="none"/>
        </w:rPr>
      </w:pPr>
      <w:r>
        <w:rPr>
          <w:rFonts w:eastAsia="Times New Roman" w:cs="Times New Roman"/>
          <w:kern w:val="0"/>
          <w:szCs w:val="24"/>
          <w14:ligatures w14:val="none"/>
        </w:rPr>
        <w:t>Juszczak, A. and Owen, K. (2017</w:t>
      </w:r>
      <w:r w:rsidRPr="00665C96">
        <w:rPr>
          <w:rFonts w:eastAsia="Times New Roman" w:cs="Times New Roman"/>
          <w:kern w:val="0"/>
          <w:szCs w:val="24"/>
          <w14:ligatures w14:val="none"/>
        </w:rPr>
        <w:t xml:space="preserve">). We are identifying subtypes of monogenic Diabetes. </w:t>
      </w:r>
      <w:r w:rsidRPr="00665C96">
        <w:rPr>
          <w:rFonts w:eastAsia="Times New Roman" w:cs="Times New Roman"/>
          <w:i/>
          <w:iCs/>
          <w:kern w:val="0"/>
          <w:szCs w:val="24"/>
          <w14:ligatures w14:val="none"/>
        </w:rPr>
        <w:t>Diabetes Management</w:t>
      </w:r>
      <w:r w:rsidRPr="00665C96">
        <w:rPr>
          <w:rFonts w:eastAsia="Times New Roman" w:cs="Times New Roman"/>
          <w:kern w:val="0"/>
          <w:szCs w:val="24"/>
          <w14:ligatures w14:val="none"/>
        </w:rPr>
        <w:t>, 4(1), pp.49–61. doi:https://doi.org/10.2217/dmt.13.59.</w:t>
      </w:r>
    </w:p>
    <w:p w:rsidR="00147CF5" w:rsidRDefault="00B60D1C" w:rsidP="00300562">
      <w:pPr>
        <w:spacing w:after="0" w:line="360" w:lineRule="auto"/>
        <w:ind w:left="567" w:hanging="567"/>
        <w:jc w:val="both"/>
        <w:rPr>
          <w:rFonts w:eastAsia="Times New Roman" w:cs="Times New Roman"/>
          <w:kern w:val="0"/>
          <w:szCs w:val="24"/>
          <w14:ligatures w14:val="none"/>
        </w:rPr>
      </w:pPr>
      <w:r w:rsidRPr="00147CF5">
        <w:rPr>
          <w:rFonts w:eastAsia="Times New Roman" w:cs="Times New Roman"/>
          <w:kern w:val="0"/>
          <w:szCs w:val="24"/>
          <w14:ligatures w14:val="none"/>
        </w:rPr>
        <w:t>Fox, C.S., Golden, S.H., Anderson, C., Bray, G.A., Burke, L.E., de Boer, I.H., Deedwania, P., Eckel, R.H., Ershow, A.G., Fradkin, J., Inzucchi, S.E., Kosiborod, M., Nelson, R.G., Patel, M.J., Pignone, M., Quinn, L., Schauer, P.R., Selvin, E. and Vafiadis, D.K. (2015). Update on Prevention of Cardiovascular Disease in Adults With Type 2 Diabetes Mellitus in Light of Recent Evidence. </w:t>
      </w:r>
      <w:r w:rsidRPr="00147CF5">
        <w:rPr>
          <w:rFonts w:eastAsia="Times New Roman" w:cs="Times New Roman"/>
          <w:i/>
          <w:iCs/>
          <w:kern w:val="0"/>
          <w:szCs w:val="24"/>
          <w14:ligatures w14:val="none"/>
        </w:rPr>
        <w:t>Circulation</w:t>
      </w:r>
      <w:r w:rsidRPr="00147CF5">
        <w:rPr>
          <w:rFonts w:eastAsia="Times New Roman" w:cs="Times New Roman"/>
          <w:kern w:val="0"/>
          <w:szCs w:val="24"/>
          <w14:ligatures w14:val="none"/>
        </w:rPr>
        <w:t>, 132(8), pp.691–718. doi:https://doi.org/10.1161/cir.0000000000000230.</w:t>
      </w:r>
    </w:p>
    <w:p w:rsidR="00CE472D" w:rsidRPr="00E41437" w:rsidRDefault="00CE472D" w:rsidP="00CE472D">
      <w:pPr>
        <w:spacing w:line="360" w:lineRule="auto"/>
        <w:ind w:left="567" w:hanging="567"/>
        <w:jc w:val="both"/>
        <w:rPr>
          <w:rFonts w:cs="Times New Roman"/>
          <w:szCs w:val="24"/>
          <w:shd w:val="clear" w:color="auto" w:fill="FFFFFF"/>
        </w:rPr>
      </w:pPr>
      <w:r w:rsidRPr="00E41437">
        <w:rPr>
          <w:rFonts w:cs="Times New Roman"/>
          <w:szCs w:val="24"/>
          <w:shd w:val="clear" w:color="auto" w:fill="FFFFFF"/>
        </w:rPr>
        <w:t>Gom</w:t>
      </w:r>
      <w:r>
        <w:rPr>
          <w:rFonts w:cs="Times New Roman"/>
          <w:szCs w:val="24"/>
          <w:shd w:val="clear" w:color="auto" w:fill="FFFFFF"/>
        </w:rPr>
        <w:t>es, M.B. and Negrato, C.A. (2017</w:t>
      </w:r>
      <w:r w:rsidRPr="00E41437">
        <w:rPr>
          <w:rFonts w:cs="Times New Roman"/>
          <w:szCs w:val="24"/>
          <w:shd w:val="clear" w:color="auto" w:fill="FFFFFF"/>
        </w:rPr>
        <w:t>). Alpha-lipoic acid is a pleiotropic compound with potential therapeutic use in Diabetes and other chronic diseases. </w:t>
      </w:r>
      <w:r w:rsidRPr="00E41437">
        <w:rPr>
          <w:rFonts w:cs="Times New Roman"/>
          <w:i/>
          <w:iCs/>
          <w:szCs w:val="24"/>
          <w:shd w:val="clear" w:color="auto" w:fill="FFFFFF"/>
        </w:rPr>
        <w:t>Diabetology &amp; Metabolic Syndrome</w:t>
      </w:r>
      <w:r w:rsidRPr="00E41437">
        <w:rPr>
          <w:rFonts w:cs="Times New Roman"/>
          <w:szCs w:val="24"/>
          <w:shd w:val="clear" w:color="auto" w:fill="FFFFFF"/>
        </w:rPr>
        <w:t>, 6(1). doi:https://doi.org/10.1186/1758-5996-6-80.</w:t>
      </w:r>
    </w:p>
    <w:p w:rsidR="00CE472D" w:rsidRPr="00E41437" w:rsidRDefault="00CE472D" w:rsidP="00CE472D">
      <w:pPr>
        <w:spacing w:line="360" w:lineRule="auto"/>
        <w:ind w:left="567" w:hanging="567"/>
        <w:jc w:val="both"/>
        <w:rPr>
          <w:rFonts w:cs="Times New Roman"/>
          <w:szCs w:val="24"/>
          <w:shd w:val="clear" w:color="auto" w:fill="FFFFFF"/>
        </w:rPr>
      </w:pPr>
      <w:r w:rsidRPr="00E41437">
        <w:rPr>
          <w:rFonts w:cs="Times New Roman"/>
          <w:szCs w:val="24"/>
          <w:shd w:val="clear" w:color="auto" w:fill="FFFFFF"/>
        </w:rPr>
        <w:t>Balakumar, P., Maung-U, K. and Jagadeesh, G. (2016). Prevalence and prevention of cardiovascular disease and diabetes mellitus. </w:t>
      </w:r>
      <w:r w:rsidRPr="00E41437">
        <w:rPr>
          <w:rFonts w:cs="Times New Roman"/>
          <w:i/>
          <w:iCs/>
          <w:szCs w:val="24"/>
          <w:shd w:val="clear" w:color="auto" w:fill="FFFFFF"/>
        </w:rPr>
        <w:t>Pharmacological Research</w:t>
      </w:r>
      <w:r w:rsidRPr="00E41437">
        <w:rPr>
          <w:rFonts w:cs="Times New Roman"/>
          <w:szCs w:val="24"/>
          <w:shd w:val="clear" w:color="auto" w:fill="FFFFFF"/>
        </w:rPr>
        <w:t>, 113, pp.600–609. doi:https://doi.org/10.1016/j.phrs.2016.09.040.</w:t>
      </w:r>
    </w:p>
    <w:p w:rsidR="00CE472D" w:rsidRPr="00E41437" w:rsidRDefault="00CE472D" w:rsidP="00CE472D">
      <w:pPr>
        <w:spacing w:after="0" w:line="360" w:lineRule="auto"/>
        <w:ind w:left="567" w:hanging="567"/>
        <w:jc w:val="both"/>
        <w:rPr>
          <w:rFonts w:eastAsia="Times New Roman" w:cs="Times New Roman"/>
          <w:kern w:val="0"/>
          <w:szCs w:val="24"/>
          <w14:ligatures w14:val="none"/>
        </w:rPr>
      </w:pPr>
      <w:r w:rsidRPr="00665C96">
        <w:rPr>
          <w:rFonts w:eastAsia="Times New Roman" w:cs="Times New Roman"/>
          <w:kern w:val="0"/>
          <w:szCs w:val="24"/>
          <w14:ligatures w14:val="none"/>
        </w:rPr>
        <w:t>World Health Organization (2023). </w:t>
      </w:r>
      <w:r w:rsidRPr="00665C96">
        <w:rPr>
          <w:rFonts w:eastAsia="Times New Roman" w:cs="Times New Roman"/>
          <w:i/>
          <w:iCs/>
          <w:kern w:val="0"/>
          <w:szCs w:val="24"/>
          <w14:ligatures w14:val="none"/>
        </w:rPr>
        <w:t>Diabetes</w:t>
      </w:r>
      <w:r w:rsidRPr="00665C96">
        <w:rPr>
          <w:rFonts w:eastAsia="Times New Roman" w:cs="Times New Roman"/>
          <w:kern w:val="0"/>
          <w:szCs w:val="24"/>
          <w14:ligatures w14:val="none"/>
        </w:rPr>
        <w:t xml:space="preserve">. [online] World Health Organisation. Available at: </w:t>
      </w:r>
      <w:hyperlink r:id="rId9" w:history="1">
        <w:r w:rsidRPr="00E41437">
          <w:rPr>
            <w:rStyle w:val="Hyperlink"/>
            <w:rFonts w:eastAsia="Times New Roman" w:cs="Times New Roman"/>
            <w:color w:val="auto"/>
            <w:kern w:val="0"/>
            <w:szCs w:val="24"/>
            <w14:ligatures w14:val="none"/>
          </w:rPr>
          <w:t>https://www.who.int/news-room/fact-sheets/detail/diabetes</w:t>
        </w:r>
      </w:hyperlink>
      <w:r w:rsidRPr="00665C96">
        <w:rPr>
          <w:rFonts w:eastAsia="Times New Roman" w:cs="Times New Roman"/>
          <w:kern w:val="0"/>
          <w:szCs w:val="24"/>
          <w14:ligatures w14:val="none"/>
        </w:rPr>
        <w:t>.</w:t>
      </w:r>
    </w:p>
    <w:p w:rsidR="00CE472D" w:rsidRPr="00147CF5" w:rsidRDefault="00CE472D" w:rsidP="00300562">
      <w:pPr>
        <w:spacing w:after="0" w:line="360" w:lineRule="auto"/>
        <w:ind w:left="567" w:hanging="567"/>
        <w:jc w:val="both"/>
        <w:rPr>
          <w:rFonts w:eastAsia="Times New Roman" w:cs="Times New Roman"/>
          <w:kern w:val="0"/>
          <w:szCs w:val="24"/>
          <w14:ligatures w14:val="none"/>
        </w:rPr>
      </w:pPr>
    </w:p>
    <w:p w:rsidR="00147CF5" w:rsidRPr="00147CF5" w:rsidRDefault="00B60D1C" w:rsidP="00E41437">
      <w:pPr>
        <w:spacing w:before="100" w:beforeAutospacing="1" w:after="100" w:afterAutospacing="1" w:line="360" w:lineRule="auto"/>
        <w:jc w:val="both"/>
        <w:rPr>
          <w:rFonts w:eastAsia="Times New Roman" w:cs="Times New Roman"/>
          <w:kern w:val="0"/>
          <w:szCs w:val="24"/>
          <w14:ligatures w14:val="none"/>
        </w:rPr>
      </w:pPr>
      <w:r w:rsidRPr="00147CF5">
        <w:rPr>
          <w:rFonts w:eastAsia="Times New Roman" w:cs="Times New Roman"/>
          <w:kern w:val="0"/>
          <w:szCs w:val="24"/>
          <w14:ligatures w14:val="none"/>
        </w:rPr>
        <w:t>‌</w:t>
      </w:r>
    </w:p>
    <w:p w:rsidR="00147CF5" w:rsidRPr="00665C96" w:rsidRDefault="00147CF5" w:rsidP="00665C96">
      <w:pPr>
        <w:spacing w:after="0" w:line="360" w:lineRule="atLeast"/>
        <w:rPr>
          <w:rFonts w:ascii="Calibri" w:eastAsia="Times New Roman" w:hAnsi="Calibri" w:cs="Calibri"/>
          <w:color w:val="000000"/>
          <w:kern w:val="0"/>
          <w:sz w:val="27"/>
          <w:szCs w:val="27"/>
          <w14:ligatures w14:val="none"/>
        </w:rPr>
      </w:pPr>
    </w:p>
    <w:p w:rsidR="00665C96" w:rsidRPr="00665C96" w:rsidRDefault="00B60D1C" w:rsidP="00665C96">
      <w:pPr>
        <w:spacing w:before="100" w:beforeAutospacing="1" w:after="100" w:afterAutospacing="1" w:line="240" w:lineRule="auto"/>
        <w:rPr>
          <w:rFonts w:ascii="Calibri" w:eastAsia="Times New Roman" w:hAnsi="Calibri" w:cs="Calibri"/>
          <w:color w:val="000000"/>
          <w:kern w:val="0"/>
          <w:sz w:val="27"/>
          <w:szCs w:val="27"/>
          <w14:ligatures w14:val="none"/>
        </w:rPr>
      </w:pPr>
      <w:r w:rsidRPr="00665C96">
        <w:rPr>
          <w:rFonts w:ascii="Calibri" w:eastAsia="Times New Roman" w:hAnsi="Calibri" w:cs="Calibri"/>
          <w:color w:val="000000"/>
          <w:kern w:val="0"/>
          <w:sz w:val="27"/>
          <w:szCs w:val="27"/>
          <w14:ligatures w14:val="none"/>
        </w:rPr>
        <w:t>‌</w:t>
      </w:r>
    </w:p>
    <w:p w:rsidR="00665C96" w:rsidRPr="00611F91" w:rsidRDefault="00665C96" w:rsidP="00611F91"/>
    <w:p w:rsidR="00611F91" w:rsidRDefault="00611F91"/>
    <w:sectPr w:rsidR="00611F91">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03B9" w:rsidRDefault="00D503B9">
      <w:pPr>
        <w:spacing w:after="0" w:line="240" w:lineRule="auto"/>
      </w:pPr>
      <w:r>
        <w:separator/>
      </w:r>
    </w:p>
  </w:endnote>
  <w:endnote w:type="continuationSeparator" w:id="0">
    <w:p w:rsidR="00D503B9" w:rsidRDefault="00D50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03B9" w:rsidRDefault="00D503B9">
      <w:pPr>
        <w:spacing w:after="0" w:line="240" w:lineRule="auto"/>
      </w:pPr>
      <w:r>
        <w:separator/>
      </w:r>
    </w:p>
  </w:footnote>
  <w:footnote w:type="continuationSeparator" w:id="0">
    <w:p w:rsidR="00D503B9" w:rsidRDefault="00D503B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62150862"/>
      <w:docPartObj>
        <w:docPartGallery w:val="Page Numbers (Top of Page)"/>
        <w:docPartUnique/>
      </w:docPartObj>
    </w:sdtPr>
    <w:sdtEndPr>
      <w:rPr>
        <w:noProof/>
      </w:rPr>
    </w:sdtEndPr>
    <w:sdtContent>
      <w:p w:rsidR="00A402EB" w:rsidRDefault="00B60D1C">
        <w:pPr>
          <w:pStyle w:val="Header"/>
          <w:jc w:val="right"/>
        </w:pPr>
        <w:r>
          <w:fldChar w:fldCharType="begin"/>
        </w:r>
        <w:r>
          <w:instrText xml:space="preserve"> PAGE   \* MERGEFORMAT </w:instrText>
        </w:r>
        <w:r>
          <w:fldChar w:fldCharType="separate"/>
        </w:r>
        <w:r w:rsidR="008B4E9A">
          <w:rPr>
            <w:noProof/>
          </w:rPr>
          <w:t>2</w:t>
        </w:r>
        <w:r>
          <w:rPr>
            <w:noProof/>
          </w:rPr>
          <w:fldChar w:fldCharType="end"/>
        </w:r>
      </w:p>
    </w:sdtContent>
  </w:sdt>
  <w:p w:rsidR="00A402EB" w:rsidRDefault="00A402E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542859"/>
    <w:multiLevelType w:val="hybridMultilevel"/>
    <w:tmpl w:val="4E06AD3E"/>
    <w:lvl w:ilvl="0" w:tplc="D61A350A">
      <w:start w:val="1"/>
      <w:numFmt w:val="bullet"/>
      <w:lvlText w:val="•"/>
      <w:lvlJc w:val="left"/>
      <w:pPr>
        <w:tabs>
          <w:tab w:val="num" w:pos="720"/>
        </w:tabs>
        <w:ind w:left="720" w:hanging="360"/>
      </w:pPr>
      <w:rPr>
        <w:rFonts w:ascii="Arial" w:hAnsi="Arial" w:hint="default"/>
      </w:rPr>
    </w:lvl>
    <w:lvl w:ilvl="1" w:tplc="4CA6EFB8" w:tentative="1">
      <w:start w:val="1"/>
      <w:numFmt w:val="bullet"/>
      <w:lvlText w:val="•"/>
      <w:lvlJc w:val="left"/>
      <w:pPr>
        <w:tabs>
          <w:tab w:val="num" w:pos="1440"/>
        </w:tabs>
        <w:ind w:left="1440" w:hanging="360"/>
      </w:pPr>
      <w:rPr>
        <w:rFonts w:ascii="Arial" w:hAnsi="Arial" w:hint="default"/>
      </w:rPr>
    </w:lvl>
    <w:lvl w:ilvl="2" w:tplc="F9000D8C" w:tentative="1">
      <w:start w:val="1"/>
      <w:numFmt w:val="bullet"/>
      <w:lvlText w:val="•"/>
      <w:lvlJc w:val="left"/>
      <w:pPr>
        <w:tabs>
          <w:tab w:val="num" w:pos="2160"/>
        </w:tabs>
        <w:ind w:left="2160" w:hanging="360"/>
      </w:pPr>
      <w:rPr>
        <w:rFonts w:ascii="Arial" w:hAnsi="Arial" w:hint="default"/>
      </w:rPr>
    </w:lvl>
    <w:lvl w:ilvl="3" w:tplc="15908770" w:tentative="1">
      <w:start w:val="1"/>
      <w:numFmt w:val="bullet"/>
      <w:lvlText w:val="•"/>
      <w:lvlJc w:val="left"/>
      <w:pPr>
        <w:tabs>
          <w:tab w:val="num" w:pos="2880"/>
        </w:tabs>
        <w:ind w:left="2880" w:hanging="360"/>
      </w:pPr>
      <w:rPr>
        <w:rFonts w:ascii="Arial" w:hAnsi="Arial" w:hint="default"/>
      </w:rPr>
    </w:lvl>
    <w:lvl w:ilvl="4" w:tplc="3FB09632" w:tentative="1">
      <w:start w:val="1"/>
      <w:numFmt w:val="bullet"/>
      <w:lvlText w:val="•"/>
      <w:lvlJc w:val="left"/>
      <w:pPr>
        <w:tabs>
          <w:tab w:val="num" w:pos="3600"/>
        </w:tabs>
        <w:ind w:left="3600" w:hanging="360"/>
      </w:pPr>
      <w:rPr>
        <w:rFonts w:ascii="Arial" w:hAnsi="Arial" w:hint="default"/>
      </w:rPr>
    </w:lvl>
    <w:lvl w:ilvl="5" w:tplc="AA56449E" w:tentative="1">
      <w:start w:val="1"/>
      <w:numFmt w:val="bullet"/>
      <w:lvlText w:val="•"/>
      <w:lvlJc w:val="left"/>
      <w:pPr>
        <w:tabs>
          <w:tab w:val="num" w:pos="4320"/>
        </w:tabs>
        <w:ind w:left="4320" w:hanging="360"/>
      </w:pPr>
      <w:rPr>
        <w:rFonts w:ascii="Arial" w:hAnsi="Arial" w:hint="default"/>
      </w:rPr>
    </w:lvl>
    <w:lvl w:ilvl="6" w:tplc="B7EC4630" w:tentative="1">
      <w:start w:val="1"/>
      <w:numFmt w:val="bullet"/>
      <w:lvlText w:val="•"/>
      <w:lvlJc w:val="left"/>
      <w:pPr>
        <w:tabs>
          <w:tab w:val="num" w:pos="5040"/>
        </w:tabs>
        <w:ind w:left="5040" w:hanging="360"/>
      </w:pPr>
      <w:rPr>
        <w:rFonts w:ascii="Arial" w:hAnsi="Arial" w:hint="default"/>
      </w:rPr>
    </w:lvl>
    <w:lvl w:ilvl="7" w:tplc="34703D06" w:tentative="1">
      <w:start w:val="1"/>
      <w:numFmt w:val="bullet"/>
      <w:lvlText w:val="•"/>
      <w:lvlJc w:val="left"/>
      <w:pPr>
        <w:tabs>
          <w:tab w:val="num" w:pos="5760"/>
        </w:tabs>
        <w:ind w:left="5760" w:hanging="360"/>
      </w:pPr>
      <w:rPr>
        <w:rFonts w:ascii="Arial" w:hAnsi="Arial" w:hint="default"/>
      </w:rPr>
    </w:lvl>
    <w:lvl w:ilvl="8" w:tplc="6556057A" w:tentative="1">
      <w:start w:val="1"/>
      <w:numFmt w:val="bullet"/>
      <w:lvlText w:val="•"/>
      <w:lvlJc w:val="left"/>
      <w:pPr>
        <w:tabs>
          <w:tab w:val="num" w:pos="6480"/>
        </w:tabs>
        <w:ind w:left="6480" w:hanging="360"/>
      </w:pPr>
      <w:rPr>
        <w:rFonts w:ascii="Arial" w:hAnsi="Arial" w:hint="default"/>
      </w:rPr>
    </w:lvl>
  </w:abstractNum>
  <w:abstractNum w:abstractNumId="1">
    <w:nsid w:val="29D50FDC"/>
    <w:multiLevelType w:val="hybridMultilevel"/>
    <w:tmpl w:val="3600F382"/>
    <w:lvl w:ilvl="0" w:tplc="61B2623A">
      <w:start w:val="1"/>
      <w:numFmt w:val="bullet"/>
      <w:lvlText w:val="•"/>
      <w:lvlJc w:val="left"/>
      <w:pPr>
        <w:tabs>
          <w:tab w:val="num" w:pos="720"/>
        </w:tabs>
        <w:ind w:left="720" w:hanging="360"/>
      </w:pPr>
      <w:rPr>
        <w:rFonts w:ascii="Arial" w:hAnsi="Arial" w:hint="default"/>
      </w:rPr>
    </w:lvl>
    <w:lvl w:ilvl="1" w:tplc="C3DAF740" w:tentative="1">
      <w:start w:val="1"/>
      <w:numFmt w:val="bullet"/>
      <w:lvlText w:val="•"/>
      <w:lvlJc w:val="left"/>
      <w:pPr>
        <w:tabs>
          <w:tab w:val="num" w:pos="1440"/>
        </w:tabs>
        <w:ind w:left="1440" w:hanging="360"/>
      </w:pPr>
      <w:rPr>
        <w:rFonts w:ascii="Arial" w:hAnsi="Arial" w:hint="default"/>
      </w:rPr>
    </w:lvl>
    <w:lvl w:ilvl="2" w:tplc="E488B5D6" w:tentative="1">
      <w:start w:val="1"/>
      <w:numFmt w:val="bullet"/>
      <w:lvlText w:val="•"/>
      <w:lvlJc w:val="left"/>
      <w:pPr>
        <w:tabs>
          <w:tab w:val="num" w:pos="2160"/>
        </w:tabs>
        <w:ind w:left="2160" w:hanging="360"/>
      </w:pPr>
      <w:rPr>
        <w:rFonts w:ascii="Arial" w:hAnsi="Arial" w:hint="default"/>
      </w:rPr>
    </w:lvl>
    <w:lvl w:ilvl="3" w:tplc="5936D752" w:tentative="1">
      <w:start w:val="1"/>
      <w:numFmt w:val="bullet"/>
      <w:lvlText w:val="•"/>
      <w:lvlJc w:val="left"/>
      <w:pPr>
        <w:tabs>
          <w:tab w:val="num" w:pos="2880"/>
        </w:tabs>
        <w:ind w:left="2880" w:hanging="360"/>
      </w:pPr>
      <w:rPr>
        <w:rFonts w:ascii="Arial" w:hAnsi="Arial" w:hint="default"/>
      </w:rPr>
    </w:lvl>
    <w:lvl w:ilvl="4" w:tplc="16D684FE" w:tentative="1">
      <w:start w:val="1"/>
      <w:numFmt w:val="bullet"/>
      <w:lvlText w:val="•"/>
      <w:lvlJc w:val="left"/>
      <w:pPr>
        <w:tabs>
          <w:tab w:val="num" w:pos="3600"/>
        </w:tabs>
        <w:ind w:left="3600" w:hanging="360"/>
      </w:pPr>
      <w:rPr>
        <w:rFonts w:ascii="Arial" w:hAnsi="Arial" w:hint="default"/>
      </w:rPr>
    </w:lvl>
    <w:lvl w:ilvl="5" w:tplc="62CA741C" w:tentative="1">
      <w:start w:val="1"/>
      <w:numFmt w:val="bullet"/>
      <w:lvlText w:val="•"/>
      <w:lvlJc w:val="left"/>
      <w:pPr>
        <w:tabs>
          <w:tab w:val="num" w:pos="4320"/>
        </w:tabs>
        <w:ind w:left="4320" w:hanging="360"/>
      </w:pPr>
      <w:rPr>
        <w:rFonts w:ascii="Arial" w:hAnsi="Arial" w:hint="default"/>
      </w:rPr>
    </w:lvl>
    <w:lvl w:ilvl="6" w:tplc="EEE0BB3E" w:tentative="1">
      <w:start w:val="1"/>
      <w:numFmt w:val="bullet"/>
      <w:lvlText w:val="•"/>
      <w:lvlJc w:val="left"/>
      <w:pPr>
        <w:tabs>
          <w:tab w:val="num" w:pos="5040"/>
        </w:tabs>
        <w:ind w:left="5040" w:hanging="360"/>
      </w:pPr>
      <w:rPr>
        <w:rFonts w:ascii="Arial" w:hAnsi="Arial" w:hint="default"/>
      </w:rPr>
    </w:lvl>
    <w:lvl w:ilvl="7" w:tplc="C5AE1BE0" w:tentative="1">
      <w:start w:val="1"/>
      <w:numFmt w:val="bullet"/>
      <w:lvlText w:val="•"/>
      <w:lvlJc w:val="left"/>
      <w:pPr>
        <w:tabs>
          <w:tab w:val="num" w:pos="5760"/>
        </w:tabs>
        <w:ind w:left="5760" w:hanging="360"/>
      </w:pPr>
      <w:rPr>
        <w:rFonts w:ascii="Arial" w:hAnsi="Arial" w:hint="default"/>
      </w:rPr>
    </w:lvl>
    <w:lvl w:ilvl="8" w:tplc="E6FC043C" w:tentative="1">
      <w:start w:val="1"/>
      <w:numFmt w:val="bullet"/>
      <w:lvlText w:val="•"/>
      <w:lvlJc w:val="left"/>
      <w:pPr>
        <w:tabs>
          <w:tab w:val="num" w:pos="6480"/>
        </w:tabs>
        <w:ind w:left="6480" w:hanging="360"/>
      </w:pPr>
      <w:rPr>
        <w:rFonts w:ascii="Arial" w:hAnsi="Arial" w:hint="default"/>
      </w:rPr>
    </w:lvl>
  </w:abstractNum>
  <w:abstractNum w:abstractNumId="2">
    <w:nsid w:val="35AE242F"/>
    <w:multiLevelType w:val="hybridMultilevel"/>
    <w:tmpl w:val="BDCA91B8"/>
    <w:lvl w:ilvl="0" w:tplc="0C4E72AE">
      <w:start w:val="1"/>
      <w:numFmt w:val="bullet"/>
      <w:lvlText w:val="•"/>
      <w:lvlJc w:val="left"/>
      <w:pPr>
        <w:tabs>
          <w:tab w:val="num" w:pos="720"/>
        </w:tabs>
        <w:ind w:left="720" w:hanging="360"/>
      </w:pPr>
      <w:rPr>
        <w:rFonts w:ascii="Arial" w:hAnsi="Arial" w:hint="default"/>
      </w:rPr>
    </w:lvl>
    <w:lvl w:ilvl="1" w:tplc="03286250" w:tentative="1">
      <w:start w:val="1"/>
      <w:numFmt w:val="bullet"/>
      <w:lvlText w:val="•"/>
      <w:lvlJc w:val="left"/>
      <w:pPr>
        <w:tabs>
          <w:tab w:val="num" w:pos="1440"/>
        </w:tabs>
        <w:ind w:left="1440" w:hanging="360"/>
      </w:pPr>
      <w:rPr>
        <w:rFonts w:ascii="Arial" w:hAnsi="Arial" w:hint="default"/>
      </w:rPr>
    </w:lvl>
    <w:lvl w:ilvl="2" w:tplc="F7C603D2" w:tentative="1">
      <w:start w:val="1"/>
      <w:numFmt w:val="bullet"/>
      <w:lvlText w:val="•"/>
      <w:lvlJc w:val="left"/>
      <w:pPr>
        <w:tabs>
          <w:tab w:val="num" w:pos="2160"/>
        </w:tabs>
        <w:ind w:left="2160" w:hanging="360"/>
      </w:pPr>
      <w:rPr>
        <w:rFonts w:ascii="Arial" w:hAnsi="Arial" w:hint="default"/>
      </w:rPr>
    </w:lvl>
    <w:lvl w:ilvl="3" w:tplc="F6A26C86" w:tentative="1">
      <w:start w:val="1"/>
      <w:numFmt w:val="bullet"/>
      <w:lvlText w:val="•"/>
      <w:lvlJc w:val="left"/>
      <w:pPr>
        <w:tabs>
          <w:tab w:val="num" w:pos="2880"/>
        </w:tabs>
        <w:ind w:left="2880" w:hanging="360"/>
      </w:pPr>
      <w:rPr>
        <w:rFonts w:ascii="Arial" w:hAnsi="Arial" w:hint="default"/>
      </w:rPr>
    </w:lvl>
    <w:lvl w:ilvl="4" w:tplc="F162E2A4" w:tentative="1">
      <w:start w:val="1"/>
      <w:numFmt w:val="bullet"/>
      <w:lvlText w:val="•"/>
      <w:lvlJc w:val="left"/>
      <w:pPr>
        <w:tabs>
          <w:tab w:val="num" w:pos="3600"/>
        </w:tabs>
        <w:ind w:left="3600" w:hanging="360"/>
      </w:pPr>
      <w:rPr>
        <w:rFonts w:ascii="Arial" w:hAnsi="Arial" w:hint="default"/>
      </w:rPr>
    </w:lvl>
    <w:lvl w:ilvl="5" w:tplc="3B08FB70" w:tentative="1">
      <w:start w:val="1"/>
      <w:numFmt w:val="bullet"/>
      <w:lvlText w:val="•"/>
      <w:lvlJc w:val="left"/>
      <w:pPr>
        <w:tabs>
          <w:tab w:val="num" w:pos="4320"/>
        </w:tabs>
        <w:ind w:left="4320" w:hanging="360"/>
      </w:pPr>
      <w:rPr>
        <w:rFonts w:ascii="Arial" w:hAnsi="Arial" w:hint="default"/>
      </w:rPr>
    </w:lvl>
    <w:lvl w:ilvl="6" w:tplc="9DFA1202" w:tentative="1">
      <w:start w:val="1"/>
      <w:numFmt w:val="bullet"/>
      <w:lvlText w:val="•"/>
      <w:lvlJc w:val="left"/>
      <w:pPr>
        <w:tabs>
          <w:tab w:val="num" w:pos="5040"/>
        </w:tabs>
        <w:ind w:left="5040" w:hanging="360"/>
      </w:pPr>
      <w:rPr>
        <w:rFonts w:ascii="Arial" w:hAnsi="Arial" w:hint="default"/>
      </w:rPr>
    </w:lvl>
    <w:lvl w:ilvl="7" w:tplc="2988AF2A" w:tentative="1">
      <w:start w:val="1"/>
      <w:numFmt w:val="bullet"/>
      <w:lvlText w:val="•"/>
      <w:lvlJc w:val="left"/>
      <w:pPr>
        <w:tabs>
          <w:tab w:val="num" w:pos="5760"/>
        </w:tabs>
        <w:ind w:left="5760" w:hanging="360"/>
      </w:pPr>
      <w:rPr>
        <w:rFonts w:ascii="Arial" w:hAnsi="Arial" w:hint="default"/>
      </w:rPr>
    </w:lvl>
    <w:lvl w:ilvl="8" w:tplc="5114D3B6" w:tentative="1">
      <w:start w:val="1"/>
      <w:numFmt w:val="bullet"/>
      <w:lvlText w:val="•"/>
      <w:lvlJc w:val="left"/>
      <w:pPr>
        <w:tabs>
          <w:tab w:val="num" w:pos="6480"/>
        </w:tabs>
        <w:ind w:left="6480" w:hanging="360"/>
      </w:pPr>
      <w:rPr>
        <w:rFonts w:ascii="Arial" w:hAnsi="Arial" w:hint="default"/>
      </w:rPr>
    </w:lvl>
  </w:abstractNum>
  <w:abstractNum w:abstractNumId="3">
    <w:nsid w:val="3841611A"/>
    <w:multiLevelType w:val="hybridMultilevel"/>
    <w:tmpl w:val="0030995E"/>
    <w:lvl w:ilvl="0" w:tplc="D5A25066">
      <w:start w:val="1"/>
      <w:numFmt w:val="bullet"/>
      <w:lvlText w:val=""/>
      <w:lvlJc w:val="left"/>
      <w:pPr>
        <w:ind w:left="720" w:hanging="360"/>
      </w:pPr>
      <w:rPr>
        <w:rFonts w:ascii="Symbol" w:hAnsi="Symbol" w:hint="default"/>
      </w:rPr>
    </w:lvl>
    <w:lvl w:ilvl="1" w:tplc="B8D44B94" w:tentative="1">
      <w:start w:val="1"/>
      <w:numFmt w:val="bullet"/>
      <w:lvlText w:val="o"/>
      <w:lvlJc w:val="left"/>
      <w:pPr>
        <w:ind w:left="1440" w:hanging="360"/>
      </w:pPr>
      <w:rPr>
        <w:rFonts w:ascii="Courier New" w:hAnsi="Courier New" w:cs="Courier New" w:hint="default"/>
      </w:rPr>
    </w:lvl>
    <w:lvl w:ilvl="2" w:tplc="EB48AAFA" w:tentative="1">
      <w:start w:val="1"/>
      <w:numFmt w:val="bullet"/>
      <w:lvlText w:val=""/>
      <w:lvlJc w:val="left"/>
      <w:pPr>
        <w:ind w:left="2160" w:hanging="360"/>
      </w:pPr>
      <w:rPr>
        <w:rFonts w:ascii="Wingdings" w:hAnsi="Wingdings" w:hint="default"/>
      </w:rPr>
    </w:lvl>
    <w:lvl w:ilvl="3" w:tplc="B4A4A656" w:tentative="1">
      <w:start w:val="1"/>
      <w:numFmt w:val="bullet"/>
      <w:lvlText w:val=""/>
      <w:lvlJc w:val="left"/>
      <w:pPr>
        <w:ind w:left="2880" w:hanging="360"/>
      </w:pPr>
      <w:rPr>
        <w:rFonts w:ascii="Symbol" w:hAnsi="Symbol" w:hint="default"/>
      </w:rPr>
    </w:lvl>
    <w:lvl w:ilvl="4" w:tplc="BCFC9566" w:tentative="1">
      <w:start w:val="1"/>
      <w:numFmt w:val="bullet"/>
      <w:lvlText w:val="o"/>
      <w:lvlJc w:val="left"/>
      <w:pPr>
        <w:ind w:left="3600" w:hanging="360"/>
      </w:pPr>
      <w:rPr>
        <w:rFonts w:ascii="Courier New" w:hAnsi="Courier New" w:cs="Courier New" w:hint="default"/>
      </w:rPr>
    </w:lvl>
    <w:lvl w:ilvl="5" w:tplc="FCD41C2A" w:tentative="1">
      <w:start w:val="1"/>
      <w:numFmt w:val="bullet"/>
      <w:lvlText w:val=""/>
      <w:lvlJc w:val="left"/>
      <w:pPr>
        <w:ind w:left="4320" w:hanging="360"/>
      </w:pPr>
      <w:rPr>
        <w:rFonts w:ascii="Wingdings" w:hAnsi="Wingdings" w:hint="default"/>
      </w:rPr>
    </w:lvl>
    <w:lvl w:ilvl="6" w:tplc="FA565BF8" w:tentative="1">
      <w:start w:val="1"/>
      <w:numFmt w:val="bullet"/>
      <w:lvlText w:val=""/>
      <w:lvlJc w:val="left"/>
      <w:pPr>
        <w:ind w:left="5040" w:hanging="360"/>
      </w:pPr>
      <w:rPr>
        <w:rFonts w:ascii="Symbol" w:hAnsi="Symbol" w:hint="default"/>
      </w:rPr>
    </w:lvl>
    <w:lvl w:ilvl="7" w:tplc="B034307A" w:tentative="1">
      <w:start w:val="1"/>
      <w:numFmt w:val="bullet"/>
      <w:lvlText w:val="o"/>
      <w:lvlJc w:val="left"/>
      <w:pPr>
        <w:ind w:left="5760" w:hanging="360"/>
      </w:pPr>
      <w:rPr>
        <w:rFonts w:ascii="Courier New" w:hAnsi="Courier New" w:cs="Courier New" w:hint="default"/>
      </w:rPr>
    </w:lvl>
    <w:lvl w:ilvl="8" w:tplc="22687C9A" w:tentative="1">
      <w:start w:val="1"/>
      <w:numFmt w:val="bullet"/>
      <w:lvlText w:val=""/>
      <w:lvlJc w:val="left"/>
      <w:pPr>
        <w:ind w:left="6480" w:hanging="360"/>
      </w:pPr>
      <w:rPr>
        <w:rFonts w:ascii="Wingdings" w:hAnsi="Wingdings" w:hint="default"/>
      </w:rPr>
    </w:lvl>
  </w:abstractNum>
  <w:abstractNum w:abstractNumId="4">
    <w:nsid w:val="4491387A"/>
    <w:multiLevelType w:val="multilevel"/>
    <w:tmpl w:val="D5B2A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639409E"/>
    <w:multiLevelType w:val="multilevel"/>
    <w:tmpl w:val="702E2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7EC5D86"/>
    <w:multiLevelType w:val="hybridMultilevel"/>
    <w:tmpl w:val="5B0670B4"/>
    <w:lvl w:ilvl="0" w:tplc="075E1CE2">
      <w:start w:val="1"/>
      <w:numFmt w:val="bullet"/>
      <w:lvlText w:val="•"/>
      <w:lvlJc w:val="left"/>
      <w:pPr>
        <w:tabs>
          <w:tab w:val="num" w:pos="720"/>
        </w:tabs>
        <w:ind w:left="720" w:hanging="360"/>
      </w:pPr>
      <w:rPr>
        <w:rFonts w:ascii="Arial" w:hAnsi="Arial" w:hint="default"/>
      </w:rPr>
    </w:lvl>
    <w:lvl w:ilvl="1" w:tplc="83689708" w:tentative="1">
      <w:start w:val="1"/>
      <w:numFmt w:val="bullet"/>
      <w:lvlText w:val="•"/>
      <w:lvlJc w:val="left"/>
      <w:pPr>
        <w:tabs>
          <w:tab w:val="num" w:pos="1440"/>
        </w:tabs>
        <w:ind w:left="1440" w:hanging="360"/>
      </w:pPr>
      <w:rPr>
        <w:rFonts w:ascii="Arial" w:hAnsi="Arial" w:hint="default"/>
      </w:rPr>
    </w:lvl>
    <w:lvl w:ilvl="2" w:tplc="8B328902" w:tentative="1">
      <w:start w:val="1"/>
      <w:numFmt w:val="bullet"/>
      <w:lvlText w:val="•"/>
      <w:lvlJc w:val="left"/>
      <w:pPr>
        <w:tabs>
          <w:tab w:val="num" w:pos="2160"/>
        </w:tabs>
        <w:ind w:left="2160" w:hanging="360"/>
      </w:pPr>
      <w:rPr>
        <w:rFonts w:ascii="Arial" w:hAnsi="Arial" w:hint="default"/>
      </w:rPr>
    </w:lvl>
    <w:lvl w:ilvl="3" w:tplc="7AD229FA" w:tentative="1">
      <w:start w:val="1"/>
      <w:numFmt w:val="bullet"/>
      <w:lvlText w:val="•"/>
      <w:lvlJc w:val="left"/>
      <w:pPr>
        <w:tabs>
          <w:tab w:val="num" w:pos="2880"/>
        </w:tabs>
        <w:ind w:left="2880" w:hanging="360"/>
      </w:pPr>
      <w:rPr>
        <w:rFonts w:ascii="Arial" w:hAnsi="Arial" w:hint="default"/>
      </w:rPr>
    </w:lvl>
    <w:lvl w:ilvl="4" w:tplc="E6C01846" w:tentative="1">
      <w:start w:val="1"/>
      <w:numFmt w:val="bullet"/>
      <w:lvlText w:val="•"/>
      <w:lvlJc w:val="left"/>
      <w:pPr>
        <w:tabs>
          <w:tab w:val="num" w:pos="3600"/>
        </w:tabs>
        <w:ind w:left="3600" w:hanging="360"/>
      </w:pPr>
      <w:rPr>
        <w:rFonts w:ascii="Arial" w:hAnsi="Arial" w:hint="default"/>
      </w:rPr>
    </w:lvl>
    <w:lvl w:ilvl="5" w:tplc="82B0FBF0" w:tentative="1">
      <w:start w:val="1"/>
      <w:numFmt w:val="bullet"/>
      <w:lvlText w:val="•"/>
      <w:lvlJc w:val="left"/>
      <w:pPr>
        <w:tabs>
          <w:tab w:val="num" w:pos="4320"/>
        </w:tabs>
        <w:ind w:left="4320" w:hanging="360"/>
      </w:pPr>
      <w:rPr>
        <w:rFonts w:ascii="Arial" w:hAnsi="Arial" w:hint="default"/>
      </w:rPr>
    </w:lvl>
    <w:lvl w:ilvl="6" w:tplc="BE1CC7FE" w:tentative="1">
      <w:start w:val="1"/>
      <w:numFmt w:val="bullet"/>
      <w:lvlText w:val="•"/>
      <w:lvlJc w:val="left"/>
      <w:pPr>
        <w:tabs>
          <w:tab w:val="num" w:pos="5040"/>
        </w:tabs>
        <w:ind w:left="5040" w:hanging="360"/>
      </w:pPr>
      <w:rPr>
        <w:rFonts w:ascii="Arial" w:hAnsi="Arial" w:hint="default"/>
      </w:rPr>
    </w:lvl>
    <w:lvl w:ilvl="7" w:tplc="108874B6" w:tentative="1">
      <w:start w:val="1"/>
      <w:numFmt w:val="bullet"/>
      <w:lvlText w:val="•"/>
      <w:lvlJc w:val="left"/>
      <w:pPr>
        <w:tabs>
          <w:tab w:val="num" w:pos="5760"/>
        </w:tabs>
        <w:ind w:left="5760" w:hanging="360"/>
      </w:pPr>
      <w:rPr>
        <w:rFonts w:ascii="Arial" w:hAnsi="Arial" w:hint="default"/>
      </w:rPr>
    </w:lvl>
    <w:lvl w:ilvl="8" w:tplc="0AEEBE6A" w:tentative="1">
      <w:start w:val="1"/>
      <w:numFmt w:val="bullet"/>
      <w:lvlText w:val="•"/>
      <w:lvlJc w:val="left"/>
      <w:pPr>
        <w:tabs>
          <w:tab w:val="num" w:pos="6480"/>
        </w:tabs>
        <w:ind w:left="6480" w:hanging="360"/>
      </w:pPr>
      <w:rPr>
        <w:rFonts w:ascii="Arial" w:hAnsi="Arial" w:hint="default"/>
      </w:rPr>
    </w:lvl>
  </w:abstractNum>
  <w:abstractNum w:abstractNumId="7">
    <w:nsid w:val="5F480696"/>
    <w:multiLevelType w:val="multilevel"/>
    <w:tmpl w:val="93164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D703FB5"/>
    <w:multiLevelType w:val="multilevel"/>
    <w:tmpl w:val="90A8E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E2C6260"/>
    <w:multiLevelType w:val="hybridMultilevel"/>
    <w:tmpl w:val="87BEFE7E"/>
    <w:lvl w:ilvl="0" w:tplc="EA2AEEA0">
      <w:start w:val="1"/>
      <w:numFmt w:val="bullet"/>
      <w:lvlText w:val=""/>
      <w:lvlJc w:val="left"/>
      <w:pPr>
        <w:ind w:left="720" w:hanging="360"/>
      </w:pPr>
      <w:rPr>
        <w:rFonts w:ascii="Symbol" w:hAnsi="Symbol" w:hint="default"/>
      </w:rPr>
    </w:lvl>
    <w:lvl w:ilvl="1" w:tplc="28C80448" w:tentative="1">
      <w:start w:val="1"/>
      <w:numFmt w:val="bullet"/>
      <w:lvlText w:val="o"/>
      <w:lvlJc w:val="left"/>
      <w:pPr>
        <w:ind w:left="1440" w:hanging="360"/>
      </w:pPr>
      <w:rPr>
        <w:rFonts w:ascii="Courier New" w:hAnsi="Courier New" w:cs="Courier New" w:hint="default"/>
      </w:rPr>
    </w:lvl>
    <w:lvl w:ilvl="2" w:tplc="9B7EAE1E" w:tentative="1">
      <w:start w:val="1"/>
      <w:numFmt w:val="bullet"/>
      <w:lvlText w:val=""/>
      <w:lvlJc w:val="left"/>
      <w:pPr>
        <w:ind w:left="2160" w:hanging="360"/>
      </w:pPr>
      <w:rPr>
        <w:rFonts w:ascii="Wingdings" w:hAnsi="Wingdings" w:hint="default"/>
      </w:rPr>
    </w:lvl>
    <w:lvl w:ilvl="3" w:tplc="32DC9066" w:tentative="1">
      <w:start w:val="1"/>
      <w:numFmt w:val="bullet"/>
      <w:lvlText w:val=""/>
      <w:lvlJc w:val="left"/>
      <w:pPr>
        <w:ind w:left="2880" w:hanging="360"/>
      </w:pPr>
      <w:rPr>
        <w:rFonts w:ascii="Symbol" w:hAnsi="Symbol" w:hint="default"/>
      </w:rPr>
    </w:lvl>
    <w:lvl w:ilvl="4" w:tplc="136A0CAA" w:tentative="1">
      <w:start w:val="1"/>
      <w:numFmt w:val="bullet"/>
      <w:lvlText w:val="o"/>
      <w:lvlJc w:val="left"/>
      <w:pPr>
        <w:ind w:left="3600" w:hanging="360"/>
      </w:pPr>
      <w:rPr>
        <w:rFonts w:ascii="Courier New" w:hAnsi="Courier New" w:cs="Courier New" w:hint="default"/>
      </w:rPr>
    </w:lvl>
    <w:lvl w:ilvl="5" w:tplc="22BA9C90" w:tentative="1">
      <w:start w:val="1"/>
      <w:numFmt w:val="bullet"/>
      <w:lvlText w:val=""/>
      <w:lvlJc w:val="left"/>
      <w:pPr>
        <w:ind w:left="4320" w:hanging="360"/>
      </w:pPr>
      <w:rPr>
        <w:rFonts w:ascii="Wingdings" w:hAnsi="Wingdings" w:hint="default"/>
      </w:rPr>
    </w:lvl>
    <w:lvl w:ilvl="6" w:tplc="DF1A7026" w:tentative="1">
      <w:start w:val="1"/>
      <w:numFmt w:val="bullet"/>
      <w:lvlText w:val=""/>
      <w:lvlJc w:val="left"/>
      <w:pPr>
        <w:ind w:left="5040" w:hanging="360"/>
      </w:pPr>
      <w:rPr>
        <w:rFonts w:ascii="Symbol" w:hAnsi="Symbol" w:hint="default"/>
      </w:rPr>
    </w:lvl>
    <w:lvl w:ilvl="7" w:tplc="E00236DC" w:tentative="1">
      <w:start w:val="1"/>
      <w:numFmt w:val="bullet"/>
      <w:lvlText w:val="o"/>
      <w:lvlJc w:val="left"/>
      <w:pPr>
        <w:ind w:left="5760" w:hanging="360"/>
      </w:pPr>
      <w:rPr>
        <w:rFonts w:ascii="Courier New" w:hAnsi="Courier New" w:cs="Courier New" w:hint="default"/>
      </w:rPr>
    </w:lvl>
    <w:lvl w:ilvl="8" w:tplc="F346716C" w:tentative="1">
      <w:start w:val="1"/>
      <w:numFmt w:val="bullet"/>
      <w:lvlText w:val=""/>
      <w:lvlJc w:val="left"/>
      <w:pPr>
        <w:ind w:left="6480" w:hanging="360"/>
      </w:pPr>
      <w:rPr>
        <w:rFonts w:ascii="Wingdings" w:hAnsi="Wingdings" w:hint="default"/>
      </w:rPr>
    </w:lvl>
  </w:abstractNum>
  <w:abstractNum w:abstractNumId="10">
    <w:nsid w:val="6F6B3239"/>
    <w:multiLevelType w:val="multilevel"/>
    <w:tmpl w:val="E1C01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78D8416C"/>
    <w:multiLevelType w:val="multilevel"/>
    <w:tmpl w:val="2B98E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6"/>
  </w:num>
  <w:num w:numId="4">
    <w:abstractNumId w:val="7"/>
  </w:num>
  <w:num w:numId="5">
    <w:abstractNumId w:val="8"/>
  </w:num>
  <w:num w:numId="6">
    <w:abstractNumId w:val="10"/>
  </w:num>
  <w:num w:numId="7">
    <w:abstractNumId w:val="3"/>
  </w:num>
  <w:num w:numId="8">
    <w:abstractNumId w:val="9"/>
  </w:num>
  <w:num w:numId="9">
    <w:abstractNumId w:val="11"/>
  </w:num>
  <w:num w:numId="10">
    <w:abstractNumId w:val="1"/>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57D7"/>
    <w:rsid w:val="000953DE"/>
    <w:rsid w:val="00147CF5"/>
    <w:rsid w:val="001A29B7"/>
    <w:rsid w:val="00300562"/>
    <w:rsid w:val="00305ABD"/>
    <w:rsid w:val="0036339D"/>
    <w:rsid w:val="00413FC9"/>
    <w:rsid w:val="00611F91"/>
    <w:rsid w:val="00665C96"/>
    <w:rsid w:val="007C2AFF"/>
    <w:rsid w:val="008B4E9A"/>
    <w:rsid w:val="00A041C9"/>
    <w:rsid w:val="00A402EB"/>
    <w:rsid w:val="00A657D7"/>
    <w:rsid w:val="00AD3737"/>
    <w:rsid w:val="00B60D1C"/>
    <w:rsid w:val="00B72DAC"/>
    <w:rsid w:val="00C40EC6"/>
    <w:rsid w:val="00CC123A"/>
    <w:rsid w:val="00CE472D"/>
    <w:rsid w:val="00D503B9"/>
    <w:rsid w:val="00D55C11"/>
    <w:rsid w:val="00D61FD2"/>
    <w:rsid w:val="00E41437"/>
    <w:rsid w:val="00EC648C"/>
    <w:rsid w:val="00EE4B48"/>
    <w:rsid w:val="00F770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2AFF"/>
    <w:pPr>
      <w:keepNext/>
      <w:keepLines/>
      <w:spacing w:before="240" w:after="0" w:line="240" w:lineRule="auto"/>
      <w:jc w:val="both"/>
      <w:outlineLvl w:val="0"/>
    </w:pPr>
    <w:rPr>
      <w:b/>
      <w:bCs/>
      <w:kern w:val="36"/>
      <w:szCs w:val="48"/>
    </w:rPr>
  </w:style>
  <w:style w:type="paragraph" w:styleId="Heading2">
    <w:name w:val="heading 2"/>
    <w:basedOn w:val="Normal"/>
    <w:next w:val="Normal"/>
    <w:link w:val="Heading2Char"/>
    <w:uiPriority w:val="9"/>
    <w:qFormat/>
    <w:rsid w:val="0036339D"/>
    <w:pPr>
      <w:keepNext/>
      <w:keepLines/>
      <w:spacing w:before="40" w:after="0" w:line="240" w:lineRule="auto"/>
      <w:jc w:val="both"/>
      <w:outlineLvl w:val="1"/>
    </w:pPr>
    <w:rPr>
      <w:b/>
      <w:bCs/>
      <w:color w:val="000000" w:themeColor="text1"/>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AFF"/>
    <w:rPr>
      <w:rFonts w:ascii="Times New Roman" w:hAnsi="Times New Roman"/>
      <w:b/>
      <w:bCs/>
      <w:kern w:val="36"/>
      <w:sz w:val="24"/>
      <w:szCs w:val="48"/>
    </w:rPr>
  </w:style>
  <w:style w:type="character" w:customStyle="1" w:styleId="Heading2Char">
    <w:name w:val="Heading 2 Char"/>
    <w:basedOn w:val="DefaultParagraphFont"/>
    <w:link w:val="Heading2"/>
    <w:uiPriority w:val="9"/>
    <w:rsid w:val="0036339D"/>
    <w:rPr>
      <w:b/>
      <w:bCs/>
      <w:color w:val="000000" w:themeColor="text1"/>
      <w:sz w:val="24"/>
      <w:szCs w:val="36"/>
    </w:rPr>
  </w:style>
  <w:style w:type="character" w:styleId="Hyperlink">
    <w:name w:val="Hyperlink"/>
    <w:basedOn w:val="DefaultParagraphFont"/>
    <w:uiPriority w:val="99"/>
    <w:unhideWhenUsed/>
    <w:rsid w:val="00611F91"/>
    <w:rPr>
      <w:color w:val="0000FF" w:themeColor="hyperlink"/>
      <w:u w:val="single"/>
    </w:rPr>
  </w:style>
  <w:style w:type="paragraph" w:styleId="ListParagraph">
    <w:name w:val="List Paragraph"/>
    <w:basedOn w:val="Normal"/>
    <w:uiPriority w:val="34"/>
    <w:qFormat/>
    <w:rsid w:val="000953DE"/>
    <w:pPr>
      <w:spacing w:after="0" w:line="240" w:lineRule="auto"/>
      <w:ind w:left="720"/>
      <w:contextualSpacing/>
    </w:pPr>
    <w:rPr>
      <w:rFonts w:eastAsia="Times New Roman" w:cs="Times New Roman"/>
      <w:kern w:val="0"/>
      <w:szCs w:val="24"/>
      <w14:ligatures w14:val="none"/>
    </w:rPr>
  </w:style>
  <w:style w:type="paragraph" w:styleId="NormalWeb">
    <w:name w:val="Normal (Web)"/>
    <w:basedOn w:val="Normal"/>
    <w:uiPriority w:val="99"/>
    <w:semiHidden/>
    <w:unhideWhenUsed/>
    <w:rsid w:val="000953DE"/>
    <w:rPr>
      <w:rFonts w:cs="Times New Roman"/>
      <w:szCs w:val="24"/>
    </w:rPr>
  </w:style>
  <w:style w:type="paragraph" w:styleId="Header">
    <w:name w:val="header"/>
    <w:basedOn w:val="Normal"/>
    <w:link w:val="HeaderChar"/>
    <w:uiPriority w:val="99"/>
    <w:unhideWhenUsed/>
    <w:rsid w:val="00A402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02EB"/>
  </w:style>
  <w:style w:type="paragraph" w:styleId="Footer">
    <w:name w:val="footer"/>
    <w:basedOn w:val="Normal"/>
    <w:link w:val="FooterChar"/>
    <w:uiPriority w:val="99"/>
    <w:unhideWhenUsed/>
    <w:rsid w:val="00A402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02EB"/>
  </w:style>
  <w:style w:type="character" w:styleId="Strong">
    <w:name w:val="Strong"/>
    <w:basedOn w:val="DefaultParagraphFont"/>
    <w:uiPriority w:val="22"/>
    <w:qFormat/>
    <w:rsid w:val="00AD3737"/>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2AFF"/>
    <w:pPr>
      <w:keepNext/>
      <w:keepLines/>
      <w:spacing w:before="240" w:after="0" w:line="240" w:lineRule="auto"/>
      <w:jc w:val="both"/>
      <w:outlineLvl w:val="0"/>
    </w:pPr>
    <w:rPr>
      <w:b/>
      <w:bCs/>
      <w:kern w:val="36"/>
      <w:szCs w:val="48"/>
    </w:rPr>
  </w:style>
  <w:style w:type="paragraph" w:styleId="Heading2">
    <w:name w:val="heading 2"/>
    <w:basedOn w:val="Normal"/>
    <w:next w:val="Normal"/>
    <w:link w:val="Heading2Char"/>
    <w:uiPriority w:val="9"/>
    <w:qFormat/>
    <w:rsid w:val="0036339D"/>
    <w:pPr>
      <w:keepNext/>
      <w:keepLines/>
      <w:spacing w:before="40" w:after="0" w:line="240" w:lineRule="auto"/>
      <w:jc w:val="both"/>
      <w:outlineLvl w:val="1"/>
    </w:pPr>
    <w:rPr>
      <w:b/>
      <w:bCs/>
      <w:color w:val="000000" w:themeColor="text1"/>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AFF"/>
    <w:rPr>
      <w:rFonts w:ascii="Times New Roman" w:hAnsi="Times New Roman"/>
      <w:b/>
      <w:bCs/>
      <w:kern w:val="36"/>
      <w:sz w:val="24"/>
      <w:szCs w:val="48"/>
    </w:rPr>
  </w:style>
  <w:style w:type="character" w:customStyle="1" w:styleId="Heading2Char">
    <w:name w:val="Heading 2 Char"/>
    <w:basedOn w:val="DefaultParagraphFont"/>
    <w:link w:val="Heading2"/>
    <w:uiPriority w:val="9"/>
    <w:rsid w:val="0036339D"/>
    <w:rPr>
      <w:b/>
      <w:bCs/>
      <w:color w:val="000000" w:themeColor="text1"/>
      <w:sz w:val="24"/>
      <w:szCs w:val="36"/>
    </w:rPr>
  </w:style>
  <w:style w:type="character" w:styleId="Hyperlink">
    <w:name w:val="Hyperlink"/>
    <w:basedOn w:val="DefaultParagraphFont"/>
    <w:uiPriority w:val="99"/>
    <w:unhideWhenUsed/>
    <w:rsid w:val="00611F91"/>
    <w:rPr>
      <w:color w:val="0000FF" w:themeColor="hyperlink"/>
      <w:u w:val="single"/>
    </w:rPr>
  </w:style>
  <w:style w:type="paragraph" w:styleId="ListParagraph">
    <w:name w:val="List Paragraph"/>
    <w:basedOn w:val="Normal"/>
    <w:uiPriority w:val="34"/>
    <w:qFormat/>
    <w:rsid w:val="000953DE"/>
    <w:pPr>
      <w:spacing w:after="0" w:line="240" w:lineRule="auto"/>
      <w:ind w:left="720"/>
      <w:contextualSpacing/>
    </w:pPr>
    <w:rPr>
      <w:rFonts w:eastAsia="Times New Roman" w:cs="Times New Roman"/>
      <w:kern w:val="0"/>
      <w:szCs w:val="24"/>
      <w14:ligatures w14:val="none"/>
    </w:rPr>
  </w:style>
  <w:style w:type="paragraph" w:styleId="NormalWeb">
    <w:name w:val="Normal (Web)"/>
    <w:basedOn w:val="Normal"/>
    <w:uiPriority w:val="99"/>
    <w:semiHidden/>
    <w:unhideWhenUsed/>
    <w:rsid w:val="000953DE"/>
    <w:rPr>
      <w:rFonts w:cs="Times New Roman"/>
      <w:szCs w:val="24"/>
    </w:rPr>
  </w:style>
  <w:style w:type="paragraph" w:styleId="Header">
    <w:name w:val="header"/>
    <w:basedOn w:val="Normal"/>
    <w:link w:val="HeaderChar"/>
    <w:uiPriority w:val="99"/>
    <w:unhideWhenUsed/>
    <w:rsid w:val="00A402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02EB"/>
  </w:style>
  <w:style w:type="paragraph" w:styleId="Footer">
    <w:name w:val="footer"/>
    <w:basedOn w:val="Normal"/>
    <w:link w:val="FooterChar"/>
    <w:uiPriority w:val="99"/>
    <w:unhideWhenUsed/>
    <w:rsid w:val="00A402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02EB"/>
  </w:style>
  <w:style w:type="character" w:styleId="Strong">
    <w:name w:val="Strong"/>
    <w:basedOn w:val="DefaultParagraphFont"/>
    <w:uiPriority w:val="22"/>
    <w:qFormat/>
    <w:rsid w:val="00AD37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5769777">
      <w:bodyDiv w:val="1"/>
      <w:marLeft w:val="0"/>
      <w:marRight w:val="0"/>
      <w:marTop w:val="0"/>
      <w:marBottom w:val="0"/>
      <w:divBdr>
        <w:top w:val="none" w:sz="0" w:space="0" w:color="auto"/>
        <w:left w:val="none" w:sz="0" w:space="0" w:color="auto"/>
        <w:bottom w:val="none" w:sz="0" w:space="0" w:color="auto"/>
        <w:right w:val="none" w:sz="0" w:space="0" w:color="auto"/>
      </w:divBdr>
    </w:div>
    <w:div w:id="1040741256">
      <w:bodyDiv w:val="1"/>
      <w:marLeft w:val="0"/>
      <w:marRight w:val="0"/>
      <w:marTop w:val="0"/>
      <w:marBottom w:val="0"/>
      <w:divBdr>
        <w:top w:val="none" w:sz="0" w:space="0" w:color="auto"/>
        <w:left w:val="none" w:sz="0" w:space="0" w:color="auto"/>
        <w:bottom w:val="none" w:sz="0" w:space="0" w:color="auto"/>
        <w:right w:val="none" w:sz="0" w:space="0" w:color="auto"/>
      </w:divBdr>
    </w:div>
    <w:div w:id="1740252017">
      <w:bodyDiv w:val="1"/>
      <w:marLeft w:val="0"/>
      <w:marRight w:val="0"/>
      <w:marTop w:val="0"/>
      <w:marBottom w:val="0"/>
      <w:divBdr>
        <w:top w:val="none" w:sz="0" w:space="0" w:color="auto"/>
        <w:left w:val="none" w:sz="0" w:space="0" w:color="auto"/>
        <w:bottom w:val="none" w:sz="0" w:space="0" w:color="auto"/>
        <w:right w:val="none" w:sz="0" w:space="0" w:color="auto"/>
      </w:divBdr>
      <w:divsChild>
        <w:div w:id="1474372927">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diabetes/basics/diabetes.html"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TotalTime>
  <Pages>5</Pages>
  <Words>1429</Words>
  <Characters>8151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Nuraiz Hussain</cp:lastModifiedBy>
  <cp:revision>5</cp:revision>
  <cp:lastPrinted>2023-12-05T06:17:00Z</cp:lastPrinted>
  <dcterms:created xsi:type="dcterms:W3CDTF">2023-12-05T06:35:00Z</dcterms:created>
  <dcterms:modified xsi:type="dcterms:W3CDTF">2023-12-08T05:19:00Z</dcterms:modified>
</cp:coreProperties>
</file>