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3D8E9" w14:textId="77777777" w:rsidR="003510B1" w:rsidRDefault="0048215A">
      <w:pPr>
        <w:pBdr>
          <w:top w:val="nil"/>
          <w:left w:val="nil"/>
          <w:bottom w:val="nil"/>
          <w:right w:val="nil"/>
          <w:between w:val="nil"/>
        </w:pBdr>
        <w:jc w:val="center"/>
        <w:rPr>
          <w:b/>
          <w:color w:val="000000"/>
        </w:rPr>
      </w:pPr>
      <w:r>
        <w:rPr>
          <w:b/>
          <w:noProof/>
          <w:color w:val="000000"/>
        </w:rPr>
        <w:drawing>
          <wp:inline distT="114300" distB="114300" distL="114300" distR="114300" wp14:anchorId="7043D9BF" wp14:editId="7043D9C0">
            <wp:extent cx="4214813" cy="2337770"/>
            <wp:effectExtent l="0" t="0" r="0" b="0"/>
            <wp:docPr id="2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214813" cy="2337770"/>
                    </a:xfrm>
                    <a:prstGeom prst="rect">
                      <a:avLst/>
                    </a:prstGeom>
                    <a:ln/>
                  </pic:spPr>
                </pic:pic>
              </a:graphicData>
            </a:graphic>
          </wp:inline>
        </w:drawing>
      </w:r>
    </w:p>
    <w:p w14:paraId="60753A1B" w14:textId="77777777" w:rsidR="005512A7" w:rsidRDefault="005512A7">
      <w:pPr>
        <w:pBdr>
          <w:top w:val="nil"/>
          <w:left w:val="nil"/>
          <w:bottom w:val="nil"/>
          <w:right w:val="nil"/>
          <w:between w:val="nil"/>
        </w:pBdr>
        <w:jc w:val="center"/>
        <w:rPr>
          <w:b/>
          <w:color w:val="000000"/>
          <w:sz w:val="72"/>
          <w:szCs w:val="72"/>
        </w:rPr>
      </w:pPr>
    </w:p>
    <w:p w14:paraId="046D7B94" w14:textId="77777777" w:rsidR="005512A7" w:rsidRDefault="005512A7">
      <w:pPr>
        <w:pBdr>
          <w:top w:val="nil"/>
          <w:left w:val="nil"/>
          <w:bottom w:val="nil"/>
          <w:right w:val="nil"/>
          <w:between w:val="nil"/>
        </w:pBdr>
        <w:jc w:val="center"/>
        <w:rPr>
          <w:b/>
          <w:color w:val="000000"/>
          <w:sz w:val="72"/>
          <w:szCs w:val="72"/>
        </w:rPr>
      </w:pPr>
    </w:p>
    <w:p w14:paraId="15BBC2D1" w14:textId="772A8E71" w:rsidR="004B418D" w:rsidRPr="005512A7" w:rsidRDefault="004B418D">
      <w:pPr>
        <w:pBdr>
          <w:top w:val="nil"/>
          <w:left w:val="nil"/>
          <w:bottom w:val="nil"/>
          <w:right w:val="nil"/>
          <w:between w:val="nil"/>
        </w:pBdr>
        <w:jc w:val="center"/>
        <w:rPr>
          <w:b/>
          <w:color w:val="000000"/>
          <w:sz w:val="72"/>
          <w:szCs w:val="72"/>
        </w:rPr>
      </w:pPr>
      <w:r w:rsidRPr="005512A7">
        <w:rPr>
          <w:b/>
          <w:color w:val="000000"/>
          <w:sz w:val="72"/>
          <w:szCs w:val="72"/>
        </w:rPr>
        <w:t>MANAGING PEOPLE</w:t>
      </w:r>
    </w:p>
    <w:p w14:paraId="07559F79" w14:textId="5FC97930" w:rsidR="00936477" w:rsidRDefault="00936477">
      <w:pPr>
        <w:pBdr>
          <w:top w:val="nil"/>
          <w:left w:val="nil"/>
          <w:bottom w:val="nil"/>
          <w:right w:val="nil"/>
          <w:between w:val="nil"/>
        </w:pBdr>
        <w:jc w:val="center"/>
        <w:rPr>
          <w:b/>
          <w:color w:val="000000"/>
        </w:rPr>
      </w:pPr>
      <w:r>
        <w:rPr>
          <w:b/>
          <w:color w:val="000000"/>
        </w:rPr>
        <w:t>LCMB7011</w:t>
      </w:r>
    </w:p>
    <w:p w14:paraId="7043D8EC" w14:textId="77777777" w:rsidR="003510B1" w:rsidRDefault="003510B1">
      <w:pPr>
        <w:pBdr>
          <w:top w:val="nil"/>
          <w:left w:val="nil"/>
          <w:bottom w:val="nil"/>
          <w:right w:val="nil"/>
          <w:between w:val="nil"/>
        </w:pBdr>
        <w:jc w:val="center"/>
        <w:rPr>
          <w:color w:val="000000"/>
        </w:rPr>
      </w:pPr>
    </w:p>
    <w:p w14:paraId="1BF6E620" w14:textId="6B48C63B" w:rsidR="00936477" w:rsidRDefault="00936477">
      <w:pPr>
        <w:pBdr>
          <w:top w:val="nil"/>
          <w:left w:val="nil"/>
          <w:bottom w:val="nil"/>
          <w:right w:val="nil"/>
          <w:between w:val="nil"/>
        </w:pBdr>
        <w:jc w:val="center"/>
        <w:rPr>
          <w:color w:val="000000"/>
        </w:rPr>
      </w:pPr>
      <w:r>
        <w:rPr>
          <w:color w:val="000000"/>
        </w:rPr>
        <w:t>ARJUN MADATHIKKUNNEL MURALEEDHARAN</w:t>
      </w:r>
    </w:p>
    <w:p w14:paraId="5E9523E0" w14:textId="44F071E2" w:rsidR="00936477" w:rsidRDefault="00936477">
      <w:pPr>
        <w:pBdr>
          <w:top w:val="nil"/>
          <w:left w:val="nil"/>
          <w:bottom w:val="nil"/>
          <w:right w:val="nil"/>
          <w:between w:val="nil"/>
        </w:pBdr>
        <w:jc w:val="center"/>
        <w:rPr>
          <w:color w:val="000000"/>
        </w:rPr>
      </w:pPr>
      <w:r>
        <w:rPr>
          <w:color w:val="000000"/>
        </w:rPr>
        <w:t>2214620</w:t>
      </w:r>
    </w:p>
    <w:p w14:paraId="631ECB63" w14:textId="77777777" w:rsidR="00936477" w:rsidRDefault="00936477">
      <w:pPr>
        <w:pBdr>
          <w:top w:val="nil"/>
          <w:left w:val="nil"/>
          <w:bottom w:val="nil"/>
          <w:right w:val="nil"/>
          <w:between w:val="nil"/>
        </w:pBdr>
        <w:jc w:val="center"/>
        <w:rPr>
          <w:color w:val="000000"/>
        </w:rPr>
      </w:pPr>
    </w:p>
    <w:p w14:paraId="1703C6B2" w14:textId="77777777" w:rsidR="00936477" w:rsidRDefault="00936477">
      <w:pPr>
        <w:pBdr>
          <w:top w:val="nil"/>
          <w:left w:val="nil"/>
          <w:bottom w:val="nil"/>
          <w:right w:val="nil"/>
          <w:between w:val="nil"/>
        </w:pBdr>
        <w:jc w:val="center"/>
        <w:rPr>
          <w:color w:val="000000"/>
        </w:rPr>
      </w:pPr>
    </w:p>
    <w:p w14:paraId="533B7DF6" w14:textId="77777777" w:rsidR="00936477" w:rsidRDefault="00936477">
      <w:pPr>
        <w:pBdr>
          <w:top w:val="nil"/>
          <w:left w:val="nil"/>
          <w:bottom w:val="nil"/>
          <w:right w:val="nil"/>
          <w:between w:val="nil"/>
        </w:pBdr>
        <w:jc w:val="center"/>
        <w:rPr>
          <w:color w:val="000000"/>
        </w:rPr>
      </w:pPr>
    </w:p>
    <w:p w14:paraId="67A24806" w14:textId="77777777" w:rsidR="00936477" w:rsidRDefault="00936477">
      <w:pPr>
        <w:pBdr>
          <w:top w:val="nil"/>
          <w:left w:val="nil"/>
          <w:bottom w:val="nil"/>
          <w:right w:val="nil"/>
          <w:between w:val="nil"/>
        </w:pBdr>
        <w:jc w:val="center"/>
        <w:rPr>
          <w:color w:val="000000"/>
        </w:rPr>
      </w:pPr>
    </w:p>
    <w:p w14:paraId="62D36ECF" w14:textId="77777777" w:rsidR="00936477" w:rsidRDefault="00936477">
      <w:pPr>
        <w:pBdr>
          <w:top w:val="nil"/>
          <w:left w:val="nil"/>
          <w:bottom w:val="nil"/>
          <w:right w:val="nil"/>
          <w:between w:val="nil"/>
        </w:pBdr>
        <w:jc w:val="center"/>
        <w:rPr>
          <w:color w:val="000000"/>
        </w:rPr>
      </w:pPr>
    </w:p>
    <w:p w14:paraId="42690E9C" w14:textId="77777777" w:rsidR="00936477" w:rsidRDefault="00936477">
      <w:pPr>
        <w:pBdr>
          <w:top w:val="nil"/>
          <w:left w:val="nil"/>
          <w:bottom w:val="nil"/>
          <w:right w:val="nil"/>
          <w:between w:val="nil"/>
        </w:pBdr>
        <w:jc w:val="center"/>
        <w:rPr>
          <w:color w:val="000000"/>
        </w:rPr>
      </w:pPr>
    </w:p>
    <w:p w14:paraId="44DD47C4" w14:textId="77777777" w:rsidR="00936477" w:rsidRDefault="00936477">
      <w:pPr>
        <w:pBdr>
          <w:top w:val="nil"/>
          <w:left w:val="nil"/>
          <w:bottom w:val="nil"/>
          <w:right w:val="nil"/>
          <w:between w:val="nil"/>
        </w:pBdr>
        <w:jc w:val="center"/>
        <w:rPr>
          <w:color w:val="000000"/>
        </w:rPr>
      </w:pPr>
      <w:r>
        <w:rPr>
          <w:color w:val="000000"/>
        </w:rPr>
        <w:t>SUBMITTED TO</w:t>
      </w:r>
    </w:p>
    <w:p w14:paraId="7043D8EE" w14:textId="2B127472" w:rsidR="003510B1" w:rsidRDefault="005512A7">
      <w:pPr>
        <w:pBdr>
          <w:top w:val="nil"/>
          <w:left w:val="nil"/>
          <w:bottom w:val="nil"/>
          <w:right w:val="nil"/>
          <w:between w:val="nil"/>
        </w:pBdr>
        <w:jc w:val="center"/>
        <w:rPr>
          <w:color w:val="000000"/>
        </w:rPr>
      </w:pPr>
      <w:r>
        <w:rPr>
          <w:color w:val="000000"/>
        </w:rPr>
        <w:t>EFUA ADAMS</w:t>
      </w:r>
      <w:r w:rsidR="0048215A">
        <w:br w:type="page"/>
      </w:r>
    </w:p>
    <w:p w14:paraId="7043D8EF" w14:textId="77777777" w:rsidR="003510B1" w:rsidRDefault="003510B1">
      <w:pPr>
        <w:pBdr>
          <w:top w:val="nil"/>
          <w:left w:val="nil"/>
          <w:bottom w:val="nil"/>
          <w:right w:val="nil"/>
          <w:between w:val="nil"/>
        </w:pBdr>
        <w:jc w:val="center"/>
        <w:rPr>
          <w:color w:val="000000"/>
        </w:rPr>
      </w:pPr>
    </w:p>
    <w:p w14:paraId="7043D8F0" w14:textId="77777777" w:rsidR="003510B1" w:rsidRDefault="0048215A">
      <w:pPr>
        <w:pBdr>
          <w:top w:val="nil"/>
          <w:left w:val="nil"/>
          <w:bottom w:val="nil"/>
          <w:right w:val="nil"/>
          <w:between w:val="nil"/>
        </w:pBdr>
        <w:spacing w:line="360" w:lineRule="auto"/>
        <w:jc w:val="center"/>
        <w:rPr>
          <w:b/>
          <w:color w:val="000000"/>
        </w:rPr>
      </w:pPr>
      <w:r>
        <w:rPr>
          <w:b/>
          <w:color w:val="000000"/>
        </w:rPr>
        <w:t>Table of Content</w:t>
      </w:r>
    </w:p>
    <w:sdt>
      <w:sdtPr>
        <w:id w:val="393246399"/>
        <w:docPartObj>
          <w:docPartGallery w:val="Table of Contents"/>
          <w:docPartUnique/>
        </w:docPartObj>
      </w:sdtPr>
      <w:sdtContent>
        <w:p w14:paraId="7043D8F1" w14:textId="77777777" w:rsidR="003510B1" w:rsidRDefault="0048215A">
          <w:pPr>
            <w:widowControl w:val="0"/>
            <w:tabs>
              <w:tab w:val="right" w:pos="12000"/>
            </w:tabs>
            <w:spacing w:before="60" w:line="360" w:lineRule="auto"/>
            <w:rPr>
              <w:b/>
              <w:color w:val="000000"/>
            </w:rPr>
          </w:pPr>
          <w:r>
            <w:fldChar w:fldCharType="begin"/>
          </w:r>
          <w:r>
            <w:instrText xml:space="preserve"> TOC \h \u \z \t "Heading 1,1,Heading 2,2,Heading 3,3,Heading 4,4,Heading 5,5,Heading 6,6,"</w:instrText>
          </w:r>
          <w:r>
            <w:fldChar w:fldCharType="separate"/>
          </w:r>
          <w:hyperlink w:anchor="_heading=h.30j0zll">
            <w:r>
              <w:rPr>
                <w:color w:val="000000"/>
              </w:rPr>
              <w:t>Introduction</w:t>
            </w:r>
            <w:r>
              <w:rPr>
                <w:color w:val="000000"/>
              </w:rPr>
              <w:tab/>
              <w:t>3</w:t>
            </w:r>
          </w:hyperlink>
        </w:p>
        <w:p w14:paraId="7043D8F2" w14:textId="77777777" w:rsidR="003510B1" w:rsidRDefault="00000000">
          <w:pPr>
            <w:widowControl w:val="0"/>
            <w:tabs>
              <w:tab w:val="right" w:pos="12000"/>
            </w:tabs>
            <w:spacing w:before="60" w:line="360" w:lineRule="auto"/>
            <w:rPr>
              <w:b/>
              <w:color w:val="000000"/>
            </w:rPr>
          </w:pPr>
          <w:hyperlink w:anchor="_heading=h.3znysh7">
            <w:r w:rsidR="0048215A">
              <w:rPr>
                <w:color w:val="000000"/>
              </w:rPr>
              <w:t>Main Body</w:t>
            </w:r>
            <w:r w:rsidR="0048215A">
              <w:rPr>
                <w:color w:val="000000"/>
              </w:rPr>
              <w:tab/>
              <w:t>3</w:t>
            </w:r>
          </w:hyperlink>
        </w:p>
        <w:p w14:paraId="7043D8F3" w14:textId="77777777" w:rsidR="003510B1" w:rsidRDefault="00000000" w:rsidP="00807468">
          <w:pPr>
            <w:widowControl w:val="0"/>
            <w:tabs>
              <w:tab w:val="right" w:pos="12000"/>
            </w:tabs>
            <w:spacing w:before="60" w:line="360" w:lineRule="auto"/>
            <w:rPr>
              <w:color w:val="000000"/>
            </w:rPr>
          </w:pPr>
          <w:hyperlink w:anchor="_heading=h.2et92p0">
            <w:r w:rsidR="0048215A">
              <w:rPr>
                <w:color w:val="000000"/>
              </w:rPr>
              <w:t>Part A</w:t>
            </w:r>
            <w:r w:rsidR="0048215A">
              <w:rPr>
                <w:color w:val="000000"/>
              </w:rPr>
              <w:tab/>
              <w:t>3</w:t>
            </w:r>
          </w:hyperlink>
        </w:p>
        <w:p w14:paraId="7043D8F4" w14:textId="77777777" w:rsidR="003510B1" w:rsidRPr="00807468" w:rsidRDefault="00000000" w:rsidP="00807468">
          <w:pPr>
            <w:widowControl w:val="0"/>
            <w:tabs>
              <w:tab w:val="right" w:pos="12000"/>
            </w:tabs>
            <w:spacing w:before="60" w:line="360" w:lineRule="auto"/>
            <w:rPr>
              <w:color w:val="000000"/>
            </w:rPr>
          </w:pPr>
          <w:hyperlink w:anchor="_heading=h.tyjcwt">
            <w:r w:rsidR="0048215A" w:rsidRPr="00807468">
              <w:rPr>
                <w:color w:val="000000"/>
              </w:rPr>
              <w:t>The practice of Flexible Working Strategies used during Post-Pandemic and its benefit.</w:t>
            </w:r>
            <w:r w:rsidR="0048215A" w:rsidRPr="00807468">
              <w:rPr>
                <w:color w:val="000000"/>
              </w:rPr>
              <w:tab/>
              <w:t>3</w:t>
            </w:r>
          </w:hyperlink>
        </w:p>
        <w:p w14:paraId="7043D8F5" w14:textId="77777777" w:rsidR="003510B1" w:rsidRPr="00807468" w:rsidRDefault="00000000" w:rsidP="00807468">
          <w:pPr>
            <w:widowControl w:val="0"/>
            <w:tabs>
              <w:tab w:val="right" w:pos="12000"/>
            </w:tabs>
            <w:spacing w:before="60" w:line="360" w:lineRule="auto"/>
            <w:rPr>
              <w:color w:val="000000"/>
            </w:rPr>
          </w:pPr>
          <w:hyperlink w:anchor="_heading=h.3dy6vkm">
            <w:r w:rsidR="0048215A" w:rsidRPr="00807468">
              <w:rPr>
                <w:color w:val="000000"/>
              </w:rPr>
              <w:t>Legal Implication of Changing Contractual Employee Terms</w:t>
            </w:r>
            <w:r w:rsidR="0048215A" w:rsidRPr="00807468">
              <w:rPr>
                <w:color w:val="000000"/>
              </w:rPr>
              <w:tab/>
              <w:t>6</w:t>
            </w:r>
          </w:hyperlink>
        </w:p>
        <w:p w14:paraId="7043D8F6" w14:textId="77777777" w:rsidR="003510B1" w:rsidRPr="00345DB9" w:rsidRDefault="00000000" w:rsidP="00345DB9">
          <w:pPr>
            <w:widowControl w:val="0"/>
            <w:tabs>
              <w:tab w:val="right" w:pos="12000"/>
            </w:tabs>
            <w:spacing w:before="60" w:line="360" w:lineRule="auto"/>
            <w:rPr>
              <w:color w:val="000000"/>
            </w:rPr>
          </w:pPr>
          <w:hyperlink w:anchor="_heading=h.1t3h5sf">
            <w:r w:rsidR="0048215A" w:rsidRPr="00345DB9">
              <w:rPr>
                <w:color w:val="000000"/>
              </w:rPr>
              <w:t>Potential Impact of Changes on Employee Engagement</w:t>
            </w:r>
            <w:r w:rsidR="0048215A" w:rsidRPr="00345DB9">
              <w:rPr>
                <w:color w:val="000000"/>
              </w:rPr>
              <w:tab/>
              <w:t>9</w:t>
            </w:r>
          </w:hyperlink>
        </w:p>
        <w:p w14:paraId="7043D8F7" w14:textId="77777777" w:rsidR="003510B1" w:rsidRPr="00470EEB" w:rsidRDefault="00000000" w:rsidP="00345DB9">
          <w:pPr>
            <w:widowControl w:val="0"/>
            <w:tabs>
              <w:tab w:val="right" w:pos="12000"/>
            </w:tabs>
            <w:spacing w:before="60" w:line="360" w:lineRule="auto"/>
            <w:rPr>
              <w:color w:val="000000"/>
            </w:rPr>
          </w:pPr>
          <w:hyperlink w:anchor="_heading=h.4d34og8">
            <w:r w:rsidR="0048215A" w:rsidRPr="00470EEB">
              <w:rPr>
                <w:color w:val="000000"/>
              </w:rPr>
              <w:t>Evaluation of H.R. Involvement</w:t>
            </w:r>
            <w:r w:rsidR="0048215A" w:rsidRPr="00470EEB">
              <w:rPr>
                <w:color w:val="000000"/>
              </w:rPr>
              <w:tab/>
              <w:t>12</w:t>
            </w:r>
          </w:hyperlink>
        </w:p>
        <w:p w14:paraId="7043D8F8" w14:textId="77777777" w:rsidR="003510B1" w:rsidRDefault="00000000" w:rsidP="00470EEB">
          <w:pPr>
            <w:widowControl w:val="0"/>
            <w:tabs>
              <w:tab w:val="right" w:pos="12000"/>
            </w:tabs>
            <w:spacing w:before="60" w:line="360" w:lineRule="auto"/>
            <w:rPr>
              <w:color w:val="000000"/>
            </w:rPr>
          </w:pPr>
          <w:hyperlink w:anchor="_heading=h.17dp8vu">
            <w:r w:rsidR="0048215A">
              <w:rPr>
                <w:color w:val="000000"/>
              </w:rPr>
              <w:t>Part B</w:t>
            </w:r>
            <w:r w:rsidR="0048215A">
              <w:rPr>
                <w:color w:val="000000"/>
              </w:rPr>
              <w:tab/>
              <w:t>15</w:t>
            </w:r>
          </w:hyperlink>
        </w:p>
        <w:p w14:paraId="7043D8F9" w14:textId="77777777" w:rsidR="003510B1" w:rsidRDefault="00000000">
          <w:pPr>
            <w:widowControl w:val="0"/>
            <w:tabs>
              <w:tab w:val="right" w:pos="12000"/>
            </w:tabs>
            <w:spacing w:before="60" w:line="360" w:lineRule="auto"/>
            <w:rPr>
              <w:b/>
              <w:color w:val="000000"/>
            </w:rPr>
          </w:pPr>
          <w:hyperlink w:anchor="_heading=h.3rdcrjn">
            <w:r w:rsidR="0048215A">
              <w:rPr>
                <w:color w:val="000000"/>
              </w:rPr>
              <w:t>Conclusion</w:t>
            </w:r>
            <w:r w:rsidR="0048215A">
              <w:rPr>
                <w:color w:val="000000"/>
              </w:rPr>
              <w:tab/>
              <w:t>18</w:t>
            </w:r>
          </w:hyperlink>
        </w:p>
        <w:p w14:paraId="7043D8FA" w14:textId="77777777" w:rsidR="003510B1" w:rsidRDefault="00000000">
          <w:pPr>
            <w:widowControl w:val="0"/>
            <w:tabs>
              <w:tab w:val="right" w:pos="12000"/>
            </w:tabs>
            <w:spacing w:before="60" w:line="360" w:lineRule="auto"/>
            <w:rPr>
              <w:b/>
              <w:color w:val="000000"/>
            </w:rPr>
          </w:pPr>
          <w:hyperlink w:anchor="_heading=h.lnxbz9">
            <w:r w:rsidR="0048215A">
              <w:rPr>
                <w:color w:val="000000"/>
              </w:rPr>
              <w:t>References</w:t>
            </w:r>
            <w:r w:rsidR="0048215A">
              <w:rPr>
                <w:color w:val="000000"/>
              </w:rPr>
              <w:tab/>
              <w:t>19</w:t>
            </w:r>
          </w:hyperlink>
          <w:r w:rsidR="0048215A">
            <w:fldChar w:fldCharType="end"/>
          </w:r>
        </w:p>
      </w:sdtContent>
    </w:sdt>
    <w:p w14:paraId="7043D8FB" w14:textId="77777777" w:rsidR="003510B1" w:rsidRDefault="003510B1">
      <w:pPr>
        <w:pBdr>
          <w:top w:val="nil"/>
          <w:left w:val="nil"/>
          <w:bottom w:val="nil"/>
          <w:right w:val="nil"/>
          <w:between w:val="nil"/>
        </w:pBdr>
        <w:spacing w:line="360" w:lineRule="auto"/>
        <w:rPr>
          <w:color w:val="000000"/>
        </w:rPr>
      </w:pPr>
    </w:p>
    <w:p w14:paraId="7043D8FC" w14:textId="77777777" w:rsidR="003510B1" w:rsidRDefault="0048215A">
      <w:pPr>
        <w:pStyle w:val="Heading1"/>
        <w:rPr>
          <w:b/>
          <w:sz w:val="22"/>
          <w:szCs w:val="22"/>
        </w:rPr>
      </w:pPr>
      <w:bookmarkStart w:id="0" w:name="_heading=h.gjdgxs" w:colFirst="0" w:colLast="0"/>
      <w:bookmarkEnd w:id="0"/>
      <w:r>
        <w:br w:type="page"/>
      </w:r>
    </w:p>
    <w:p w14:paraId="7043D8FD" w14:textId="77777777" w:rsidR="003510B1" w:rsidRDefault="0048215A">
      <w:pPr>
        <w:pStyle w:val="Heading1"/>
        <w:rPr>
          <w:b/>
          <w:sz w:val="22"/>
          <w:szCs w:val="22"/>
        </w:rPr>
      </w:pPr>
      <w:bookmarkStart w:id="1" w:name="_heading=h.30j0zll" w:colFirst="0" w:colLast="0"/>
      <w:bookmarkEnd w:id="1"/>
      <w:r>
        <w:rPr>
          <w:b/>
          <w:sz w:val="22"/>
          <w:szCs w:val="22"/>
        </w:rPr>
        <w:lastRenderedPageBreak/>
        <w:t xml:space="preserve">Introduction </w:t>
      </w:r>
    </w:p>
    <w:p w14:paraId="7043D8FE" w14:textId="77777777" w:rsidR="003510B1" w:rsidRDefault="0048215A">
      <w:pPr>
        <w:pBdr>
          <w:top w:val="nil"/>
          <w:left w:val="nil"/>
          <w:bottom w:val="nil"/>
          <w:right w:val="nil"/>
          <w:between w:val="nil"/>
        </w:pBdr>
        <w:spacing w:line="360" w:lineRule="auto"/>
        <w:jc w:val="both"/>
        <w:rPr>
          <w:color w:val="000000"/>
        </w:rPr>
      </w:pPr>
      <w:bookmarkStart w:id="2" w:name="_heading=h.1fob9te" w:colFirst="0" w:colLast="0"/>
      <w:bookmarkEnd w:id="2"/>
      <w:r>
        <w:rPr>
          <w:color w:val="000000"/>
        </w:rPr>
        <w:t xml:space="preserve">Human Resource Management, as stated by </w:t>
      </w:r>
      <w:proofErr w:type="spellStart"/>
      <w:r>
        <w:rPr>
          <w:color w:val="000000"/>
        </w:rPr>
        <w:t>Hamouche</w:t>
      </w:r>
      <w:proofErr w:type="spellEnd"/>
      <w:r>
        <w:rPr>
          <w:color w:val="000000"/>
        </w:rPr>
        <w:t xml:space="preserve"> (2031), is associated with keeping employees healthy, safe, and satisfied by appropriate workplace policies. This assignment will reflect upon flexible working strategies post-pandemic while evaluating their potential impact on employee engagement. In </w:t>
      </w:r>
      <w:proofErr w:type="gramStart"/>
      <w:r>
        <w:rPr>
          <w:color w:val="000000"/>
        </w:rPr>
        <w:t>addition,  managerial</w:t>
      </w:r>
      <w:proofErr w:type="gramEnd"/>
      <w:r>
        <w:rPr>
          <w:color w:val="000000"/>
        </w:rPr>
        <w:t xml:space="preserve"> implications for </w:t>
      </w:r>
      <w:r>
        <w:t xml:space="preserve">the JLL organisation in the UK </w:t>
      </w:r>
      <w:r>
        <w:rPr>
          <w:color w:val="000000"/>
        </w:rPr>
        <w:t xml:space="preserve"> will also be provided in this assignment. </w:t>
      </w:r>
    </w:p>
    <w:p w14:paraId="7043D900" w14:textId="77777777" w:rsidR="003510B1" w:rsidRDefault="0048215A">
      <w:pPr>
        <w:pStyle w:val="Heading2"/>
        <w:rPr>
          <w:rFonts w:ascii="Arial" w:eastAsia="Arial" w:hAnsi="Arial" w:cs="Arial"/>
          <w:sz w:val="22"/>
          <w:szCs w:val="22"/>
        </w:rPr>
      </w:pPr>
      <w:bookmarkStart w:id="3" w:name="_heading=h.3znysh7" w:colFirst="0" w:colLast="0"/>
      <w:bookmarkStart w:id="4" w:name="_heading=h.2et92p0" w:colFirst="0" w:colLast="0"/>
      <w:bookmarkEnd w:id="3"/>
      <w:bookmarkEnd w:id="4"/>
      <w:r>
        <w:rPr>
          <w:rFonts w:ascii="Arial" w:eastAsia="Arial" w:hAnsi="Arial" w:cs="Arial"/>
          <w:sz w:val="22"/>
          <w:szCs w:val="22"/>
        </w:rPr>
        <w:t xml:space="preserve">Part A </w:t>
      </w:r>
    </w:p>
    <w:p w14:paraId="7043D901" w14:textId="7CF059A2" w:rsidR="003510B1" w:rsidRPr="006725F0" w:rsidRDefault="0048215A">
      <w:pPr>
        <w:pStyle w:val="Heading3"/>
        <w:rPr>
          <w:b/>
          <w:iCs/>
          <w:color w:val="000000"/>
          <w:sz w:val="22"/>
          <w:szCs w:val="22"/>
        </w:rPr>
      </w:pPr>
      <w:bookmarkStart w:id="5" w:name="_heading=h.tyjcwt" w:colFirst="0" w:colLast="0"/>
      <w:bookmarkEnd w:id="5"/>
      <w:r w:rsidRPr="006725F0">
        <w:rPr>
          <w:b/>
          <w:iCs/>
          <w:sz w:val="22"/>
          <w:szCs w:val="22"/>
        </w:rPr>
        <w:t xml:space="preserve">The practice of Flexible Working Strategies used during </w:t>
      </w:r>
      <w:r w:rsidR="000129C2" w:rsidRPr="006725F0">
        <w:rPr>
          <w:b/>
          <w:iCs/>
          <w:sz w:val="22"/>
          <w:szCs w:val="22"/>
        </w:rPr>
        <w:t>post-Pandemic</w:t>
      </w:r>
      <w:r w:rsidRPr="006725F0">
        <w:rPr>
          <w:b/>
          <w:iCs/>
          <w:sz w:val="22"/>
          <w:szCs w:val="22"/>
        </w:rPr>
        <w:t xml:space="preserve"> and its benefit. </w:t>
      </w:r>
    </w:p>
    <w:p w14:paraId="7043D902" w14:textId="77777777" w:rsidR="003510B1" w:rsidRDefault="003510B1">
      <w:pPr>
        <w:pBdr>
          <w:top w:val="nil"/>
          <w:left w:val="nil"/>
          <w:bottom w:val="nil"/>
          <w:right w:val="nil"/>
          <w:between w:val="nil"/>
        </w:pBdr>
        <w:rPr>
          <w:color w:val="000000"/>
        </w:rPr>
      </w:pPr>
    </w:p>
    <w:p w14:paraId="7043D903" w14:textId="77777777" w:rsidR="003510B1" w:rsidRDefault="0048215A">
      <w:pPr>
        <w:pBdr>
          <w:top w:val="nil"/>
          <w:left w:val="nil"/>
          <w:bottom w:val="nil"/>
          <w:right w:val="nil"/>
          <w:between w:val="nil"/>
        </w:pBdr>
        <w:spacing w:line="360" w:lineRule="auto"/>
        <w:jc w:val="both"/>
        <w:rPr>
          <w:color w:val="000000"/>
        </w:rPr>
      </w:pPr>
      <w:r>
        <w:rPr>
          <w:color w:val="000000"/>
        </w:rPr>
        <w:t>Flexible working practice can be described as a working arrangement for employees that provides them with flexibility on how long and when the employees can work (</w:t>
      </w:r>
      <w:proofErr w:type="spellStart"/>
      <w:r>
        <w:rPr>
          <w:color w:val="000000"/>
        </w:rPr>
        <w:t>Aroles</w:t>
      </w:r>
      <w:proofErr w:type="spellEnd"/>
      <w:r>
        <w:rPr>
          <w:color w:val="000000"/>
        </w:rPr>
        <w:t xml:space="preserve">, </w:t>
      </w:r>
      <w:proofErr w:type="spellStart"/>
      <w:r>
        <w:rPr>
          <w:color w:val="000000"/>
        </w:rPr>
        <w:t>Mitev</w:t>
      </w:r>
      <w:proofErr w:type="spellEnd"/>
      <w:r>
        <w:rPr>
          <w:color w:val="000000"/>
        </w:rPr>
        <w:t xml:space="preserve">, and de </w:t>
      </w:r>
      <w:proofErr w:type="spellStart"/>
      <w:r>
        <w:rPr>
          <w:color w:val="000000"/>
        </w:rPr>
        <w:t>Vaujany</w:t>
      </w:r>
      <w:proofErr w:type="spellEnd"/>
      <w:r>
        <w:rPr>
          <w:color w:val="000000"/>
        </w:rPr>
        <w:t xml:space="preserve">, 2019). Moreover, these flexible working practices include </w:t>
      </w:r>
      <w:proofErr w:type="gramStart"/>
      <w:r>
        <w:rPr>
          <w:color w:val="000000"/>
        </w:rPr>
        <w:t>a number of</w:t>
      </w:r>
      <w:proofErr w:type="gramEnd"/>
      <w:r>
        <w:rPr>
          <w:color w:val="000000"/>
        </w:rPr>
        <w:t xml:space="preserve"> different practices such as part-time working, Job sharing, term-time working, compressed hours, </w:t>
      </w:r>
      <w:r>
        <w:t>and others</w:t>
      </w:r>
      <w:r>
        <w:rPr>
          <w:color w:val="000000"/>
        </w:rPr>
        <w:t xml:space="preserve">. This can be understood by the initiative undertaken by KPMG </w:t>
      </w:r>
      <w:r>
        <w:t>in the UK</w:t>
      </w:r>
      <w:r>
        <w:rPr>
          <w:color w:val="000000"/>
        </w:rPr>
        <w:t>, where the compan</w:t>
      </w:r>
      <w:r>
        <w:t>ies</w:t>
      </w:r>
      <w:r>
        <w:rPr>
          <w:color w:val="000000"/>
        </w:rPr>
        <w:t xml:space="preserve"> such as JLL, CBRE, and Sa</w:t>
      </w:r>
      <w:r>
        <w:t>vills</w:t>
      </w:r>
      <w:r>
        <w:rPr>
          <w:color w:val="000000"/>
        </w:rPr>
        <w:t xml:space="preserve"> introduced an agile work policy that allowed the employees to work from anywhere while not hampering the quality of the work. </w:t>
      </w:r>
    </w:p>
    <w:p w14:paraId="7043D904" w14:textId="77777777" w:rsidR="003510B1" w:rsidRDefault="0048215A">
      <w:pPr>
        <w:pBdr>
          <w:top w:val="nil"/>
          <w:left w:val="nil"/>
          <w:bottom w:val="nil"/>
          <w:right w:val="nil"/>
          <w:between w:val="nil"/>
        </w:pBdr>
        <w:spacing w:line="360" w:lineRule="auto"/>
        <w:jc w:val="both"/>
      </w:pPr>
      <w:r>
        <w:t>Jones Lang LaSalle Incorporated, which in short is JLL, is a UK-centric company that provides commercial services relating to real estate globally (</w:t>
      </w:r>
      <w:proofErr w:type="spellStart"/>
      <w:r>
        <w:t>jll</w:t>
      </w:r>
      <w:proofErr w:type="spellEnd"/>
      <w:r>
        <w:t xml:space="preserve">, 2023). The firm has operations in over 80 countries worldwide. </w:t>
      </w:r>
    </w:p>
    <w:p w14:paraId="7043D905" w14:textId="77777777" w:rsidR="003510B1" w:rsidRDefault="003510B1">
      <w:pPr>
        <w:pBdr>
          <w:top w:val="nil"/>
          <w:left w:val="nil"/>
          <w:bottom w:val="nil"/>
          <w:right w:val="nil"/>
          <w:between w:val="nil"/>
        </w:pBdr>
        <w:spacing w:line="360" w:lineRule="auto"/>
        <w:jc w:val="both"/>
        <w:rPr>
          <w:color w:val="000000"/>
        </w:rPr>
      </w:pPr>
    </w:p>
    <w:p w14:paraId="7043D906" w14:textId="77777777" w:rsidR="003510B1" w:rsidRDefault="0048215A">
      <w:pPr>
        <w:pBdr>
          <w:top w:val="nil"/>
          <w:left w:val="nil"/>
          <w:bottom w:val="nil"/>
          <w:right w:val="nil"/>
          <w:between w:val="nil"/>
        </w:pBdr>
        <w:spacing w:line="360" w:lineRule="auto"/>
        <w:jc w:val="center"/>
        <w:rPr>
          <w:color w:val="000000"/>
        </w:rPr>
      </w:pPr>
      <w:r>
        <w:rPr>
          <w:noProof/>
          <w:color w:val="000000"/>
        </w:rPr>
        <w:drawing>
          <wp:inline distT="114300" distB="114300" distL="114300" distR="114300" wp14:anchorId="7043D9C1" wp14:editId="7043D9C2">
            <wp:extent cx="4010101" cy="2557463"/>
            <wp:effectExtent l="0" t="0" r="0" b="0"/>
            <wp:docPr id="2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010101" cy="2557463"/>
                    </a:xfrm>
                    <a:prstGeom prst="rect">
                      <a:avLst/>
                    </a:prstGeom>
                    <a:ln/>
                  </pic:spPr>
                </pic:pic>
              </a:graphicData>
            </a:graphic>
          </wp:inline>
        </w:drawing>
      </w:r>
    </w:p>
    <w:p w14:paraId="7043D907" w14:textId="77777777" w:rsidR="003510B1" w:rsidRDefault="0048215A">
      <w:pPr>
        <w:pBdr>
          <w:top w:val="nil"/>
          <w:left w:val="nil"/>
          <w:bottom w:val="nil"/>
          <w:right w:val="nil"/>
          <w:between w:val="nil"/>
        </w:pBdr>
        <w:spacing w:line="360" w:lineRule="auto"/>
        <w:jc w:val="center"/>
        <w:rPr>
          <w:color w:val="000000"/>
        </w:rPr>
      </w:pPr>
      <w:r>
        <w:rPr>
          <w:color w:val="000000"/>
        </w:rPr>
        <w:t>Figure 1: Remote Working before &amp; After Covid-19</w:t>
      </w:r>
    </w:p>
    <w:p w14:paraId="7043D908" w14:textId="77777777" w:rsidR="003510B1" w:rsidRDefault="0048215A">
      <w:pPr>
        <w:pBdr>
          <w:top w:val="nil"/>
          <w:left w:val="nil"/>
          <w:bottom w:val="nil"/>
          <w:right w:val="nil"/>
          <w:between w:val="nil"/>
        </w:pBdr>
        <w:spacing w:line="360" w:lineRule="auto"/>
        <w:jc w:val="center"/>
        <w:rPr>
          <w:color w:val="000000"/>
        </w:rPr>
      </w:pPr>
      <w:r>
        <w:rPr>
          <w:color w:val="000000"/>
        </w:rPr>
        <w:t xml:space="preserve">Source: Statista, 2022 </w:t>
      </w:r>
    </w:p>
    <w:p w14:paraId="7043D909" w14:textId="77777777" w:rsidR="003510B1" w:rsidRDefault="003510B1">
      <w:pPr>
        <w:pBdr>
          <w:top w:val="nil"/>
          <w:left w:val="nil"/>
          <w:bottom w:val="nil"/>
          <w:right w:val="nil"/>
          <w:between w:val="nil"/>
        </w:pBdr>
        <w:spacing w:line="360" w:lineRule="auto"/>
        <w:jc w:val="center"/>
        <w:rPr>
          <w:color w:val="000000"/>
        </w:rPr>
      </w:pPr>
    </w:p>
    <w:p w14:paraId="7043D90A" w14:textId="77777777" w:rsidR="003510B1" w:rsidRDefault="0048215A">
      <w:pPr>
        <w:pBdr>
          <w:top w:val="nil"/>
          <w:left w:val="nil"/>
          <w:bottom w:val="nil"/>
          <w:right w:val="nil"/>
          <w:between w:val="nil"/>
        </w:pBdr>
        <w:spacing w:line="360" w:lineRule="auto"/>
        <w:jc w:val="both"/>
      </w:pPr>
      <w:r>
        <w:rPr>
          <w:color w:val="000000"/>
        </w:rPr>
        <w:t xml:space="preserve">The above figure 1 reflects that remote or flexible working has significantly increased during the pandemic due to the imposed lockdowns and restrictions around the world, which made commuting impossible. In this regard, telework or remote work provides a solution to both the companies and the employees to perform their job roles in the comfort of their homes while not compromising on quality (Statista, 2022). </w:t>
      </w:r>
      <w:r>
        <w:t xml:space="preserve">For example, flexible work practices in the real estate sector include providing round-the-clock part-time job experiences to workers in different construction sites. Workers of JLL UK can divide the total </w:t>
      </w:r>
      <w:proofErr w:type="spellStart"/>
      <w:r>
        <w:t>labor</w:t>
      </w:r>
      <w:proofErr w:type="spellEnd"/>
      <w:r>
        <w:t xml:space="preserve"> amongst themselves and work at different shifts of small duration. Not only can this help workers meet personal obligations, but it also allows the construction firm to complete their projects on time. </w:t>
      </w:r>
    </w:p>
    <w:p w14:paraId="7043D90B" w14:textId="77777777" w:rsidR="003510B1" w:rsidRPr="00BF79DD" w:rsidRDefault="003510B1">
      <w:pPr>
        <w:pBdr>
          <w:top w:val="nil"/>
          <w:left w:val="nil"/>
          <w:bottom w:val="nil"/>
          <w:right w:val="nil"/>
          <w:between w:val="nil"/>
        </w:pBdr>
        <w:spacing w:line="360" w:lineRule="auto"/>
        <w:jc w:val="both"/>
        <w:rPr>
          <w:iCs/>
        </w:rPr>
      </w:pPr>
    </w:p>
    <w:p w14:paraId="7043D90C" w14:textId="77777777" w:rsidR="003510B1" w:rsidRPr="00BF79DD" w:rsidRDefault="0048215A">
      <w:pPr>
        <w:pBdr>
          <w:top w:val="nil"/>
          <w:left w:val="nil"/>
          <w:bottom w:val="nil"/>
          <w:right w:val="nil"/>
          <w:between w:val="nil"/>
        </w:pBdr>
        <w:spacing w:line="360" w:lineRule="auto"/>
        <w:jc w:val="both"/>
        <w:rPr>
          <w:b/>
          <w:iCs/>
          <w:color w:val="000000"/>
        </w:rPr>
      </w:pPr>
      <w:r w:rsidRPr="00BF79DD">
        <w:rPr>
          <w:b/>
          <w:iCs/>
          <w:color w:val="000000"/>
        </w:rPr>
        <w:t xml:space="preserve">Flexible Working Practices Post Pandemic </w:t>
      </w:r>
    </w:p>
    <w:p w14:paraId="7043D90D" w14:textId="77777777" w:rsidR="003510B1" w:rsidRDefault="003510B1">
      <w:pPr>
        <w:pBdr>
          <w:top w:val="nil"/>
          <w:left w:val="nil"/>
          <w:bottom w:val="nil"/>
          <w:right w:val="nil"/>
          <w:between w:val="nil"/>
        </w:pBdr>
        <w:spacing w:line="360" w:lineRule="auto"/>
        <w:jc w:val="both"/>
        <w:rPr>
          <w:b/>
          <w:i/>
          <w:color w:val="000000"/>
        </w:rPr>
      </w:pPr>
    </w:p>
    <w:p w14:paraId="7043D90E" w14:textId="77777777" w:rsidR="003510B1" w:rsidRDefault="0048215A">
      <w:pPr>
        <w:pBdr>
          <w:top w:val="nil"/>
          <w:left w:val="nil"/>
          <w:bottom w:val="nil"/>
          <w:right w:val="nil"/>
          <w:between w:val="nil"/>
        </w:pBdr>
        <w:spacing w:line="360" w:lineRule="auto"/>
        <w:jc w:val="both"/>
        <w:rPr>
          <w:color w:val="000000"/>
        </w:rPr>
      </w:pPr>
      <w:r>
        <w:rPr>
          <w:color w:val="000000"/>
        </w:rPr>
        <w:t xml:space="preserve">Some of the flexible work strategies that are used by the organizations are: </w:t>
      </w:r>
    </w:p>
    <w:p w14:paraId="7043D90F" w14:textId="77777777" w:rsidR="003510B1" w:rsidRDefault="003510B1">
      <w:pPr>
        <w:pBdr>
          <w:top w:val="nil"/>
          <w:left w:val="nil"/>
          <w:bottom w:val="nil"/>
          <w:right w:val="nil"/>
          <w:between w:val="nil"/>
        </w:pBdr>
        <w:spacing w:line="360" w:lineRule="auto"/>
        <w:jc w:val="both"/>
        <w:rPr>
          <w:color w:val="000000"/>
        </w:rPr>
      </w:pPr>
    </w:p>
    <w:p w14:paraId="7043D910" w14:textId="77777777" w:rsidR="003510B1" w:rsidRDefault="0048215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rPr>
      </w:pPr>
      <w:r w:rsidRPr="00BF79DD">
        <w:rPr>
          <w:b/>
          <w:iCs/>
          <w:color w:val="000000"/>
        </w:rPr>
        <w:t>Distributed Teams &amp; Remote Work:</w:t>
      </w:r>
      <w:r>
        <w:rPr>
          <w:b/>
          <w:i/>
          <w:color w:val="000000"/>
        </w:rPr>
        <w:t xml:space="preserve"> </w:t>
      </w:r>
      <w:r>
        <w:rPr>
          <w:color w:val="000000"/>
        </w:rPr>
        <w:t xml:space="preserve">The below-depicted image 2 reflects that remote work has been on the rise post the pandemic and is redefining the corporate structure. </w:t>
      </w:r>
    </w:p>
    <w:p w14:paraId="7043D911" w14:textId="77777777" w:rsidR="003510B1" w:rsidRDefault="003510B1">
      <w:pPr>
        <w:pBdr>
          <w:top w:val="nil"/>
          <w:left w:val="nil"/>
          <w:bottom w:val="nil"/>
          <w:right w:val="nil"/>
          <w:between w:val="nil"/>
        </w:pBdr>
        <w:spacing w:line="360" w:lineRule="auto"/>
        <w:jc w:val="both"/>
        <w:rPr>
          <w:color w:val="000000"/>
        </w:rPr>
      </w:pPr>
    </w:p>
    <w:p w14:paraId="7043D912" w14:textId="77777777" w:rsidR="003510B1" w:rsidRDefault="0048215A">
      <w:pPr>
        <w:pBdr>
          <w:top w:val="nil"/>
          <w:left w:val="nil"/>
          <w:bottom w:val="nil"/>
          <w:right w:val="nil"/>
          <w:between w:val="nil"/>
        </w:pBdr>
        <w:spacing w:line="360" w:lineRule="auto"/>
        <w:jc w:val="center"/>
        <w:rPr>
          <w:color w:val="000000"/>
        </w:rPr>
      </w:pPr>
      <w:r>
        <w:rPr>
          <w:noProof/>
          <w:color w:val="000000"/>
        </w:rPr>
        <w:drawing>
          <wp:inline distT="114300" distB="114300" distL="114300" distR="114300" wp14:anchorId="7043D9C3" wp14:editId="7043D9C4">
            <wp:extent cx="3427762" cy="3233738"/>
            <wp:effectExtent l="0" t="0" r="0" b="0"/>
            <wp:docPr id="2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427762" cy="3233738"/>
                    </a:xfrm>
                    <a:prstGeom prst="rect">
                      <a:avLst/>
                    </a:prstGeom>
                    <a:ln/>
                  </pic:spPr>
                </pic:pic>
              </a:graphicData>
            </a:graphic>
          </wp:inline>
        </w:drawing>
      </w:r>
    </w:p>
    <w:p w14:paraId="7043D913" w14:textId="77777777" w:rsidR="003510B1" w:rsidRDefault="0048215A">
      <w:pPr>
        <w:pBdr>
          <w:top w:val="nil"/>
          <w:left w:val="nil"/>
          <w:bottom w:val="nil"/>
          <w:right w:val="nil"/>
          <w:between w:val="nil"/>
        </w:pBdr>
        <w:spacing w:line="360" w:lineRule="auto"/>
        <w:jc w:val="center"/>
        <w:rPr>
          <w:color w:val="000000"/>
        </w:rPr>
      </w:pPr>
      <w:r>
        <w:rPr>
          <w:color w:val="000000"/>
        </w:rPr>
        <w:t xml:space="preserve">Figure 2: Remote work </w:t>
      </w:r>
      <w:proofErr w:type="gramStart"/>
      <w:r>
        <w:rPr>
          <w:color w:val="000000"/>
        </w:rPr>
        <w:t>on the basis of</w:t>
      </w:r>
      <w:proofErr w:type="gramEnd"/>
      <w:r>
        <w:rPr>
          <w:color w:val="000000"/>
        </w:rPr>
        <w:t xml:space="preserve"> Occupation </w:t>
      </w:r>
    </w:p>
    <w:p w14:paraId="7043D914" w14:textId="77777777" w:rsidR="003510B1" w:rsidRDefault="0048215A">
      <w:pPr>
        <w:pBdr>
          <w:top w:val="nil"/>
          <w:left w:val="nil"/>
          <w:bottom w:val="nil"/>
          <w:right w:val="nil"/>
          <w:between w:val="nil"/>
        </w:pBdr>
        <w:spacing w:line="360" w:lineRule="auto"/>
        <w:jc w:val="center"/>
        <w:rPr>
          <w:color w:val="000000"/>
        </w:rPr>
      </w:pPr>
      <w:r>
        <w:rPr>
          <w:color w:val="000000"/>
        </w:rPr>
        <w:t xml:space="preserve">Source: Anderson and </w:t>
      </w:r>
      <w:proofErr w:type="spellStart"/>
      <w:r>
        <w:rPr>
          <w:color w:val="000000"/>
        </w:rPr>
        <w:t>Kelliher</w:t>
      </w:r>
      <w:proofErr w:type="spellEnd"/>
      <w:r>
        <w:rPr>
          <w:color w:val="000000"/>
        </w:rPr>
        <w:t>, 2020</w:t>
      </w:r>
    </w:p>
    <w:p w14:paraId="7043D915" w14:textId="77777777" w:rsidR="003510B1" w:rsidRDefault="003510B1">
      <w:pPr>
        <w:pBdr>
          <w:top w:val="nil"/>
          <w:left w:val="nil"/>
          <w:bottom w:val="nil"/>
          <w:right w:val="nil"/>
          <w:between w:val="nil"/>
        </w:pBdr>
        <w:spacing w:line="360" w:lineRule="auto"/>
        <w:jc w:val="both"/>
        <w:rPr>
          <w:color w:val="000000"/>
        </w:rPr>
      </w:pPr>
    </w:p>
    <w:p w14:paraId="7043D916" w14:textId="77777777" w:rsidR="003510B1" w:rsidRDefault="0048215A">
      <w:pPr>
        <w:pBdr>
          <w:top w:val="nil"/>
          <w:left w:val="nil"/>
          <w:bottom w:val="nil"/>
          <w:right w:val="nil"/>
          <w:between w:val="nil"/>
        </w:pBdr>
        <w:spacing w:line="360" w:lineRule="auto"/>
        <w:jc w:val="both"/>
        <w:rPr>
          <w:color w:val="000000"/>
        </w:rPr>
      </w:pPr>
      <w:r>
        <w:rPr>
          <w:color w:val="000000"/>
        </w:rPr>
        <w:t xml:space="preserve">This work strategy is being used by </w:t>
      </w:r>
      <w:proofErr w:type="spellStart"/>
      <w:r>
        <w:rPr>
          <w:color w:val="000000"/>
        </w:rPr>
        <w:t>FormAssembly</w:t>
      </w:r>
      <w:proofErr w:type="spellEnd"/>
      <w:r>
        <w:rPr>
          <w:color w:val="000000"/>
        </w:rPr>
        <w:t xml:space="preserve"> and Sqwiggle, where the companies have provided the employees with permission to work from anywhere while staying connected via virtual communication. The company J</w:t>
      </w:r>
      <w:r>
        <w:t>LL</w:t>
      </w:r>
      <w:r>
        <w:rPr>
          <w:color w:val="000000"/>
        </w:rPr>
        <w:t xml:space="preserve"> has also made an initiative to distribute the team virtually to create a positive work culture while getting an idea of what more can be improved (</w:t>
      </w:r>
      <w:proofErr w:type="spellStart"/>
      <w:r>
        <w:rPr>
          <w:color w:val="000000"/>
        </w:rPr>
        <w:t>Sunaryo</w:t>
      </w:r>
      <w:proofErr w:type="spellEnd"/>
      <w:r>
        <w:rPr>
          <w:color w:val="000000"/>
        </w:rPr>
        <w:t xml:space="preserve"> </w:t>
      </w:r>
      <w:r>
        <w:rPr>
          <w:i/>
          <w:color w:val="000000"/>
        </w:rPr>
        <w:t xml:space="preserve">et al., </w:t>
      </w:r>
      <w:r>
        <w:rPr>
          <w:color w:val="000000"/>
        </w:rPr>
        <w:t>2022). In figure 2,</w:t>
      </w:r>
      <w:r>
        <w:t xml:space="preserve"> there is a change of 126.4% in the construction and extraction sector, which is by far the highest. Therefore, real estate firms like JLL UK experience a high level of flexibility in the workplace. The concept of flexibility in the workplace includes the distribution of labour in a manner that allows workers to rejuvenate themselves and discharge responsibilities in the workplace effectively (</w:t>
      </w:r>
      <w:proofErr w:type="spellStart"/>
      <w:r>
        <w:rPr>
          <w:color w:val="222222"/>
        </w:rPr>
        <w:t>Angelici</w:t>
      </w:r>
      <w:proofErr w:type="spellEnd"/>
      <w:r>
        <w:rPr>
          <w:color w:val="222222"/>
        </w:rPr>
        <w:t xml:space="preserve"> and </w:t>
      </w:r>
      <w:proofErr w:type="spellStart"/>
      <w:r>
        <w:rPr>
          <w:color w:val="222222"/>
        </w:rPr>
        <w:t>Profeta</w:t>
      </w:r>
      <w:proofErr w:type="spellEnd"/>
      <w:r>
        <w:rPr>
          <w:color w:val="222222"/>
        </w:rPr>
        <w:t>, 2020</w:t>
      </w:r>
      <w:r>
        <w:t xml:space="preserve">). For this purpose, the JLL UK firm distributes its employees into different teams according to their skills. Such teams enable the firm to allocate workers with specialised skills in different construction projects. </w:t>
      </w:r>
    </w:p>
    <w:p w14:paraId="7043D917" w14:textId="77777777" w:rsidR="003510B1" w:rsidRDefault="003510B1">
      <w:pPr>
        <w:pBdr>
          <w:top w:val="nil"/>
          <w:left w:val="nil"/>
          <w:bottom w:val="nil"/>
          <w:right w:val="nil"/>
          <w:between w:val="nil"/>
        </w:pBdr>
        <w:spacing w:line="360" w:lineRule="auto"/>
        <w:jc w:val="both"/>
        <w:rPr>
          <w:color w:val="000000"/>
        </w:rPr>
      </w:pPr>
    </w:p>
    <w:p w14:paraId="7043D918" w14:textId="77777777" w:rsidR="003510B1" w:rsidRPr="000129C2" w:rsidRDefault="0048215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i/>
          <w:color w:val="000000"/>
        </w:rPr>
      </w:pPr>
      <w:r w:rsidRPr="00BF79DD">
        <w:rPr>
          <w:b/>
          <w:iCs/>
          <w:color w:val="000000"/>
        </w:rPr>
        <w:t>Job Sharing</w:t>
      </w:r>
      <w:r>
        <w:rPr>
          <w:b/>
          <w:i/>
          <w:color w:val="000000"/>
        </w:rPr>
        <w:t xml:space="preserve">: </w:t>
      </w:r>
      <w:r>
        <w:rPr>
          <w:color w:val="0E101A"/>
        </w:rPr>
        <w:t xml:space="preserve">Job sharing is another efficient, flexible working strategy adopted by several companies like JLL, which allows the employees to have their time apart from their work time. In this regard, a job share team is created by two employees who come into a partnership to perform specific jobs (Chen </w:t>
      </w:r>
      <w:r>
        <w:rPr>
          <w:i/>
          <w:color w:val="0E101A"/>
        </w:rPr>
        <w:t xml:space="preserve">et al. </w:t>
      </w:r>
      <w:r>
        <w:rPr>
          <w:color w:val="0E101A"/>
        </w:rPr>
        <w:t>2019). For example, during a work week, employee A can work on the same project from Monday to Wednesday, and employee B can work from Wednesday to Friday on the same project while having complementary responsibilities for the completion of a project. This is an effective, flexible work strategy used by organizations post the pandemic to avoid brain drains due to excessive workload. This strategy is perfect for those employees who do not have any other alternative to take care of their families or for those employees who are pursuing some additional educational courses (</w:t>
      </w:r>
      <w:proofErr w:type="spellStart"/>
      <w:r>
        <w:rPr>
          <w:color w:val="0E101A"/>
        </w:rPr>
        <w:t>Aroles</w:t>
      </w:r>
      <w:proofErr w:type="spellEnd"/>
      <w:r>
        <w:rPr>
          <w:color w:val="0E101A"/>
        </w:rPr>
        <w:t xml:space="preserve">, </w:t>
      </w:r>
      <w:proofErr w:type="spellStart"/>
      <w:r>
        <w:rPr>
          <w:color w:val="0E101A"/>
        </w:rPr>
        <w:t>Mitev</w:t>
      </w:r>
      <w:proofErr w:type="spellEnd"/>
      <w:r>
        <w:rPr>
          <w:color w:val="0E101A"/>
        </w:rPr>
        <w:t xml:space="preserve">, and de </w:t>
      </w:r>
      <w:proofErr w:type="spellStart"/>
      <w:r>
        <w:rPr>
          <w:color w:val="0E101A"/>
        </w:rPr>
        <w:t>Vaujany</w:t>
      </w:r>
      <w:proofErr w:type="spellEnd"/>
      <w:r>
        <w:rPr>
          <w:color w:val="0E101A"/>
        </w:rPr>
        <w:t>, 2019).</w:t>
      </w:r>
    </w:p>
    <w:p w14:paraId="71C8143E" w14:textId="77777777" w:rsidR="000129C2" w:rsidRDefault="000129C2" w:rsidP="000129C2">
      <w:pPr>
        <w:pBdr>
          <w:top w:val="nil"/>
          <w:left w:val="nil"/>
          <w:bottom w:val="nil"/>
          <w:right w:val="nil"/>
          <w:between w:val="nil"/>
        </w:pBdr>
        <w:spacing w:line="360" w:lineRule="auto"/>
        <w:jc w:val="both"/>
        <w:rPr>
          <w:rFonts w:ascii="Times New Roman" w:eastAsia="Times New Roman" w:hAnsi="Times New Roman" w:cs="Times New Roman"/>
          <w:b/>
          <w:i/>
          <w:color w:val="000000"/>
        </w:rPr>
      </w:pPr>
    </w:p>
    <w:p w14:paraId="3A38E5F8" w14:textId="77777777" w:rsidR="000129C2" w:rsidRDefault="000129C2" w:rsidP="000129C2">
      <w:pPr>
        <w:pBdr>
          <w:top w:val="nil"/>
          <w:left w:val="nil"/>
          <w:bottom w:val="nil"/>
          <w:right w:val="nil"/>
          <w:between w:val="nil"/>
        </w:pBdr>
        <w:spacing w:line="360" w:lineRule="auto"/>
        <w:jc w:val="both"/>
        <w:rPr>
          <w:rFonts w:ascii="Times New Roman" w:eastAsia="Times New Roman" w:hAnsi="Times New Roman" w:cs="Times New Roman"/>
          <w:b/>
          <w:i/>
          <w:color w:val="000000"/>
        </w:rPr>
      </w:pPr>
    </w:p>
    <w:p w14:paraId="7C849B3E" w14:textId="77777777" w:rsidR="000129C2" w:rsidRDefault="000129C2" w:rsidP="000129C2">
      <w:pPr>
        <w:pBdr>
          <w:top w:val="nil"/>
          <w:left w:val="nil"/>
          <w:bottom w:val="nil"/>
          <w:right w:val="nil"/>
          <w:between w:val="nil"/>
        </w:pBdr>
        <w:spacing w:line="360" w:lineRule="auto"/>
        <w:jc w:val="both"/>
        <w:rPr>
          <w:rFonts w:ascii="Times New Roman" w:eastAsia="Times New Roman" w:hAnsi="Times New Roman" w:cs="Times New Roman"/>
          <w:b/>
          <w:i/>
          <w:color w:val="000000"/>
        </w:rPr>
      </w:pPr>
    </w:p>
    <w:p w14:paraId="0EBC3DEA" w14:textId="77777777" w:rsidR="000129C2" w:rsidRDefault="000129C2" w:rsidP="000129C2">
      <w:pPr>
        <w:pBdr>
          <w:top w:val="nil"/>
          <w:left w:val="nil"/>
          <w:bottom w:val="nil"/>
          <w:right w:val="nil"/>
          <w:between w:val="nil"/>
        </w:pBdr>
        <w:spacing w:line="360" w:lineRule="auto"/>
        <w:jc w:val="both"/>
        <w:rPr>
          <w:rFonts w:ascii="Times New Roman" w:eastAsia="Times New Roman" w:hAnsi="Times New Roman" w:cs="Times New Roman"/>
          <w:b/>
          <w:i/>
          <w:color w:val="000000"/>
        </w:rPr>
      </w:pPr>
    </w:p>
    <w:p w14:paraId="1E5E3721" w14:textId="77777777" w:rsidR="000129C2" w:rsidRDefault="000129C2" w:rsidP="000129C2">
      <w:pPr>
        <w:pBdr>
          <w:top w:val="nil"/>
          <w:left w:val="nil"/>
          <w:bottom w:val="nil"/>
          <w:right w:val="nil"/>
          <w:between w:val="nil"/>
        </w:pBdr>
        <w:spacing w:line="360" w:lineRule="auto"/>
        <w:jc w:val="both"/>
        <w:rPr>
          <w:rFonts w:ascii="Times New Roman" w:eastAsia="Times New Roman" w:hAnsi="Times New Roman" w:cs="Times New Roman"/>
          <w:b/>
          <w:i/>
          <w:color w:val="000000"/>
        </w:rPr>
      </w:pPr>
    </w:p>
    <w:p w14:paraId="01150A53" w14:textId="77777777" w:rsidR="000129C2" w:rsidRDefault="000129C2" w:rsidP="000129C2">
      <w:pPr>
        <w:pBdr>
          <w:top w:val="nil"/>
          <w:left w:val="nil"/>
          <w:bottom w:val="nil"/>
          <w:right w:val="nil"/>
          <w:between w:val="nil"/>
        </w:pBdr>
        <w:spacing w:line="360" w:lineRule="auto"/>
        <w:jc w:val="both"/>
        <w:rPr>
          <w:rFonts w:ascii="Times New Roman" w:eastAsia="Times New Roman" w:hAnsi="Times New Roman" w:cs="Times New Roman"/>
          <w:b/>
          <w:i/>
          <w:color w:val="000000"/>
        </w:rPr>
      </w:pPr>
    </w:p>
    <w:p w14:paraId="07CC92BE" w14:textId="77777777" w:rsidR="000129C2" w:rsidRDefault="000129C2" w:rsidP="000129C2">
      <w:pPr>
        <w:pBdr>
          <w:top w:val="nil"/>
          <w:left w:val="nil"/>
          <w:bottom w:val="nil"/>
          <w:right w:val="nil"/>
          <w:between w:val="nil"/>
        </w:pBdr>
        <w:spacing w:line="360" w:lineRule="auto"/>
        <w:jc w:val="both"/>
        <w:rPr>
          <w:rFonts w:ascii="Times New Roman" w:eastAsia="Times New Roman" w:hAnsi="Times New Roman" w:cs="Times New Roman"/>
          <w:b/>
          <w:i/>
          <w:color w:val="000000"/>
        </w:rPr>
      </w:pPr>
    </w:p>
    <w:p w14:paraId="28FBE5A5" w14:textId="77777777" w:rsidR="000129C2" w:rsidRDefault="000129C2" w:rsidP="000129C2">
      <w:pPr>
        <w:pBdr>
          <w:top w:val="nil"/>
          <w:left w:val="nil"/>
          <w:bottom w:val="nil"/>
          <w:right w:val="nil"/>
          <w:between w:val="nil"/>
        </w:pBdr>
        <w:spacing w:line="360" w:lineRule="auto"/>
        <w:jc w:val="both"/>
        <w:rPr>
          <w:rFonts w:ascii="Times New Roman" w:eastAsia="Times New Roman" w:hAnsi="Times New Roman" w:cs="Times New Roman"/>
          <w:b/>
          <w:i/>
          <w:color w:val="000000"/>
        </w:rPr>
      </w:pPr>
    </w:p>
    <w:p w14:paraId="0C66DF3D" w14:textId="77777777" w:rsidR="000129C2" w:rsidRDefault="000129C2" w:rsidP="000129C2">
      <w:pPr>
        <w:pBdr>
          <w:top w:val="nil"/>
          <w:left w:val="nil"/>
          <w:bottom w:val="nil"/>
          <w:right w:val="nil"/>
          <w:between w:val="nil"/>
        </w:pBdr>
        <w:spacing w:line="360" w:lineRule="auto"/>
        <w:jc w:val="both"/>
        <w:rPr>
          <w:rFonts w:ascii="Times New Roman" w:eastAsia="Times New Roman" w:hAnsi="Times New Roman" w:cs="Times New Roman"/>
          <w:b/>
          <w:i/>
          <w:color w:val="000000"/>
        </w:rPr>
      </w:pPr>
    </w:p>
    <w:p w14:paraId="7043D919" w14:textId="77777777" w:rsidR="003510B1" w:rsidRDefault="003510B1">
      <w:pPr>
        <w:pBdr>
          <w:top w:val="nil"/>
          <w:left w:val="nil"/>
          <w:bottom w:val="nil"/>
          <w:right w:val="nil"/>
          <w:between w:val="nil"/>
        </w:pBdr>
        <w:spacing w:line="360" w:lineRule="auto"/>
        <w:jc w:val="both"/>
        <w:rPr>
          <w:color w:val="000000"/>
        </w:rPr>
      </w:pPr>
    </w:p>
    <w:p w14:paraId="7043D91A" w14:textId="77777777" w:rsidR="003510B1" w:rsidRPr="00BF79DD" w:rsidRDefault="0048215A">
      <w:pPr>
        <w:pBdr>
          <w:top w:val="nil"/>
          <w:left w:val="nil"/>
          <w:bottom w:val="nil"/>
          <w:right w:val="nil"/>
          <w:between w:val="nil"/>
        </w:pBdr>
        <w:spacing w:line="360" w:lineRule="auto"/>
        <w:jc w:val="both"/>
        <w:rPr>
          <w:b/>
          <w:iCs/>
          <w:color w:val="000000"/>
        </w:rPr>
      </w:pPr>
      <w:r w:rsidRPr="00BF79DD">
        <w:rPr>
          <w:b/>
          <w:iCs/>
          <w:color w:val="000000"/>
        </w:rPr>
        <w:lastRenderedPageBreak/>
        <w:t>Benefits of Flexible Working Practices</w:t>
      </w:r>
    </w:p>
    <w:p w14:paraId="7043D91B" w14:textId="77777777" w:rsidR="003510B1" w:rsidRDefault="003510B1">
      <w:pPr>
        <w:pBdr>
          <w:top w:val="nil"/>
          <w:left w:val="nil"/>
          <w:bottom w:val="nil"/>
          <w:right w:val="nil"/>
          <w:between w:val="nil"/>
        </w:pBdr>
        <w:spacing w:line="360" w:lineRule="auto"/>
        <w:jc w:val="both"/>
        <w:rPr>
          <w:b/>
          <w:i/>
          <w:color w:val="000000"/>
        </w:rPr>
      </w:pPr>
    </w:p>
    <w:p w14:paraId="7043D91C" w14:textId="77777777" w:rsidR="003510B1" w:rsidRDefault="0048215A">
      <w:pPr>
        <w:pBdr>
          <w:top w:val="nil"/>
          <w:left w:val="nil"/>
          <w:bottom w:val="nil"/>
          <w:right w:val="nil"/>
          <w:between w:val="nil"/>
        </w:pBdr>
        <w:spacing w:line="360" w:lineRule="auto"/>
        <w:jc w:val="both"/>
        <w:rPr>
          <w:color w:val="0E101A"/>
        </w:rPr>
      </w:pPr>
      <w:r>
        <w:rPr>
          <w:color w:val="0E101A"/>
        </w:rPr>
        <w:t xml:space="preserve">Some of the major benefits of flexible working practices for real estate organizations like JLL </w:t>
      </w:r>
      <w:proofErr w:type="gramStart"/>
      <w:r>
        <w:rPr>
          <w:color w:val="0E101A"/>
        </w:rPr>
        <w:t>UK  are</w:t>
      </w:r>
      <w:proofErr w:type="gramEnd"/>
      <w:r>
        <w:rPr>
          <w:color w:val="0E101A"/>
        </w:rPr>
        <w:t xml:space="preserve">: </w:t>
      </w:r>
    </w:p>
    <w:p w14:paraId="7043D91D" w14:textId="77777777" w:rsidR="003510B1" w:rsidRDefault="003510B1">
      <w:pPr>
        <w:pBdr>
          <w:top w:val="nil"/>
          <w:left w:val="nil"/>
          <w:bottom w:val="nil"/>
          <w:right w:val="nil"/>
          <w:between w:val="nil"/>
        </w:pBdr>
        <w:spacing w:line="360" w:lineRule="auto"/>
        <w:jc w:val="both"/>
        <w:rPr>
          <w:color w:val="0E101A"/>
        </w:rPr>
      </w:pPr>
    </w:p>
    <w:p w14:paraId="7043D91E" w14:textId="77777777" w:rsidR="003510B1" w:rsidRDefault="0048215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rPr>
      </w:pPr>
      <w:r w:rsidRPr="00BF79DD">
        <w:rPr>
          <w:b/>
          <w:iCs/>
          <w:color w:val="0E101A"/>
        </w:rPr>
        <w:t>Enhanced Employee Productivity</w:t>
      </w:r>
      <w:r>
        <w:rPr>
          <w:b/>
          <w:i/>
          <w:color w:val="0E101A"/>
        </w:rPr>
        <w:t xml:space="preserve">: </w:t>
      </w:r>
      <w:r>
        <w:rPr>
          <w:color w:val="0E101A"/>
        </w:rPr>
        <w:t xml:space="preserve">Remote working increases the productivity of the employees because they do not need to travel much, which saves a lot of their time, and this time can be utilized to focus on work. Moreover, </w:t>
      </w:r>
      <w:proofErr w:type="spellStart"/>
      <w:r>
        <w:rPr>
          <w:color w:val="0E101A"/>
        </w:rPr>
        <w:t>Davidescu</w:t>
      </w:r>
      <w:proofErr w:type="spellEnd"/>
      <w:r>
        <w:rPr>
          <w:color w:val="0E101A"/>
        </w:rPr>
        <w:t xml:space="preserve"> </w:t>
      </w:r>
      <w:r>
        <w:rPr>
          <w:i/>
          <w:color w:val="0E101A"/>
        </w:rPr>
        <w:t xml:space="preserve">et al. </w:t>
      </w:r>
      <w:r>
        <w:rPr>
          <w:color w:val="0E101A"/>
        </w:rPr>
        <w:t xml:space="preserve">(2020) also opined that the flexible working practice provides real estate employees with a better work-life balance while imposing a positive impact on their work productivity because they can spend their time with their families, which reduces stress, dissatisfaction, and burnout.   </w:t>
      </w:r>
    </w:p>
    <w:p w14:paraId="7043D91F" w14:textId="77777777" w:rsidR="003510B1" w:rsidRDefault="0048215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rPr>
      </w:pPr>
      <w:r w:rsidRPr="00481101">
        <w:rPr>
          <w:b/>
          <w:iCs/>
          <w:color w:val="0E101A"/>
        </w:rPr>
        <w:t>Job Satisfaction:</w:t>
      </w:r>
      <w:r>
        <w:rPr>
          <w:b/>
          <w:i/>
          <w:color w:val="0E101A"/>
        </w:rPr>
        <w:t xml:space="preserve"> </w:t>
      </w:r>
      <w:r>
        <w:rPr>
          <w:color w:val="0E101A"/>
        </w:rPr>
        <w:t xml:space="preserve">Flexible working practices also provide job satisfaction to the employees while increasing employee engagement post the pandemic period as the employees feel valued by gaining work-from-home allowances.  </w:t>
      </w:r>
    </w:p>
    <w:p w14:paraId="7043D920" w14:textId="77777777" w:rsidR="003510B1" w:rsidRDefault="0048215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rPr>
      </w:pPr>
      <w:r w:rsidRPr="003B20C7">
        <w:rPr>
          <w:b/>
          <w:iCs/>
          <w:color w:val="0E101A"/>
        </w:rPr>
        <w:t>Increased Employee Retention:</w:t>
      </w:r>
      <w:r>
        <w:rPr>
          <w:color w:val="0E101A"/>
        </w:rPr>
        <w:t xml:space="preserve"> It has been observed that flexible working hours can significantly increase the Job retention rates of employees by up to 60% as remote working satisfies the employees while providing them with the freedom they require (Anderson and </w:t>
      </w:r>
      <w:proofErr w:type="spellStart"/>
      <w:r>
        <w:rPr>
          <w:color w:val="0E101A"/>
        </w:rPr>
        <w:t>Kelliher</w:t>
      </w:r>
      <w:proofErr w:type="spellEnd"/>
      <w:r>
        <w:rPr>
          <w:color w:val="0E101A"/>
        </w:rPr>
        <w:t xml:space="preserve">, 2020). For example, it has been observed that the retention rate for SAP Labs has increased by 26% after the JLL introduced a flexible working policy post the pandemic where the employees can come and leave the office whenever they want. The JLL further does not monitor their entry and exit timings which boosts employees' satisfaction. </w:t>
      </w:r>
    </w:p>
    <w:p w14:paraId="7043D921" w14:textId="77777777" w:rsidR="003510B1" w:rsidRDefault="003510B1">
      <w:pPr>
        <w:pBdr>
          <w:top w:val="nil"/>
          <w:left w:val="nil"/>
          <w:bottom w:val="nil"/>
          <w:right w:val="nil"/>
          <w:between w:val="nil"/>
        </w:pBdr>
        <w:jc w:val="both"/>
        <w:rPr>
          <w:color w:val="000000"/>
        </w:rPr>
      </w:pPr>
    </w:p>
    <w:p w14:paraId="7043D922" w14:textId="77777777" w:rsidR="003510B1" w:rsidRPr="003B20C7" w:rsidRDefault="0048215A">
      <w:pPr>
        <w:pStyle w:val="Heading3"/>
        <w:rPr>
          <w:b/>
          <w:iCs/>
          <w:color w:val="000000"/>
          <w:sz w:val="22"/>
          <w:szCs w:val="22"/>
        </w:rPr>
      </w:pPr>
      <w:bookmarkStart w:id="6" w:name="_heading=h.3dy6vkm" w:colFirst="0" w:colLast="0"/>
      <w:bookmarkEnd w:id="6"/>
      <w:r w:rsidRPr="003B20C7">
        <w:rPr>
          <w:b/>
          <w:iCs/>
          <w:sz w:val="22"/>
          <w:szCs w:val="22"/>
        </w:rPr>
        <w:t xml:space="preserve">Legal Implication of Changing Contractual Employee Terms </w:t>
      </w:r>
    </w:p>
    <w:p w14:paraId="7043D923" w14:textId="77777777" w:rsidR="003510B1" w:rsidRDefault="003510B1">
      <w:pPr>
        <w:pBdr>
          <w:top w:val="nil"/>
          <w:left w:val="nil"/>
          <w:bottom w:val="nil"/>
          <w:right w:val="nil"/>
          <w:between w:val="nil"/>
        </w:pBdr>
        <w:rPr>
          <w:color w:val="000000"/>
        </w:rPr>
      </w:pPr>
    </w:p>
    <w:p w14:paraId="7043D924" w14:textId="77777777" w:rsidR="003510B1" w:rsidRDefault="0048215A">
      <w:pPr>
        <w:pBdr>
          <w:top w:val="nil"/>
          <w:left w:val="nil"/>
          <w:bottom w:val="nil"/>
          <w:right w:val="nil"/>
          <w:between w:val="nil"/>
        </w:pBdr>
        <w:spacing w:line="360" w:lineRule="auto"/>
        <w:jc w:val="both"/>
        <w:rPr>
          <w:color w:val="000000"/>
        </w:rPr>
      </w:pPr>
      <w:r>
        <w:rPr>
          <w:color w:val="000000"/>
        </w:rPr>
        <w:t xml:space="preserve">Changing contractual employee terms is highly complicated and can cause </w:t>
      </w:r>
      <w:proofErr w:type="gramStart"/>
      <w:r>
        <w:rPr>
          <w:color w:val="000000"/>
        </w:rPr>
        <w:t>a number of</w:t>
      </w:r>
      <w:proofErr w:type="gramEnd"/>
      <w:r>
        <w:rPr>
          <w:color w:val="000000"/>
        </w:rPr>
        <w:t xml:space="preserve"> issues in terms of balancing the requirements of the business along with the rights of the workers. Additionally, </w:t>
      </w:r>
      <w:proofErr w:type="spellStart"/>
      <w:r>
        <w:rPr>
          <w:color w:val="000000"/>
        </w:rPr>
        <w:t>Abarantyne</w:t>
      </w:r>
      <w:proofErr w:type="spellEnd"/>
      <w:r>
        <w:rPr>
          <w:color w:val="000000"/>
        </w:rPr>
        <w:t xml:space="preserve">, Naidoo, and </w:t>
      </w:r>
      <w:proofErr w:type="spellStart"/>
      <w:r>
        <w:rPr>
          <w:color w:val="000000"/>
        </w:rPr>
        <w:t>Rugimbana</w:t>
      </w:r>
      <w:proofErr w:type="spellEnd"/>
      <w:r>
        <w:rPr>
          <w:color w:val="000000"/>
        </w:rPr>
        <w:t xml:space="preserve"> (2019) opined that changes in the employment contract could differ in several ways by considering a collective agreement, mutual agreement, or re-engagement of new employee contractual terms. The changes in the terms and conditions of </w:t>
      </w:r>
      <w:r>
        <w:t>employment</w:t>
      </w:r>
      <w:r>
        <w:rPr>
          <w:color w:val="000000"/>
        </w:rPr>
        <w:t xml:space="preserve"> contracts can be made through agreements between employers and employees as well as </w:t>
      </w:r>
      <w:r>
        <w:t>collective agreements (</w:t>
      </w:r>
      <w:r>
        <w:rPr>
          <w:color w:val="222222"/>
        </w:rPr>
        <w:t>Lee, 2021</w:t>
      </w:r>
      <w:r>
        <w:t xml:space="preserve">). Here collective agreement is the negotiation that takes place between a staff association or trade union and the employer. This is found in real estate companies like JLL UK. The legal implication for changing terms of contractual employment alters </w:t>
      </w:r>
      <w:r>
        <w:lastRenderedPageBreak/>
        <w:t xml:space="preserve">wage rates, duties, responsibilities, duration, and location of work. These are vital for real estate firms like JLL UK which change terms depending on the situation. </w:t>
      </w:r>
      <w:r>
        <w:rPr>
          <w:color w:val="000000"/>
        </w:rPr>
        <w:t xml:space="preserve"> </w:t>
      </w:r>
    </w:p>
    <w:p w14:paraId="7043D925" w14:textId="77777777" w:rsidR="003510B1" w:rsidRDefault="003510B1">
      <w:pPr>
        <w:pBdr>
          <w:top w:val="nil"/>
          <w:left w:val="nil"/>
          <w:bottom w:val="nil"/>
          <w:right w:val="nil"/>
          <w:between w:val="nil"/>
        </w:pBdr>
        <w:spacing w:line="360" w:lineRule="auto"/>
        <w:jc w:val="both"/>
        <w:rPr>
          <w:color w:val="000000"/>
        </w:rPr>
      </w:pPr>
    </w:p>
    <w:p w14:paraId="7043D926" w14:textId="77777777" w:rsidR="003510B1" w:rsidRPr="00131124" w:rsidRDefault="0048215A">
      <w:pPr>
        <w:pBdr>
          <w:top w:val="nil"/>
          <w:left w:val="nil"/>
          <w:bottom w:val="nil"/>
          <w:right w:val="nil"/>
          <w:between w:val="nil"/>
        </w:pBdr>
        <w:spacing w:line="360" w:lineRule="auto"/>
        <w:jc w:val="both"/>
        <w:rPr>
          <w:iCs/>
          <w:color w:val="000000"/>
        </w:rPr>
      </w:pPr>
      <w:r w:rsidRPr="00131124">
        <w:rPr>
          <w:b/>
          <w:iCs/>
          <w:color w:val="000000"/>
        </w:rPr>
        <w:t>Variation by Agreement</w:t>
      </w:r>
    </w:p>
    <w:p w14:paraId="7043D927" w14:textId="77777777" w:rsidR="003510B1" w:rsidRDefault="0048215A">
      <w:pPr>
        <w:pBdr>
          <w:top w:val="nil"/>
          <w:left w:val="nil"/>
          <w:bottom w:val="nil"/>
          <w:right w:val="nil"/>
          <w:between w:val="nil"/>
        </w:pBdr>
        <w:spacing w:line="360" w:lineRule="auto"/>
        <w:jc w:val="both"/>
        <w:rPr>
          <w:color w:val="000000"/>
        </w:rPr>
      </w:pPr>
      <w:r>
        <w:rPr>
          <w:color w:val="000000"/>
        </w:rPr>
        <w:t xml:space="preserve">Furthermore, the legal implication of changing contractual employees in terms of variation by agreement is an ideal way to make contractual alterations which suggests that the alterations should be made with the employee's consent </w:t>
      </w:r>
      <w:proofErr w:type="gramStart"/>
      <w:r>
        <w:rPr>
          <w:color w:val="000000"/>
        </w:rPr>
        <w:t>so as to</w:t>
      </w:r>
      <w:proofErr w:type="gramEnd"/>
      <w:r>
        <w:rPr>
          <w:color w:val="000000"/>
        </w:rPr>
        <w:t xml:space="preserve"> avoid any future disputes. Moreover, it was also observed by Gardner, Pierce, and Peng (2021) that variations in the Employment contract could also be made in the rising or orally, where the revised contracts should be signed by the employees while providing a declaration that they have read and understood the altered contract and its conditions. Some more considerations, such as a bonus or a pay rise, might also be considered while applying alterations in the employee contractual terms. </w:t>
      </w:r>
    </w:p>
    <w:p w14:paraId="7043D928" w14:textId="77777777" w:rsidR="003510B1" w:rsidRDefault="003510B1">
      <w:pPr>
        <w:pBdr>
          <w:top w:val="nil"/>
          <w:left w:val="nil"/>
          <w:bottom w:val="nil"/>
          <w:right w:val="nil"/>
          <w:between w:val="nil"/>
        </w:pBdr>
        <w:spacing w:line="360" w:lineRule="auto"/>
        <w:jc w:val="both"/>
        <w:rPr>
          <w:color w:val="000000"/>
        </w:rPr>
      </w:pPr>
    </w:p>
    <w:p w14:paraId="7043D929" w14:textId="77777777" w:rsidR="003510B1" w:rsidRPr="00131124" w:rsidRDefault="0048215A">
      <w:pPr>
        <w:pBdr>
          <w:top w:val="nil"/>
          <w:left w:val="nil"/>
          <w:bottom w:val="nil"/>
          <w:right w:val="nil"/>
          <w:between w:val="nil"/>
        </w:pBdr>
        <w:spacing w:line="360" w:lineRule="auto"/>
        <w:jc w:val="both"/>
        <w:rPr>
          <w:b/>
          <w:iCs/>
          <w:color w:val="000000"/>
        </w:rPr>
      </w:pPr>
      <w:r w:rsidRPr="00131124">
        <w:rPr>
          <w:b/>
          <w:iCs/>
          <w:color w:val="000000"/>
        </w:rPr>
        <w:t>Variation by Collective Agreement</w:t>
      </w:r>
    </w:p>
    <w:p w14:paraId="7043D92A" w14:textId="77777777" w:rsidR="003510B1" w:rsidRDefault="0048215A">
      <w:pPr>
        <w:pBdr>
          <w:top w:val="nil"/>
          <w:left w:val="nil"/>
          <w:bottom w:val="nil"/>
          <w:right w:val="nil"/>
          <w:between w:val="nil"/>
        </w:pBdr>
        <w:spacing w:line="360" w:lineRule="auto"/>
        <w:jc w:val="both"/>
        <w:rPr>
          <w:color w:val="000000"/>
        </w:rPr>
      </w:pPr>
      <w:r>
        <w:rPr>
          <w:color w:val="000000"/>
        </w:rPr>
        <w:t xml:space="preserve">In terms of variations made in the collective agreement of the contractual employees, there may be several issues that might arise in terms of negotiation between the trade union and employers (Mensah, 2019). Additionally, if the union and the employers negotiate changes that are not agreed upon by the employee, then the employee can claim that he is not bound by the negotiation charges. Besides, once the agreement is altered and still needs to be approved by the employee, then the agreement might also be terminated. Therefore, the agreement of changes in the </w:t>
      </w:r>
      <w:r>
        <w:t>employment</w:t>
      </w:r>
      <w:r>
        <w:rPr>
          <w:color w:val="000000"/>
        </w:rPr>
        <w:t xml:space="preserve"> contracts is necessary to be </w:t>
      </w:r>
      <w:r>
        <w:t>accepted</w:t>
      </w:r>
      <w:r>
        <w:rPr>
          <w:color w:val="000000"/>
        </w:rPr>
        <w:t xml:space="preserve"> collectively by both the JLL UK man</w:t>
      </w:r>
      <w:r>
        <w:t xml:space="preserve">agement and their employees. </w:t>
      </w:r>
    </w:p>
    <w:p w14:paraId="7043D92B" w14:textId="77777777" w:rsidR="003510B1" w:rsidRDefault="003510B1">
      <w:pPr>
        <w:pBdr>
          <w:top w:val="nil"/>
          <w:left w:val="nil"/>
          <w:bottom w:val="nil"/>
          <w:right w:val="nil"/>
          <w:between w:val="nil"/>
        </w:pBdr>
        <w:spacing w:line="360" w:lineRule="auto"/>
        <w:jc w:val="both"/>
        <w:rPr>
          <w:color w:val="000000"/>
        </w:rPr>
      </w:pPr>
    </w:p>
    <w:p w14:paraId="7043D92C" w14:textId="77777777" w:rsidR="003510B1" w:rsidRPr="00131124" w:rsidRDefault="0048215A">
      <w:pPr>
        <w:pBdr>
          <w:top w:val="nil"/>
          <w:left w:val="nil"/>
          <w:bottom w:val="nil"/>
          <w:right w:val="nil"/>
          <w:between w:val="nil"/>
        </w:pBdr>
        <w:spacing w:line="360" w:lineRule="auto"/>
        <w:jc w:val="both"/>
        <w:rPr>
          <w:iCs/>
          <w:color w:val="000000"/>
        </w:rPr>
      </w:pPr>
      <w:r w:rsidRPr="00131124">
        <w:rPr>
          <w:b/>
          <w:iCs/>
          <w:color w:val="000000"/>
        </w:rPr>
        <w:t xml:space="preserve">Variations Allowed in Employment Contract </w:t>
      </w:r>
    </w:p>
    <w:p w14:paraId="7043D92D" w14:textId="77777777" w:rsidR="003510B1" w:rsidRDefault="0048215A">
      <w:pPr>
        <w:pBdr>
          <w:top w:val="nil"/>
          <w:left w:val="nil"/>
          <w:bottom w:val="nil"/>
          <w:right w:val="nil"/>
          <w:between w:val="nil"/>
        </w:pBdr>
        <w:spacing w:line="360" w:lineRule="auto"/>
        <w:jc w:val="both"/>
      </w:pPr>
      <w:r>
        <w:rPr>
          <w:color w:val="000000"/>
        </w:rPr>
        <w:t xml:space="preserve">The variations that can be allowed in the variations made for altering a contract contain those contracts having flexibility clauses that allow the employer to vary with terms and conditions unilaterally. Moreover, the contract should be wide enough to cover any proposed changes, even if it is a minor change in the working hours of the employee. Another contract where variations in the terms and conditions, according to Van Der </w:t>
      </w:r>
      <w:proofErr w:type="spellStart"/>
      <w:r>
        <w:rPr>
          <w:color w:val="000000"/>
        </w:rPr>
        <w:t>Schaft</w:t>
      </w:r>
      <w:proofErr w:type="spellEnd"/>
      <w:r>
        <w:rPr>
          <w:color w:val="000000"/>
        </w:rPr>
        <w:t xml:space="preserve"> </w:t>
      </w:r>
      <w:r>
        <w:rPr>
          <w:i/>
          <w:color w:val="000000"/>
        </w:rPr>
        <w:t xml:space="preserve">et al. </w:t>
      </w:r>
      <w:r>
        <w:rPr>
          <w:color w:val="000000"/>
        </w:rPr>
        <w:t xml:space="preserve">(2020), are allowed for providing mutual confidence and trust between the employees and the employers in all the contracts that require the staff and the employers not to act in an unreasonable manner while making the actions of the employer lawful. The JLL UK, a real estate firm, also allows variations in the contracts of its employees </w:t>
      </w:r>
      <w:r>
        <w:t xml:space="preserve">regarding the payment of wages, </w:t>
      </w:r>
      <w:proofErr w:type="spellStart"/>
      <w:r>
        <w:t>medicare</w:t>
      </w:r>
      <w:proofErr w:type="spellEnd"/>
      <w:r>
        <w:t xml:space="preserve"> facilities, and working durations. These </w:t>
      </w:r>
      <w:r>
        <w:lastRenderedPageBreak/>
        <w:t>changes are notified beforehand and communicated effectively to workers. This is done to ensure clarity and understanding between supervisors and employees.</w:t>
      </w:r>
    </w:p>
    <w:p w14:paraId="7043D92E" w14:textId="77777777" w:rsidR="003510B1" w:rsidRDefault="003510B1">
      <w:pPr>
        <w:pBdr>
          <w:top w:val="nil"/>
          <w:left w:val="nil"/>
          <w:bottom w:val="nil"/>
          <w:right w:val="nil"/>
          <w:between w:val="nil"/>
        </w:pBdr>
        <w:spacing w:line="360" w:lineRule="auto"/>
        <w:jc w:val="both"/>
      </w:pPr>
    </w:p>
    <w:p w14:paraId="7043D92F" w14:textId="77777777" w:rsidR="003510B1" w:rsidRPr="00131124" w:rsidRDefault="0048215A">
      <w:pPr>
        <w:pBdr>
          <w:top w:val="nil"/>
          <w:left w:val="nil"/>
          <w:bottom w:val="nil"/>
          <w:right w:val="nil"/>
          <w:between w:val="nil"/>
        </w:pBdr>
        <w:spacing w:line="360" w:lineRule="auto"/>
        <w:jc w:val="both"/>
        <w:rPr>
          <w:b/>
          <w:iCs/>
          <w:color w:val="000000"/>
        </w:rPr>
      </w:pPr>
      <w:r w:rsidRPr="00131124">
        <w:rPr>
          <w:b/>
          <w:iCs/>
          <w:color w:val="000000"/>
        </w:rPr>
        <w:t xml:space="preserve">Dismissal and Re-engagement of new terms </w:t>
      </w:r>
    </w:p>
    <w:p w14:paraId="7043D930" w14:textId="77777777" w:rsidR="003510B1" w:rsidRDefault="0048215A">
      <w:pPr>
        <w:pBdr>
          <w:top w:val="nil"/>
          <w:left w:val="nil"/>
          <w:bottom w:val="nil"/>
          <w:right w:val="nil"/>
          <w:between w:val="nil"/>
        </w:pBdr>
        <w:spacing w:line="360" w:lineRule="auto"/>
        <w:jc w:val="both"/>
        <w:rPr>
          <w:color w:val="000000"/>
        </w:rPr>
      </w:pPr>
      <w:r>
        <w:rPr>
          <w:color w:val="000000"/>
        </w:rPr>
        <w:t xml:space="preserve">A legal implication of dismissal of the new terms is that in case of the absence of contractual flexibility, the employers might dismiss the staff on a temporary basis and offer to rearrange the terms and conditions. However, there are certain risks associated with this approach, such as the risk of losing the staff along with the risk of gaining tribunal claims. In addition, Mousa (2020) also asserted that a vital legal implication is to start employment immediately via the revised contract as soon as the old contract comes to an end. This is followed </w:t>
      </w:r>
      <w:r>
        <w:t>by real</w:t>
      </w:r>
      <w:r>
        <w:rPr>
          <w:color w:val="000000"/>
        </w:rPr>
        <w:t xml:space="preserve"> estate organisations like JLL UK to ensure the continued supply of </w:t>
      </w:r>
      <w:r>
        <w:t>efficient</w:t>
      </w:r>
      <w:r>
        <w:rPr>
          <w:color w:val="000000"/>
        </w:rPr>
        <w:t xml:space="preserve"> </w:t>
      </w:r>
      <w:r>
        <w:t>workers even after the completion of construction projects. As a result, real estate firms never run out of employees due to the dismissal of old and re-engagement of new terms.</w:t>
      </w:r>
    </w:p>
    <w:p w14:paraId="7043D931" w14:textId="77777777" w:rsidR="003510B1" w:rsidRDefault="003510B1">
      <w:pPr>
        <w:pBdr>
          <w:top w:val="nil"/>
          <w:left w:val="nil"/>
          <w:bottom w:val="nil"/>
          <w:right w:val="nil"/>
          <w:between w:val="nil"/>
        </w:pBdr>
        <w:spacing w:line="360" w:lineRule="auto"/>
        <w:jc w:val="both"/>
        <w:rPr>
          <w:color w:val="000000"/>
        </w:rPr>
      </w:pPr>
    </w:p>
    <w:p w14:paraId="7043D932" w14:textId="77777777" w:rsidR="003510B1" w:rsidRPr="00131124" w:rsidRDefault="0048215A">
      <w:pPr>
        <w:pBdr>
          <w:top w:val="nil"/>
          <w:left w:val="nil"/>
          <w:bottom w:val="nil"/>
          <w:right w:val="nil"/>
          <w:between w:val="nil"/>
        </w:pBdr>
        <w:spacing w:line="360" w:lineRule="auto"/>
        <w:jc w:val="both"/>
        <w:rPr>
          <w:b/>
          <w:iCs/>
          <w:color w:val="000000"/>
        </w:rPr>
      </w:pPr>
      <w:r w:rsidRPr="00131124">
        <w:rPr>
          <w:b/>
          <w:iCs/>
          <w:color w:val="000000"/>
        </w:rPr>
        <w:t xml:space="preserve">Variations in TUPE </w:t>
      </w:r>
    </w:p>
    <w:p w14:paraId="7043D933" w14:textId="77777777" w:rsidR="003510B1" w:rsidRDefault="0048215A">
      <w:pPr>
        <w:pBdr>
          <w:top w:val="nil"/>
          <w:left w:val="nil"/>
          <w:bottom w:val="nil"/>
          <w:right w:val="nil"/>
          <w:between w:val="nil"/>
        </w:pBdr>
        <w:spacing w:line="360" w:lineRule="auto"/>
        <w:jc w:val="both"/>
        <w:rPr>
          <w:color w:val="000000"/>
        </w:rPr>
      </w:pPr>
      <w:r>
        <w:rPr>
          <w:color w:val="000000"/>
        </w:rPr>
        <w:t xml:space="preserve">The regulations associated with TUPE make it difficult to make variations in the employment contract for the employees (Mousa, 2020). Moreover, in this case, the only variations that can be agreed upon are those changes that are done for a particular technical, economic, and organizational reason which are permitted under the alterations to be made in the contract. </w:t>
      </w:r>
    </w:p>
    <w:p w14:paraId="7043D934" w14:textId="77777777" w:rsidR="003510B1" w:rsidRDefault="003510B1">
      <w:pPr>
        <w:pBdr>
          <w:top w:val="nil"/>
          <w:left w:val="nil"/>
          <w:bottom w:val="nil"/>
          <w:right w:val="nil"/>
          <w:between w:val="nil"/>
        </w:pBdr>
        <w:spacing w:line="360" w:lineRule="auto"/>
        <w:jc w:val="both"/>
        <w:rPr>
          <w:color w:val="000000"/>
        </w:rPr>
      </w:pPr>
    </w:p>
    <w:p w14:paraId="3EE82216" w14:textId="77777777" w:rsidR="000129C2" w:rsidRDefault="000129C2">
      <w:pPr>
        <w:pBdr>
          <w:top w:val="nil"/>
          <w:left w:val="nil"/>
          <w:bottom w:val="nil"/>
          <w:right w:val="nil"/>
          <w:between w:val="nil"/>
        </w:pBdr>
        <w:spacing w:line="360" w:lineRule="auto"/>
        <w:jc w:val="both"/>
        <w:rPr>
          <w:color w:val="000000"/>
        </w:rPr>
      </w:pPr>
    </w:p>
    <w:p w14:paraId="7A7A2DD0" w14:textId="77777777" w:rsidR="000129C2" w:rsidRDefault="000129C2">
      <w:pPr>
        <w:pBdr>
          <w:top w:val="nil"/>
          <w:left w:val="nil"/>
          <w:bottom w:val="nil"/>
          <w:right w:val="nil"/>
          <w:between w:val="nil"/>
        </w:pBdr>
        <w:spacing w:line="360" w:lineRule="auto"/>
        <w:jc w:val="both"/>
        <w:rPr>
          <w:color w:val="000000"/>
        </w:rPr>
      </w:pPr>
    </w:p>
    <w:p w14:paraId="77D54F7F" w14:textId="77777777" w:rsidR="000129C2" w:rsidRDefault="000129C2">
      <w:pPr>
        <w:pBdr>
          <w:top w:val="nil"/>
          <w:left w:val="nil"/>
          <w:bottom w:val="nil"/>
          <w:right w:val="nil"/>
          <w:between w:val="nil"/>
        </w:pBdr>
        <w:spacing w:line="360" w:lineRule="auto"/>
        <w:jc w:val="both"/>
        <w:rPr>
          <w:color w:val="000000"/>
        </w:rPr>
      </w:pPr>
    </w:p>
    <w:p w14:paraId="3A0866F0" w14:textId="77777777" w:rsidR="000129C2" w:rsidRDefault="000129C2">
      <w:pPr>
        <w:pBdr>
          <w:top w:val="nil"/>
          <w:left w:val="nil"/>
          <w:bottom w:val="nil"/>
          <w:right w:val="nil"/>
          <w:between w:val="nil"/>
        </w:pBdr>
        <w:spacing w:line="360" w:lineRule="auto"/>
        <w:jc w:val="both"/>
        <w:rPr>
          <w:color w:val="000000"/>
        </w:rPr>
      </w:pPr>
    </w:p>
    <w:p w14:paraId="158E258F" w14:textId="77777777" w:rsidR="000129C2" w:rsidRDefault="000129C2">
      <w:pPr>
        <w:pBdr>
          <w:top w:val="nil"/>
          <w:left w:val="nil"/>
          <w:bottom w:val="nil"/>
          <w:right w:val="nil"/>
          <w:between w:val="nil"/>
        </w:pBdr>
        <w:spacing w:line="360" w:lineRule="auto"/>
        <w:jc w:val="both"/>
        <w:rPr>
          <w:color w:val="000000"/>
        </w:rPr>
      </w:pPr>
    </w:p>
    <w:p w14:paraId="0157E5A2" w14:textId="77777777" w:rsidR="000129C2" w:rsidRDefault="000129C2">
      <w:pPr>
        <w:pBdr>
          <w:top w:val="nil"/>
          <w:left w:val="nil"/>
          <w:bottom w:val="nil"/>
          <w:right w:val="nil"/>
          <w:between w:val="nil"/>
        </w:pBdr>
        <w:spacing w:line="360" w:lineRule="auto"/>
        <w:jc w:val="both"/>
        <w:rPr>
          <w:color w:val="000000"/>
        </w:rPr>
      </w:pPr>
    </w:p>
    <w:p w14:paraId="438F71FB" w14:textId="77777777" w:rsidR="000129C2" w:rsidRDefault="000129C2">
      <w:pPr>
        <w:pBdr>
          <w:top w:val="nil"/>
          <w:left w:val="nil"/>
          <w:bottom w:val="nil"/>
          <w:right w:val="nil"/>
          <w:between w:val="nil"/>
        </w:pBdr>
        <w:spacing w:line="360" w:lineRule="auto"/>
        <w:jc w:val="both"/>
        <w:rPr>
          <w:color w:val="000000"/>
        </w:rPr>
      </w:pPr>
    </w:p>
    <w:p w14:paraId="393551AE" w14:textId="77777777" w:rsidR="000129C2" w:rsidRDefault="000129C2">
      <w:pPr>
        <w:pBdr>
          <w:top w:val="nil"/>
          <w:left w:val="nil"/>
          <w:bottom w:val="nil"/>
          <w:right w:val="nil"/>
          <w:between w:val="nil"/>
        </w:pBdr>
        <w:spacing w:line="360" w:lineRule="auto"/>
        <w:jc w:val="both"/>
        <w:rPr>
          <w:color w:val="000000"/>
        </w:rPr>
      </w:pPr>
    </w:p>
    <w:p w14:paraId="7043D935" w14:textId="77777777" w:rsidR="003510B1" w:rsidRDefault="003510B1">
      <w:pPr>
        <w:pBdr>
          <w:top w:val="nil"/>
          <w:left w:val="nil"/>
          <w:bottom w:val="nil"/>
          <w:right w:val="nil"/>
          <w:between w:val="nil"/>
        </w:pBdr>
        <w:spacing w:line="360" w:lineRule="auto"/>
        <w:jc w:val="both"/>
        <w:rPr>
          <w:color w:val="000000"/>
        </w:rPr>
      </w:pPr>
    </w:p>
    <w:p w14:paraId="7043D936" w14:textId="77777777" w:rsidR="003510B1" w:rsidRDefault="003510B1">
      <w:pPr>
        <w:pBdr>
          <w:top w:val="nil"/>
          <w:left w:val="nil"/>
          <w:bottom w:val="nil"/>
          <w:right w:val="nil"/>
          <w:between w:val="nil"/>
        </w:pBdr>
        <w:spacing w:line="360" w:lineRule="auto"/>
        <w:jc w:val="both"/>
        <w:rPr>
          <w:color w:val="000000"/>
        </w:rPr>
      </w:pPr>
    </w:p>
    <w:p w14:paraId="7043D937" w14:textId="77777777" w:rsidR="003510B1" w:rsidRDefault="003510B1">
      <w:pPr>
        <w:pBdr>
          <w:top w:val="nil"/>
          <w:left w:val="nil"/>
          <w:bottom w:val="nil"/>
          <w:right w:val="nil"/>
          <w:between w:val="nil"/>
        </w:pBdr>
        <w:spacing w:line="360" w:lineRule="auto"/>
        <w:jc w:val="both"/>
        <w:rPr>
          <w:color w:val="000000"/>
        </w:rPr>
      </w:pPr>
    </w:p>
    <w:p w14:paraId="7043D938" w14:textId="77777777" w:rsidR="003510B1" w:rsidRDefault="003510B1">
      <w:pPr>
        <w:pBdr>
          <w:top w:val="nil"/>
          <w:left w:val="nil"/>
          <w:bottom w:val="nil"/>
          <w:right w:val="nil"/>
          <w:between w:val="nil"/>
        </w:pBdr>
        <w:rPr>
          <w:color w:val="000000"/>
        </w:rPr>
      </w:pPr>
    </w:p>
    <w:p w14:paraId="7043D939" w14:textId="77777777" w:rsidR="003510B1" w:rsidRPr="00131124" w:rsidRDefault="0048215A">
      <w:pPr>
        <w:pStyle w:val="Heading3"/>
        <w:rPr>
          <w:iCs/>
          <w:color w:val="000000"/>
          <w:sz w:val="22"/>
          <w:szCs w:val="22"/>
        </w:rPr>
      </w:pPr>
      <w:bookmarkStart w:id="7" w:name="_heading=h.1t3h5sf" w:colFirst="0" w:colLast="0"/>
      <w:bookmarkEnd w:id="7"/>
      <w:r w:rsidRPr="00131124">
        <w:rPr>
          <w:b/>
          <w:iCs/>
          <w:sz w:val="22"/>
          <w:szCs w:val="22"/>
        </w:rPr>
        <w:lastRenderedPageBreak/>
        <w:t xml:space="preserve">Potential Impact of Changes on Employee Engagement  </w:t>
      </w:r>
    </w:p>
    <w:p w14:paraId="7043D93A" w14:textId="77777777" w:rsidR="003510B1" w:rsidRDefault="003510B1">
      <w:pPr>
        <w:pBdr>
          <w:top w:val="nil"/>
          <w:left w:val="nil"/>
          <w:bottom w:val="nil"/>
          <w:right w:val="nil"/>
          <w:between w:val="nil"/>
        </w:pBdr>
        <w:spacing w:line="360" w:lineRule="auto"/>
        <w:jc w:val="both"/>
        <w:rPr>
          <w:color w:val="000000"/>
        </w:rPr>
      </w:pPr>
    </w:p>
    <w:p w14:paraId="7043D93B" w14:textId="77777777" w:rsidR="003510B1" w:rsidRDefault="003510B1">
      <w:pPr>
        <w:pBdr>
          <w:top w:val="nil"/>
          <w:left w:val="nil"/>
          <w:bottom w:val="nil"/>
          <w:right w:val="nil"/>
          <w:between w:val="nil"/>
        </w:pBdr>
        <w:spacing w:line="360" w:lineRule="auto"/>
        <w:jc w:val="both"/>
      </w:pPr>
    </w:p>
    <w:p w14:paraId="7043D93C" w14:textId="77777777" w:rsidR="003510B1" w:rsidRDefault="0048215A">
      <w:pPr>
        <w:pBdr>
          <w:top w:val="nil"/>
          <w:left w:val="nil"/>
          <w:bottom w:val="nil"/>
          <w:right w:val="nil"/>
          <w:between w:val="nil"/>
        </w:pBdr>
        <w:spacing w:line="360" w:lineRule="auto"/>
        <w:jc w:val="both"/>
      </w:pPr>
      <w:r>
        <w:rPr>
          <w:noProof/>
        </w:rPr>
        <w:drawing>
          <wp:inline distT="114300" distB="114300" distL="114300" distR="114300" wp14:anchorId="7043D9C5" wp14:editId="7043D9C6">
            <wp:extent cx="5943600" cy="5943600"/>
            <wp:effectExtent l="0" t="0" r="0" b="0"/>
            <wp:docPr id="2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5943600"/>
                    </a:xfrm>
                    <a:prstGeom prst="rect">
                      <a:avLst/>
                    </a:prstGeom>
                    <a:ln/>
                  </pic:spPr>
                </pic:pic>
              </a:graphicData>
            </a:graphic>
          </wp:inline>
        </w:drawing>
      </w:r>
    </w:p>
    <w:p w14:paraId="7043D93D" w14:textId="77777777" w:rsidR="003510B1" w:rsidRDefault="0048215A">
      <w:pPr>
        <w:pBdr>
          <w:top w:val="nil"/>
          <w:left w:val="nil"/>
          <w:bottom w:val="nil"/>
          <w:right w:val="nil"/>
          <w:between w:val="nil"/>
        </w:pBdr>
        <w:spacing w:line="360" w:lineRule="auto"/>
        <w:jc w:val="center"/>
        <w:rPr>
          <w:b/>
        </w:rPr>
      </w:pPr>
      <w:r>
        <w:rPr>
          <w:b/>
        </w:rPr>
        <w:t>Figure 3: Flexibility in the workplace</w:t>
      </w:r>
    </w:p>
    <w:p w14:paraId="7043D93E" w14:textId="77777777" w:rsidR="003510B1" w:rsidRDefault="0048215A">
      <w:pPr>
        <w:pBdr>
          <w:top w:val="nil"/>
          <w:left w:val="nil"/>
          <w:bottom w:val="nil"/>
          <w:right w:val="nil"/>
          <w:between w:val="nil"/>
        </w:pBdr>
        <w:spacing w:line="360" w:lineRule="auto"/>
        <w:jc w:val="center"/>
        <w:rPr>
          <w:b/>
        </w:rPr>
      </w:pPr>
      <w:r>
        <w:rPr>
          <w:b/>
        </w:rPr>
        <w:t>Source: (Statista, 2022)</w:t>
      </w:r>
    </w:p>
    <w:p w14:paraId="7043D93F" w14:textId="77777777" w:rsidR="003510B1" w:rsidRDefault="0048215A">
      <w:pPr>
        <w:pBdr>
          <w:top w:val="nil"/>
          <w:left w:val="nil"/>
          <w:bottom w:val="nil"/>
          <w:right w:val="nil"/>
          <w:between w:val="nil"/>
        </w:pBdr>
        <w:spacing w:line="360" w:lineRule="auto"/>
        <w:jc w:val="both"/>
      </w:pPr>
      <w:r>
        <w:t xml:space="preserve">In figure 3, the flexibility in the workplace is shown with respect to the Covid-19 pandemic and current schedule. Here, it is found that 47% of the enterprise workers needed more flexibility in the pre-Covid schedule. However, this was changed in the post-pandemic era, with 51% complete flexibility and 16% no flexibility in the ideal schedule. Therefore, real estate organisations like JLL </w:t>
      </w:r>
      <w:r>
        <w:lastRenderedPageBreak/>
        <w:t xml:space="preserve">UK also </w:t>
      </w:r>
      <w:proofErr w:type="gramStart"/>
      <w:r>
        <w:t>have to</w:t>
      </w:r>
      <w:proofErr w:type="gramEnd"/>
      <w:r>
        <w:t xml:space="preserve"> consider these flexibilities in the workplace settings for making changes in employee engagement.</w:t>
      </w:r>
    </w:p>
    <w:p w14:paraId="7043D940" w14:textId="77777777" w:rsidR="003510B1" w:rsidRDefault="0048215A">
      <w:pPr>
        <w:pBdr>
          <w:top w:val="nil"/>
          <w:left w:val="nil"/>
          <w:bottom w:val="nil"/>
          <w:right w:val="nil"/>
          <w:between w:val="nil"/>
        </w:pBdr>
        <w:spacing w:line="360" w:lineRule="auto"/>
        <w:jc w:val="both"/>
        <w:rPr>
          <w:i/>
          <w:color w:val="000000"/>
        </w:rPr>
      </w:pPr>
      <w:r>
        <w:rPr>
          <w:color w:val="000000"/>
        </w:rPr>
        <w:t xml:space="preserve"> Furthermore, Naqshbandi, </w:t>
      </w:r>
      <w:proofErr w:type="spellStart"/>
      <w:r>
        <w:rPr>
          <w:color w:val="000000"/>
        </w:rPr>
        <w:t>Tabche</w:t>
      </w:r>
      <w:proofErr w:type="spellEnd"/>
      <w:r>
        <w:rPr>
          <w:color w:val="000000"/>
        </w:rPr>
        <w:t xml:space="preserve">, and Choudhary (2019) observed that the changes due to the pandemic within the organizations had led the employees to experience symptoms of discomfort and physical stress, which has negatively impacted employee engagement while leading to distrust towards their employer and an increase in the employee's desire to search for a better job in the same field. Therefore, to enhance employee engagement during changes in organizations, employers need to educate employees regarding the need for change while providing them with clear information. Furthermore, not sharing information related to the change can make the employees feel demotivated because they need to know the changes being made, which might lead to poor project outcomes (Amor, Vazquez, and </w:t>
      </w:r>
      <w:proofErr w:type="spellStart"/>
      <w:r>
        <w:rPr>
          <w:color w:val="000000"/>
        </w:rPr>
        <w:t>Faina</w:t>
      </w:r>
      <w:proofErr w:type="spellEnd"/>
      <w:r>
        <w:rPr>
          <w:color w:val="000000"/>
        </w:rPr>
        <w:t xml:space="preserve">, 2020). This might lead to decreased work confidence and productivity of the employees. Due to instant changes, there might be </w:t>
      </w:r>
      <w:proofErr w:type="gramStart"/>
      <w:r>
        <w:rPr>
          <w:color w:val="000000"/>
        </w:rPr>
        <w:t>a number of</w:t>
      </w:r>
      <w:proofErr w:type="gramEnd"/>
      <w:r>
        <w:rPr>
          <w:color w:val="000000"/>
        </w:rPr>
        <w:t xml:space="preserve"> concerns for the employees that they are unable to express due to a fear of being judged by others. Therefore, organizations should always make sure to address the concerns of the employees whenever they face a change. Both information, as well as personal concerns of the employees should be addressed to elevate anxiety and fear while motivating them to embrace the changes being made. However, a positive impact of changes on employee engagement should ensure that the employees can also become way more productive as change encourages development skills and innovation and leads to better opportunities while also enhancing employee morale. This further helps the employees to become engaged with their teammates and managers to improve their adaptability to the change management process. </w:t>
      </w:r>
    </w:p>
    <w:p w14:paraId="7043D941" w14:textId="77777777" w:rsidR="003510B1" w:rsidRDefault="0048215A">
      <w:pPr>
        <w:pBdr>
          <w:top w:val="nil"/>
          <w:left w:val="nil"/>
          <w:bottom w:val="nil"/>
          <w:right w:val="nil"/>
          <w:between w:val="nil"/>
        </w:pBdr>
        <w:spacing w:line="360" w:lineRule="auto"/>
        <w:jc w:val="both"/>
      </w:pPr>
      <w:r>
        <w:t>At JLL real estate, the COVID-19 epidemic has had a serious impact on staff engagement. The organization has been obliged to adjust to the new ordinary since the bulk of staff is required to work from home.</w:t>
      </w:r>
    </w:p>
    <w:p w14:paraId="7043D942" w14:textId="77777777" w:rsidR="003510B1" w:rsidRDefault="0048215A">
      <w:pPr>
        <w:pBdr>
          <w:top w:val="nil"/>
          <w:left w:val="nil"/>
          <w:bottom w:val="nil"/>
          <w:right w:val="nil"/>
          <w:between w:val="nil"/>
        </w:pBdr>
        <w:spacing w:line="360" w:lineRule="auto"/>
        <w:jc w:val="both"/>
      </w:pPr>
      <w:r>
        <w:t xml:space="preserve">The interaction among workers has had the biggest direct influence on participation. It has been challenging to maintain the same degree of contact as before because many workers were no longer meeting their </w:t>
      </w:r>
      <w:proofErr w:type="spellStart"/>
      <w:r>
        <w:t>coworkers</w:t>
      </w:r>
      <w:proofErr w:type="spellEnd"/>
      <w:r>
        <w:t xml:space="preserve"> in the workplace. Employees felt less like a part of their team and the </w:t>
      </w:r>
      <w:proofErr w:type="gramStart"/>
      <w:r>
        <w:t>business as a whole</w:t>
      </w:r>
      <w:proofErr w:type="gramEnd"/>
      <w:r>
        <w:t>.</w:t>
      </w:r>
    </w:p>
    <w:p w14:paraId="7043D943" w14:textId="77777777" w:rsidR="003510B1" w:rsidRDefault="0048215A">
      <w:pPr>
        <w:pBdr>
          <w:top w:val="nil"/>
          <w:left w:val="nil"/>
          <w:bottom w:val="nil"/>
          <w:right w:val="nil"/>
          <w:between w:val="nil"/>
        </w:pBdr>
        <w:spacing w:line="360" w:lineRule="auto"/>
        <w:jc w:val="both"/>
      </w:pPr>
      <w:r>
        <w:t>The epidemic has also affected staff workloads and levels of independence. Because there were fewer men working in the office, more duties were being given to remote teams, which made the remote workers feel overburdened and demoralized.</w:t>
      </w:r>
    </w:p>
    <w:p w14:paraId="7043D944" w14:textId="77777777" w:rsidR="003510B1" w:rsidRDefault="0048215A">
      <w:pPr>
        <w:pBdr>
          <w:top w:val="nil"/>
          <w:left w:val="nil"/>
          <w:bottom w:val="nil"/>
          <w:right w:val="nil"/>
          <w:between w:val="nil"/>
        </w:pBdr>
        <w:spacing w:line="360" w:lineRule="auto"/>
        <w:jc w:val="center"/>
        <w:rPr>
          <w:color w:val="000000"/>
        </w:rPr>
      </w:pPr>
      <w:r>
        <w:rPr>
          <w:noProof/>
          <w:color w:val="000000"/>
        </w:rPr>
        <w:lastRenderedPageBreak/>
        <w:drawing>
          <wp:inline distT="114300" distB="114300" distL="114300" distR="114300" wp14:anchorId="7043D9C7" wp14:editId="7043D9C8">
            <wp:extent cx="5010150" cy="3257550"/>
            <wp:effectExtent l="0" t="0" r="0" b="0"/>
            <wp:docPr id="2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010150" cy="3257550"/>
                    </a:xfrm>
                    <a:prstGeom prst="rect">
                      <a:avLst/>
                    </a:prstGeom>
                    <a:ln/>
                  </pic:spPr>
                </pic:pic>
              </a:graphicData>
            </a:graphic>
          </wp:inline>
        </w:drawing>
      </w:r>
    </w:p>
    <w:p w14:paraId="7043D945" w14:textId="77777777" w:rsidR="003510B1" w:rsidRDefault="0048215A">
      <w:pPr>
        <w:pBdr>
          <w:top w:val="nil"/>
          <w:left w:val="nil"/>
          <w:bottom w:val="nil"/>
          <w:right w:val="nil"/>
          <w:between w:val="nil"/>
        </w:pBdr>
        <w:spacing w:line="360" w:lineRule="auto"/>
        <w:jc w:val="center"/>
        <w:rPr>
          <w:b/>
          <w:color w:val="000000"/>
        </w:rPr>
      </w:pPr>
      <w:r>
        <w:rPr>
          <w:b/>
          <w:color w:val="000000"/>
        </w:rPr>
        <w:t>Figure 3: Engagement score of Employees from 2011 to 2022</w:t>
      </w:r>
    </w:p>
    <w:p w14:paraId="7043D946" w14:textId="77777777" w:rsidR="003510B1" w:rsidRDefault="0048215A">
      <w:pPr>
        <w:pBdr>
          <w:top w:val="nil"/>
          <w:left w:val="nil"/>
          <w:bottom w:val="nil"/>
          <w:right w:val="nil"/>
          <w:between w:val="nil"/>
        </w:pBdr>
        <w:spacing w:line="360" w:lineRule="auto"/>
        <w:jc w:val="center"/>
        <w:rPr>
          <w:color w:val="000000"/>
        </w:rPr>
      </w:pPr>
      <w:r>
        <w:rPr>
          <w:color w:val="000000"/>
        </w:rPr>
        <w:t>(Source: Statista, 2023)</w:t>
      </w:r>
    </w:p>
    <w:p w14:paraId="7043D947" w14:textId="77777777" w:rsidR="003510B1" w:rsidRDefault="0048215A">
      <w:pPr>
        <w:pBdr>
          <w:top w:val="nil"/>
          <w:left w:val="nil"/>
          <w:bottom w:val="nil"/>
          <w:right w:val="nil"/>
          <w:between w:val="nil"/>
        </w:pBdr>
        <w:spacing w:line="360" w:lineRule="auto"/>
      </w:pPr>
      <w:r>
        <w:rPr>
          <w:color w:val="000000"/>
        </w:rPr>
        <w:t xml:space="preserve">The above figure (3) represents the statistical representation of the score of employee engagement worldwide from 2011 to 2022; </w:t>
      </w:r>
      <w:proofErr w:type="gramStart"/>
      <w:r>
        <w:rPr>
          <w:color w:val="000000"/>
        </w:rPr>
        <w:t>it can be seen that the</w:t>
      </w:r>
      <w:proofErr w:type="gramEnd"/>
      <w:r>
        <w:rPr>
          <w:color w:val="000000"/>
        </w:rPr>
        <w:t xml:space="preserve"> highest engagement score was observed in 2020 at 69%. </w:t>
      </w:r>
      <w:r>
        <w:t xml:space="preserve">The high employee engagement can be attributed to having a work atmosphere where staff felt motivated, valued and recognized. </w:t>
      </w:r>
      <w:proofErr w:type="gramStart"/>
      <w:r>
        <w:t>Also</w:t>
      </w:r>
      <w:proofErr w:type="gramEnd"/>
      <w:r>
        <w:t xml:space="preserve"> this has been achieved by open communications and fair wage packages offered by the administration to the workers. However, in the case of JLL construction business, the </w:t>
      </w:r>
      <w:proofErr w:type="spellStart"/>
      <w:r>
        <w:t>organizatioon</w:t>
      </w:r>
      <w:proofErr w:type="spellEnd"/>
      <w:r>
        <w:t xml:space="preserve"> needs to implement these measures to imply worker engagement and organizational productivity. </w:t>
      </w:r>
    </w:p>
    <w:p w14:paraId="7043D948" w14:textId="77777777" w:rsidR="003510B1" w:rsidRDefault="003510B1">
      <w:pPr>
        <w:pBdr>
          <w:top w:val="nil"/>
          <w:left w:val="nil"/>
          <w:bottom w:val="nil"/>
          <w:right w:val="nil"/>
          <w:between w:val="nil"/>
        </w:pBdr>
        <w:spacing w:line="360" w:lineRule="auto"/>
      </w:pPr>
    </w:p>
    <w:p w14:paraId="7043D949" w14:textId="77777777" w:rsidR="003510B1" w:rsidRPr="00131124" w:rsidRDefault="0048215A">
      <w:pPr>
        <w:pBdr>
          <w:top w:val="nil"/>
          <w:left w:val="nil"/>
          <w:bottom w:val="nil"/>
          <w:right w:val="nil"/>
          <w:between w:val="nil"/>
        </w:pBdr>
        <w:spacing w:line="360" w:lineRule="auto"/>
        <w:rPr>
          <w:b/>
          <w:i/>
        </w:rPr>
      </w:pPr>
      <w:r w:rsidRPr="00131124">
        <w:rPr>
          <w:b/>
          <w:i/>
        </w:rPr>
        <w:t xml:space="preserve">In a pandemic situation, real estate agents change their property's direct view to a virtual view of the </w:t>
      </w:r>
      <w:proofErr w:type="gramStart"/>
      <w:r w:rsidRPr="00131124">
        <w:rPr>
          <w:b/>
          <w:i/>
        </w:rPr>
        <w:t>property</w:t>
      </w:r>
      <w:proofErr w:type="gramEnd"/>
    </w:p>
    <w:p w14:paraId="7043D94A" w14:textId="77777777" w:rsidR="003510B1" w:rsidRPr="00131124" w:rsidRDefault="0048215A">
      <w:pPr>
        <w:pBdr>
          <w:top w:val="nil"/>
          <w:left w:val="nil"/>
          <w:bottom w:val="nil"/>
          <w:right w:val="nil"/>
          <w:between w:val="nil"/>
        </w:pBdr>
        <w:spacing w:line="360" w:lineRule="auto"/>
        <w:jc w:val="both"/>
      </w:pPr>
      <w:r w:rsidRPr="00131124">
        <w:t>Real estate brokers were changing their traditional to virtual property viewing experience throughout the epidemic (</w:t>
      </w:r>
      <w:r w:rsidRPr="00131124">
        <w:rPr>
          <w:color w:val="222222"/>
        </w:rPr>
        <w:t xml:space="preserve">De Toro </w:t>
      </w:r>
      <w:r w:rsidRPr="00131124">
        <w:rPr>
          <w:i/>
          <w:color w:val="222222"/>
        </w:rPr>
        <w:t xml:space="preserve">et al. </w:t>
      </w:r>
      <w:r w:rsidRPr="00131124">
        <w:rPr>
          <w:color w:val="222222"/>
        </w:rPr>
        <w:t>2021</w:t>
      </w:r>
      <w:r w:rsidRPr="00131124">
        <w:t>). This made it possible for new buyers to see houses while feeling secure in their own residences. Virtual viewings gave prospective customers an interactive environment to thoroughly examine a property’s attributes, amenities, and floor layouts. Virtual tours may help prospective buyers get a better sense of the layout, style, and even the community of the place.</w:t>
      </w:r>
    </w:p>
    <w:p w14:paraId="7043D94B" w14:textId="77777777" w:rsidR="003510B1" w:rsidRPr="00131124" w:rsidRDefault="0048215A">
      <w:pPr>
        <w:pBdr>
          <w:top w:val="nil"/>
          <w:left w:val="nil"/>
          <w:bottom w:val="nil"/>
          <w:right w:val="nil"/>
          <w:between w:val="nil"/>
        </w:pBdr>
        <w:spacing w:line="360" w:lineRule="auto"/>
        <w:jc w:val="both"/>
      </w:pPr>
      <w:r w:rsidRPr="00131124">
        <w:t>Real estate brokers and purchasers both gain from virtual visits. There is no more a need for buyers to travel to visit the property, saving them both time and money. Rather than a quick walk-</w:t>
      </w:r>
      <w:r w:rsidRPr="00131124">
        <w:lastRenderedPageBreak/>
        <w:t>through, agents may give buyers a thorough tour of the house (Chang</w:t>
      </w:r>
      <w:r w:rsidRPr="00131124">
        <w:rPr>
          <w:i/>
        </w:rPr>
        <w:t xml:space="preserve"> et al. </w:t>
      </w:r>
      <w:r w:rsidRPr="00131124">
        <w:t xml:space="preserve">2021). Brokers can also reply in a timely manner to any queries prospective purchasers may have. Agents can also give other details throughout online showings that would not be provided during a regular showing, such as nearby educational institutes, dining establishments, and entertainment facilities. </w:t>
      </w:r>
    </w:p>
    <w:p w14:paraId="7043D94C" w14:textId="77777777" w:rsidR="003510B1" w:rsidRPr="00131124" w:rsidRDefault="0048215A">
      <w:pPr>
        <w:pBdr>
          <w:top w:val="nil"/>
          <w:left w:val="nil"/>
          <w:bottom w:val="nil"/>
          <w:right w:val="nil"/>
          <w:between w:val="nil"/>
        </w:pBdr>
        <w:spacing w:line="360" w:lineRule="auto"/>
        <w:jc w:val="both"/>
      </w:pPr>
      <w:r w:rsidRPr="00131124">
        <w:t>A multitude of technologies is being used by real estate brokers to offer virtual visitors. To provide prospective purchasers with the finest visual experience, agents are utilizing 3D models, 360-degree video clippings, and even augmented reality (</w:t>
      </w:r>
      <w:proofErr w:type="spellStart"/>
      <w:r w:rsidRPr="00131124">
        <w:rPr>
          <w:color w:val="222222"/>
        </w:rPr>
        <w:t>Kaklauskas</w:t>
      </w:r>
      <w:proofErr w:type="spellEnd"/>
      <w:r w:rsidRPr="00131124">
        <w:rPr>
          <w:color w:val="222222"/>
        </w:rPr>
        <w:t xml:space="preserve"> </w:t>
      </w:r>
      <w:r w:rsidRPr="00131124">
        <w:rPr>
          <w:i/>
          <w:color w:val="222222"/>
        </w:rPr>
        <w:t>et al.</w:t>
      </w:r>
      <w:r w:rsidRPr="00131124">
        <w:rPr>
          <w:color w:val="222222"/>
        </w:rPr>
        <w:t xml:space="preserve"> 2021</w:t>
      </w:r>
      <w:r w:rsidRPr="00131124">
        <w:t>). Also, brokers may provide online chat sessions and online open houses so that interested buyers can speak with them and address whatever inquiries they may have.</w:t>
      </w:r>
    </w:p>
    <w:p w14:paraId="7043D94D" w14:textId="77777777" w:rsidR="003510B1" w:rsidRPr="00131124" w:rsidRDefault="0048215A">
      <w:pPr>
        <w:pBdr>
          <w:top w:val="nil"/>
          <w:left w:val="nil"/>
          <w:bottom w:val="nil"/>
          <w:right w:val="nil"/>
          <w:between w:val="nil"/>
        </w:pBdr>
        <w:spacing w:line="360" w:lineRule="auto"/>
        <w:jc w:val="both"/>
      </w:pPr>
      <w:r w:rsidRPr="00131124">
        <w:t>In general, the epidemic has compelled individuals to implement the technology as well as grow technologically aware. Agents may assist purchasers in better understanding the houses they are considering without having to make a real visit by setting up virtual viewings. Due to this, brokers have been able to maintain their operations during the epidemic while also protecting clients.</w:t>
      </w:r>
    </w:p>
    <w:p w14:paraId="7043D94E" w14:textId="77777777" w:rsidR="003510B1" w:rsidRDefault="003510B1">
      <w:pPr>
        <w:pBdr>
          <w:top w:val="nil"/>
          <w:left w:val="nil"/>
          <w:bottom w:val="nil"/>
          <w:right w:val="nil"/>
          <w:between w:val="nil"/>
        </w:pBdr>
        <w:spacing w:line="360" w:lineRule="auto"/>
      </w:pPr>
    </w:p>
    <w:p w14:paraId="7043D94F" w14:textId="77777777" w:rsidR="003510B1" w:rsidRDefault="0048215A">
      <w:pPr>
        <w:pStyle w:val="Heading3"/>
        <w:rPr>
          <w:b/>
          <w:i/>
          <w:sz w:val="22"/>
          <w:szCs w:val="22"/>
        </w:rPr>
      </w:pPr>
      <w:bookmarkStart w:id="8" w:name="_heading=h.4d34og8" w:colFirst="0" w:colLast="0"/>
      <w:bookmarkEnd w:id="8"/>
      <w:r>
        <w:rPr>
          <w:b/>
          <w:i/>
          <w:sz w:val="22"/>
          <w:szCs w:val="22"/>
        </w:rPr>
        <w:t>Eval</w:t>
      </w:r>
      <w:r>
        <w:t>uation of H.R. Involveme</w:t>
      </w:r>
      <w:r>
        <w:rPr>
          <w:b/>
          <w:i/>
          <w:sz w:val="22"/>
          <w:szCs w:val="22"/>
        </w:rPr>
        <w:t xml:space="preserve">nt </w:t>
      </w:r>
    </w:p>
    <w:p w14:paraId="7043D950" w14:textId="77777777" w:rsidR="003510B1" w:rsidRDefault="0048215A">
      <w:pPr>
        <w:pBdr>
          <w:top w:val="nil"/>
          <w:left w:val="nil"/>
          <w:bottom w:val="nil"/>
          <w:right w:val="nil"/>
          <w:between w:val="nil"/>
        </w:pBdr>
        <w:spacing w:line="360" w:lineRule="auto"/>
        <w:jc w:val="both"/>
        <w:rPr>
          <w:color w:val="000000"/>
        </w:rPr>
      </w:pPr>
      <w:r>
        <w:rPr>
          <w:color w:val="000000"/>
        </w:rPr>
        <w:t xml:space="preserve">The success of the firm depends on the engagement of human resources in the workforce. It is essential for establishing the company's core values, attracting and keeping talent, maintaining employee interactions, and creating a successful business strategy. Participating in H.R. also aids firms in gaining and preserving competitiveness in their sector. </w:t>
      </w:r>
    </w:p>
    <w:p w14:paraId="7043D951" w14:textId="77777777" w:rsidR="003510B1" w:rsidRDefault="0048215A">
      <w:pPr>
        <w:pBdr>
          <w:top w:val="nil"/>
          <w:left w:val="nil"/>
          <w:bottom w:val="nil"/>
          <w:right w:val="nil"/>
          <w:between w:val="nil"/>
        </w:pBdr>
        <w:spacing w:line="360" w:lineRule="auto"/>
        <w:jc w:val="both"/>
        <w:rPr>
          <w:color w:val="000000"/>
        </w:rPr>
      </w:pPr>
      <w:r>
        <w:rPr>
          <w:color w:val="000000"/>
        </w:rPr>
        <w:t xml:space="preserve">According to </w:t>
      </w:r>
      <w:r>
        <w:rPr>
          <w:color w:val="222222"/>
        </w:rPr>
        <w:t xml:space="preserve">Ren </w:t>
      </w:r>
      <w:r>
        <w:rPr>
          <w:i/>
          <w:color w:val="222222"/>
        </w:rPr>
        <w:t xml:space="preserve">et al. </w:t>
      </w:r>
      <w:r>
        <w:rPr>
          <w:color w:val="222222"/>
        </w:rPr>
        <w:t>(2020</w:t>
      </w:r>
      <w:r>
        <w:rPr>
          <w:color w:val="000000"/>
        </w:rPr>
        <w:t xml:space="preserve">), the ability to foster a positive workplace is one of the main advantages of H.R. engagement. H.R. specialists are adept at identifying employee requirements and working to foster a culture that enables growth and performance. H.R. </w:t>
      </w:r>
      <w:proofErr w:type="gramStart"/>
      <w:r>
        <w:rPr>
          <w:color w:val="000000"/>
        </w:rPr>
        <w:t>is able to</w:t>
      </w:r>
      <w:proofErr w:type="gramEnd"/>
      <w:r>
        <w:rPr>
          <w:color w:val="000000"/>
        </w:rPr>
        <w:t xml:space="preserve"> create procedures and regulations that are intended to attract and keep the most skilled people by having a thorough grasp of the demands of workers. H.R. engagement also ensures that staff members feel valued and respected inside the firm (</w:t>
      </w:r>
      <w:r>
        <w:rPr>
          <w:color w:val="222222"/>
        </w:rPr>
        <w:t xml:space="preserve">Ren </w:t>
      </w:r>
      <w:r>
        <w:rPr>
          <w:i/>
          <w:color w:val="222222"/>
        </w:rPr>
        <w:t xml:space="preserve">et al. </w:t>
      </w:r>
      <w:r>
        <w:rPr>
          <w:color w:val="222222"/>
        </w:rPr>
        <w:t>2020</w:t>
      </w:r>
      <w:r>
        <w:rPr>
          <w:color w:val="000000"/>
        </w:rPr>
        <w:t xml:space="preserve">). </w:t>
      </w:r>
    </w:p>
    <w:p w14:paraId="7043D952" w14:textId="77777777" w:rsidR="003510B1" w:rsidRDefault="0048215A">
      <w:pPr>
        <w:pBdr>
          <w:top w:val="nil"/>
          <w:left w:val="nil"/>
          <w:bottom w:val="nil"/>
          <w:right w:val="nil"/>
          <w:between w:val="nil"/>
        </w:pBdr>
        <w:spacing w:line="360" w:lineRule="auto"/>
        <w:jc w:val="both"/>
        <w:rPr>
          <w:color w:val="000000"/>
        </w:rPr>
      </w:pPr>
      <w:r>
        <w:rPr>
          <w:color w:val="000000"/>
        </w:rPr>
        <w:t>A company's compliance with the relevant regulations and rules can be helped by H.R. engagement. H.R. specialists are adept at comprehending the many constitutional standards, such as labour laws, occupational safety regulations, and anti-discrimination legislation, that may have an impact on the firm (</w:t>
      </w:r>
      <w:r>
        <w:rPr>
          <w:color w:val="222222"/>
        </w:rPr>
        <w:t xml:space="preserve">Liu </w:t>
      </w:r>
      <w:r>
        <w:rPr>
          <w:i/>
          <w:color w:val="222222"/>
        </w:rPr>
        <w:t>et al.</w:t>
      </w:r>
      <w:r>
        <w:rPr>
          <w:color w:val="222222"/>
        </w:rPr>
        <w:t>, 2020</w:t>
      </w:r>
      <w:r>
        <w:rPr>
          <w:color w:val="000000"/>
        </w:rPr>
        <w:t xml:space="preserve">). The company can avoid exorbitant fines and penalties by comprehending and abiding by these rules. H.R. may also make sure that the company is doing its business in a way that is compatible with its ethical and moral principles. </w:t>
      </w:r>
    </w:p>
    <w:p w14:paraId="7043D953" w14:textId="77777777" w:rsidR="003510B1" w:rsidRDefault="0048215A">
      <w:pPr>
        <w:pBdr>
          <w:top w:val="nil"/>
          <w:left w:val="nil"/>
          <w:bottom w:val="nil"/>
          <w:right w:val="nil"/>
          <w:between w:val="nil"/>
        </w:pBdr>
        <w:spacing w:line="360" w:lineRule="auto"/>
        <w:jc w:val="both"/>
        <w:rPr>
          <w:color w:val="000000"/>
        </w:rPr>
      </w:pPr>
      <w:r>
        <w:rPr>
          <w:color w:val="000000"/>
        </w:rPr>
        <w:lastRenderedPageBreak/>
        <w:t xml:space="preserve">However, there are certain drawbacks to H.R. engagement as well that might require more work to assess the value of H.R. engagement, making it one of the main difficulties. Assessing the effect of H.R. professionals' actions on the firm can be another challenge because they frequently handle </w:t>
      </w:r>
      <w:proofErr w:type="gramStart"/>
      <w:r>
        <w:rPr>
          <w:color w:val="000000"/>
        </w:rPr>
        <w:t>a number of</w:t>
      </w:r>
      <w:proofErr w:type="gramEnd"/>
      <w:r>
        <w:rPr>
          <w:color w:val="000000"/>
        </w:rPr>
        <w:t xml:space="preserve"> duties (</w:t>
      </w:r>
      <w:proofErr w:type="spellStart"/>
      <w:r>
        <w:rPr>
          <w:color w:val="222222"/>
          <w:sz w:val="24"/>
          <w:szCs w:val="24"/>
        </w:rPr>
        <w:t>Gilch</w:t>
      </w:r>
      <w:proofErr w:type="spellEnd"/>
      <w:r>
        <w:rPr>
          <w:color w:val="222222"/>
          <w:sz w:val="24"/>
          <w:szCs w:val="24"/>
        </w:rPr>
        <w:t xml:space="preserve"> and </w:t>
      </w:r>
      <w:proofErr w:type="spellStart"/>
      <w:r>
        <w:rPr>
          <w:color w:val="222222"/>
          <w:sz w:val="24"/>
          <w:szCs w:val="24"/>
        </w:rPr>
        <w:t>Sieweke</w:t>
      </w:r>
      <w:proofErr w:type="spellEnd"/>
      <w:r>
        <w:rPr>
          <w:color w:val="222222"/>
          <w:sz w:val="24"/>
          <w:szCs w:val="24"/>
        </w:rPr>
        <w:t>, 2021</w:t>
      </w:r>
      <w:r>
        <w:rPr>
          <w:color w:val="000000"/>
        </w:rPr>
        <w:t xml:space="preserve">). The benefits of H.R. engagement, such as raised morale, higher output, and decreased turnover, can also be challenging to quantify. </w:t>
      </w:r>
    </w:p>
    <w:p w14:paraId="7043D954" w14:textId="77777777" w:rsidR="003510B1" w:rsidRDefault="0048215A">
      <w:pPr>
        <w:pBdr>
          <w:top w:val="nil"/>
          <w:left w:val="nil"/>
          <w:bottom w:val="nil"/>
          <w:right w:val="nil"/>
          <w:between w:val="nil"/>
        </w:pBdr>
        <w:spacing w:line="360" w:lineRule="auto"/>
        <w:jc w:val="both"/>
        <w:rPr>
          <w:color w:val="000000"/>
        </w:rPr>
      </w:pPr>
      <w:r>
        <w:rPr>
          <w:color w:val="000000"/>
        </w:rPr>
        <w:t>Along with these difficulties, H.R. engagement can be expensive. New hire acquisition, integration, and training expenses can be high. It might also be incredibly expensive to adopt rules and processes like performance tracking systems (</w:t>
      </w:r>
      <w:r>
        <w:rPr>
          <w:color w:val="222222"/>
        </w:rPr>
        <w:t>Byrd, 2021</w:t>
      </w:r>
      <w:r>
        <w:rPr>
          <w:color w:val="000000"/>
        </w:rPr>
        <w:t xml:space="preserve">). </w:t>
      </w:r>
      <w:r>
        <w:t xml:space="preserve">To ensure that HR involvement is successful, businesses should create strategies that are focused on understanding organizational requirements, evaluating the results of H.R. activities, and </w:t>
      </w:r>
      <w:proofErr w:type="gramStart"/>
      <w:r>
        <w:t>making adjustments</w:t>
      </w:r>
      <w:proofErr w:type="gramEnd"/>
      <w:r>
        <w:t xml:space="preserve"> as needed. Companies should also ensure that H.R. professionals have access to the resources and support they need to carry out their tasks effectively. This may include providing H.R. staff with access to relevant training materials, mentorship, and other chances for professional development. Also, businesses must ensure that H.R. professionals are held accountable for their actions. This can be assisted by the development of defined, measurable goals and objectives. Companies should also guarantee that HR professionals have the resources and support necessary to carry out their duties effectively</w:t>
      </w:r>
      <w:r>
        <w:rPr>
          <w:color w:val="000000"/>
        </w:rPr>
        <w:t xml:space="preserve"> (</w:t>
      </w:r>
      <w:r>
        <w:rPr>
          <w:color w:val="222222"/>
        </w:rPr>
        <w:t>Byrd, 2021</w:t>
      </w:r>
      <w:r>
        <w:rPr>
          <w:color w:val="000000"/>
        </w:rPr>
        <w:t>). Businesses should also make sure that H.R. specialists have the chance to work together. H.R. professionals can verify that the business is utilizing its combined abilities and expertise in a way that is advantageous to the company by having open discussions and exchanging guiding principles.</w:t>
      </w:r>
    </w:p>
    <w:p w14:paraId="7043D955" w14:textId="77777777" w:rsidR="003510B1" w:rsidRDefault="0048215A">
      <w:pPr>
        <w:pBdr>
          <w:top w:val="nil"/>
          <w:left w:val="nil"/>
          <w:bottom w:val="nil"/>
          <w:right w:val="nil"/>
          <w:between w:val="nil"/>
        </w:pBdr>
        <w:spacing w:line="360" w:lineRule="auto"/>
        <w:jc w:val="both"/>
        <w:rPr>
          <w:color w:val="000000"/>
        </w:rPr>
      </w:pPr>
      <w:r>
        <w:t>The HR involvement at JLL real estate organization in the UK has been quite excellent. By equipping the employees with the required gear and technology and teaching them the use of technological skills, the HR team has aided the transfer of workers working remotely (</w:t>
      </w:r>
      <w:r>
        <w:rPr>
          <w:color w:val="222222"/>
        </w:rPr>
        <w:t>Li and Kao, 2022</w:t>
      </w:r>
      <w:r>
        <w:t>). They also have put in place procedures to guarantee that employees who work from home may take the required pauses and are provided with the assistance they need to keep going and be effective.</w:t>
      </w:r>
    </w:p>
    <w:p w14:paraId="7043D956" w14:textId="77777777" w:rsidR="003510B1" w:rsidRDefault="0048215A">
      <w:pPr>
        <w:pBdr>
          <w:top w:val="nil"/>
          <w:left w:val="nil"/>
          <w:bottom w:val="nil"/>
          <w:right w:val="nil"/>
          <w:between w:val="nil"/>
        </w:pBdr>
        <w:spacing w:line="360" w:lineRule="auto"/>
        <w:jc w:val="both"/>
        <w:rPr>
          <w:color w:val="000000"/>
        </w:rPr>
      </w:pPr>
      <w:r>
        <w:t xml:space="preserve">The HR department has also taken </w:t>
      </w:r>
      <w:proofErr w:type="gramStart"/>
      <w:r>
        <w:t>a number of</w:t>
      </w:r>
      <w:proofErr w:type="gramEnd"/>
      <w:r>
        <w:t xml:space="preserve"> steps to make sure the staff stays involved with the business, including planning internet social gatherings and events and offering them access to digital tools to assist them in handling the circumstance (</w:t>
      </w:r>
      <w:r>
        <w:rPr>
          <w:color w:val="222222"/>
        </w:rPr>
        <w:t xml:space="preserve">Chu </w:t>
      </w:r>
      <w:r>
        <w:rPr>
          <w:i/>
          <w:color w:val="222222"/>
        </w:rPr>
        <w:t xml:space="preserve">et al. </w:t>
      </w:r>
      <w:r>
        <w:rPr>
          <w:color w:val="222222"/>
        </w:rPr>
        <w:t>2021.</w:t>
      </w:r>
      <w:r>
        <w:t>). Also, they have given process utilizes to counselling and care systems for psychological health.</w:t>
      </w:r>
    </w:p>
    <w:p w14:paraId="7043D957" w14:textId="77777777" w:rsidR="003510B1" w:rsidRDefault="0048215A">
      <w:pPr>
        <w:pBdr>
          <w:top w:val="nil"/>
          <w:left w:val="nil"/>
          <w:bottom w:val="nil"/>
          <w:right w:val="nil"/>
          <w:between w:val="nil"/>
        </w:pBdr>
        <w:spacing w:line="360" w:lineRule="auto"/>
        <w:jc w:val="both"/>
        <w:rPr>
          <w:color w:val="000000"/>
        </w:rPr>
      </w:pPr>
      <w:r>
        <w:t xml:space="preserve">JLL Real Estate Company has generally made </w:t>
      </w:r>
      <w:proofErr w:type="gramStart"/>
      <w:r>
        <w:t>a number of</w:t>
      </w:r>
      <w:proofErr w:type="gramEnd"/>
      <w:r>
        <w:t xml:space="preserve"> efforts to make sure that staff members appropriately care throughout the epidemic. The company has been capable of effectively overseeing the working remotely atmosphere while making certain that its staff members may continue to be helpful to the business and linked to it. In this aspect, the HR group's </w:t>
      </w:r>
      <w:r>
        <w:lastRenderedPageBreak/>
        <w:t>engagement has been vital, and their work has indeed been crucial in ensuring that an organization can keep running smoothly despite the outbreak.</w:t>
      </w:r>
    </w:p>
    <w:p w14:paraId="7043D958" w14:textId="77777777" w:rsidR="003510B1" w:rsidRDefault="003510B1">
      <w:pPr>
        <w:pBdr>
          <w:top w:val="nil"/>
          <w:left w:val="nil"/>
          <w:bottom w:val="nil"/>
          <w:right w:val="nil"/>
          <w:between w:val="nil"/>
        </w:pBdr>
        <w:rPr>
          <w:color w:val="000000"/>
        </w:rPr>
      </w:pPr>
    </w:p>
    <w:p w14:paraId="7043D95A" w14:textId="1BAC80D4" w:rsidR="003510B1" w:rsidRDefault="0048215A">
      <w:pPr>
        <w:pStyle w:val="Heading2"/>
        <w:rPr>
          <w:rFonts w:ascii="Arial" w:eastAsia="Arial" w:hAnsi="Arial" w:cs="Arial"/>
          <w:sz w:val="22"/>
          <w:szCs w:val="22"/>
        </w:rPr>
      </w:pPr>
      <w:bookmarkStart w:id="9" w:name="_heading=h.2s8eyo1" w:colFirst="0" w:colLast="0"/>
      <w:bookmarkStart w:id="10" w:name="_heading=h.17dp8vu" w:colFirst="0" w:colLast="0"/>
      <w:bookmarkEnd w:id="9"/>
      <w:bookmarkEnd w:id="10"/>
      <w:r>
        <w:rPr>
          <w:rFonts w:ascii="Arial" w:eastAsia="Arial" w:hAnsi="Arial" w:cs="Arial"/>
          <w:sz w:val="22"/>
          <w:szCs w:val="22"/>
        </w:rPr>
        <w:t xml:space="preserve">Part B </w:t>
      </w:r>
    </w:p>
    <w:p w14:paraId="7043D95B" w14:textId="77777777" w:rsidR="003510B1" w:rsidRDefault="003510B1">
      <w:pPr>
        <w:pBdr>
          <w:top w:val="nil"/>
          <w:left w:val="nil"/>
          <w:bottom w:val="nil"/>
          <w:right w:val="nil"/>
          <w:between w:val="nil"/>
        </w:pBdr>
        <w:rPr>
          <w:color w:val="000000"/>
        </w:rPr>
      </w:pPr>
    </w:p>
    <w:p w14:paraId="7043D95C" w14:textId="77777777" w:rsidR="003510B1" w:rsidRDefault="0048215A">
      <w:pPr>
        <w:pBdr>
          <w:top w:val="nil"/>
          <w:left w:val="nil"/>
          <w:bottom w:val="nil"/>
          <w:right w:val="nil"/>
          <w:between w:val="nil"/>
        </w:pBdr>
        <w:spacing w:line="360" w:lineRule="auto"/>
        <w:jc w:val="both"/>
      </w:pPr>
      <w:r>
        <w:rPr>
          <w:color w:val="000000"/>
        </w:rPr>
        <w:t>A manager must make it clear what is expected of employees. Employees should be given clear objectives and goals by their managers, as well as the tools and support they need to succeed (</w:t>
      </w:r>
      <w:proofErr w:type="spellStart"/>
      <w:r>
        <w:rPr>
          <w:color w:val="000000"/>
        </w:rPr>
        <w:t>Schroth</w:t>
      </w:r>
      <w:proofErr w:type="spellEnd"/>
      <w:r>
        <w:rPr>
          <w:color w:val="000000"/>
        </w:rPr>
        <w:t xml:space="preserve">, 2019). It is a good idea to give employees the freedom to decide for themselves and take responsibility for their job, as is the main aim behind flexibility in work culture. This will boost their motivation and involvement while also improving the results. The concept </w:t>
      </w:r>
      <w:r>
        <w:t xml:space="preserve">of flexible working is considered by JLL UK to ensure that their employees always give the highest efforts in the workplace. The use of flexible schedules helps the JLL UK management to communicate to their workers that they value their personal needs. This results in high motivation for the employees to perform better and helps to achieve organisational success. According to </w:t>
      </w:r>
      <w:r>
        <w:rPr>
          <w:color w:val="222222"/>
        </w:rPr>
        <w:t xml:space="preserve">Foy </w:t>
      </w:r>
      <w:r>
        <w:rPr>
          <w:i/>
          <w:color w:val="222222"/>
        </w:rPr>
        <w:t xml:space="preserve">et al. </w:t>
      </w:r>
      <w:r>
        <w:rPr>
          <w:color w:val="222222"/>
        </w:rPr>
        <w:t>2019</w:t>
      </w:r>
      <w:r>
        <w:t>, flexible work practices are vital for reducing the stress and burnout of employees from working long hours. This is because, with flexibility, the employees in the real estate sector themselves are empowered to divide the total work pressure. This is vital for rejuvenating themselves by taking periodic intervals and finishing their work on time. Moreover, the workers of JLL UK can deal with their personal obligations better under flexible work practices.</w:t>
      </w:r>
    </w:p>
    <w:p w14:paraId="7043D95D" w14:textId="77777777" w:rsidR="003510B1" w:rsidRDefault="0048215A">
      <w:pPr>
        <w:pBdr>
          <w:top w:val="nil"/>
          <w:left w:val="nil"/>
          <w:bottom w:val="nil"/>
          <w:right w:val="nil"/>
          <w:between w:val="nil"/>
        </w:pBdr>
        <w:spacing w:line="360" w:lineRule="auto"/>
        <w:jc w:val="both"/>
      </w:pPr>
      <w:r>
        <w:t xml:space="preserve">Again, </w:t>
      </w:r>
      <w:r>
        <w:rPr>
          <w:color w:val="222222"/>
        </w:rPr>
        <w:t xml:space="preserve">Anderson and </w:t>
      </w:r>
      <w:proofErr w:type="spellStart"/>
      <w:r>
        <w:rPr>
          <w:color w:val="222222"/>
        </w:rPr>
        <w:t>Kelliher</w:t>
      </w:r>
      <w:proofErr w:type="spellEnd"/>
      <w:r>
        <w:rPr>
          <w:color w:val="222222"/>
        </w:rPr>
        <w:t xml:space="preserve"> (2020) </w:t>
      </w:r>
      <w:r>
        <w:t xml:space="preserve">have opined that flexible working from the managerial perspective involves greater control over duties by employees which increases their motivation and morale. In this way, workers of JLL UK can feel more appreciated and trusted by exercising power to make decisions. Therefore, the management of real estate organisations like JLL UK implements flexible practices so that employees can provide the highest results on every construction project. </w:t>
      </w:r>
    </w:p>
    <w:p w14:paraId="7043D95E" w14:textId="77777777" w:rsidR="003510B1" w:rsidRDefault="0048215A">
      <w:pPr>
        <w:pBdr>
          <w:top w:val="nil"/>
          <w:left w:val="nil"/>
          <w:bottom w:val="nil"/>
          <w:right w:val="nil"/>
          <w:between w:val="nil"/>
        </w:pBdr>
        <w:spacing w:line="360" w:lineRule="auto"/>
        <w:jc w:val="both"/>
        <w:rPr>
          <w:color w:val="000000"/>
        </w:rPr>
      </w:pPr>
      <w:r>
        <w:rPr>
          <w:color w:val="000000"/>
        </w:rPr>
        <w:t xml:space="preserve"> </w:t>
      </w:r>
      <w:r>
        <w:t xml:space="preserve">Furthermore, </w:t>
      </w:r>
      <w:proofErr w:type="spellStart"/>
      <w:r>
        <w:rPr>
          <w:color w:val="222222"/>
        </w:rPr>
        <w:t>Hamouche</w:t>
      </w:r>
      <w:proofErr w:type="spellEnd"/>
      <w:r>
        <w:rPr>
          <w:color w:val="222222"/>
        </w:rPr>
        <w:t xml:space="preserve"> (2021) </w:t>
      </w:r>
      <w:r>
        <w:t xml:space="preserve">has commented that flexible working has the benefit of better management of stress than other techniques in the workplace. This is because rigid working hours leave little or no room for unexpected situations. The continuous monotonicity in work also hampers the productivity of real estate workers of JLL UK, and that hampers productivity. However, flexible work practices enable employees to rejuvenate themselves in their own ways and take good care of their health. This directly reduces the turnover of employees, leaves, and sick days. Healthier and happier employees of JLL UK can therefore stick around as their </w:t>
      </w:r>
      <w:r>
        <w:lastRenderedPageBreak/>
        <w:t>requirements are taken care of, and since they are trusted and appreciated by managers, there exists loyalty among employees.</w:t>
      </w:r>
    </w:p>
    <w:p w14:paraId="7043D95F" w14:textId="77777777" w:rsidR="003510B1" w:rsidRDefault="0048215A">
      <w:pPr>
        <w:pBdr>
          <w:top w:val="nil"/>
          <w:left w:val="nil"/>
          <w:bottom w:val="nil"/>
          <w:right w:val="nil"/>
          <w:between w:val="nil"/>
        </w:pBdr>
        <w:spacing w:line="360" w:lineRule="auto"/>
        <w:jc w:val="both"/>
        <w:rPr>
          <w:color w:val="000000"/>
        </w:rPr>
      </w:pPr>
      <w:r>
        <w:rPr>
          <w:color w:val="000000"/>
        </w:rPr>
        <w:t>The managers must make sure that they are using the appropriate technologies, such as project management software, video conferences, and text messaging, which can lead to better communication channels and solving issues in a much faster way and more efficient manner (</w:t>
      </w:r>
      <w:proofErr w:type="spellStart"/>
      <w:r>
        <w:rPr>
          <w:color w:val="000000"/>
        </w:rPr>
        <w:t>Cakula</w:t>
      </w:r>
      <w:proofErr w:type="spellEnd"/>
      <w:r>
        <w:rPr>
          <w:color w:val="000000"/>
        </w:rPr>
        <w:t xml:space="preserve"> and Pratt, 2021). The physical distance can be cut down tremendously by using certain specially designed tools for communication and coordination among the employees and the managers. This involves the use of multiple channels of communication like vid</w:t>
      </w:r>
      <w:r>
        <w:t>eo conferences, virtual meetings, group conferences, and others. Such effective communication paired with flexible work environments can remove the burden of work and tiring work schedules. The development and existence of online platforms and applications in the wake of the Covid-19 pandemic and consequent remote working help JLL UK in facilitating effective communication. This is vital for encouraging the productivity of workers by minimising the costs and time required for communication.</w:t>
      </w:r>
    </w:p>
    <w:p w14:paraId="7043D960" w14:textId="77777777" w:rsidR="003510B1" w:rsidRDefault="0048215A">
      <w:pPr>
        <w:pBdr>
          <w:top w:val="nil"/>
          <w:left w:val="nil"/>
          <w:bottom w:val="nil"/>
          <w:right w:val="nil"/>
          <w:between w:val="nil"/>
        </w:pBdr>
        <w:spacing w:line="360" w:lineRule="auto"/>
        <w:jc w:val="both"/>
        <w:rPr>
          <w:color w:val="000000"/>
        </w:rPr>
      </w:pPr>
      <w:r>
        <w:rPr>
          <w:color w:val="000000"/>
        </w:rPr>
        <w:t xml:space="preserve">The managers might often find it difficult to coordinate the job-sharing situations and on-time delivery of the orders, and for that reason, a proper tracker with all job details, deadlines, employees involved, and working hours can be maintained. This shall help the managers to ensure that the task is proceeding in a systematic manner and that the employees are doing their part </w:t>
      </w:r>
      <w:proofErr w:type="gramStart"/>
      <w:r>
        <w:rPr>
          <w:color w:val="000000"/>
        </w:rPr>
        <w:t>on a daily basis</w:t>
      </w:r>
      <w:proofErr w:type="gramEnd"/>
      <w:r>
        <w:rPr>
          <w:color w:val="000000"/>
        </w:rPr>
        <w:t xml:space="preserve"> to make sure they meet the targets at the end. The fact that targets are set based on the efficiency of an employee </w:t>
      </w:r>
      <w:proofErr w:type="gramStart"/>
      <w:r>
        <w:rPr>
          <w:color w:val="000000"/>
        </w:rPr>
        <w:t>and also</w:t>
      </w:r>
      <w:proofErr w:type="gramEnd"/>
      <w:r>
        <w:rPr>
          <w:color w:val="000000"/>
        </w:rPr>
        <w:t xml:space="preserve"> the need of the clients, managers need to identify the best workforce suited for a specific job so that it is easier in this flexible work setup for them to ensure quality and timely output. In flexible work practice scenarios, managers need to establish clear policies and guidelines for various tasks and responsibilities. The tasks are oftentimes bounded by certain specific regulations, which are to be followed properly and adhered to in order to get the best quality output. Managers need to be assertive and commanding in making sure that the employees follow everything to perfection to uphold the organizational reputation and be an asset to the real estate </w:t>
      </w:r>
      <w:proofErr w:type="gramStart"/>
      <w:r>
        <w:rPr>
          <w:color w:val="000000"/>
        </w:rPr>
        <w:t>company(</w:t>
      </w:r>
      <w:proofErr w:type="gramEnd"/>
      <w:r>
        <w:rPr>
          <w:color w:val="000000"/>
        </w:rPr>
        <w:t xml:space="preserve">Muñoz Aparicio and Contreras Loera, 2019). In the case of flexible work hours, oftentimes, the lines get blurred between working hours and life; the role of a manager is to structure the </w:t>
      </w:r>
      <w:proofErr w:type="gramStart"/>
      <w:r>
        <w:rPr>
          <w:color w:val="000000"/>
        </w:rPr>
        <w:t>work days</w:t>
      </w:r>
      <w:proofErr w:type="gramEnd"/>
      <w:r>
        <w:rPr>
          <w:color w:val="000000"/>
        </w:rPr>
        <w:t xml:space="preserve"> in a way that they can finish their work and put their efforts strategically to get the work finished on time and enjoy a proper work-life balance. It is highly necessary as there is no clear demarcation of office hours where the management can reach the employees </w:t>
      </w:r>
      <w:proofErr w:type="gramStart"/>
      <w:r>
        <w:rPr>
          <w:color w:val="000000"/>
        </w:rPr>
        <w:t>anytime</w:t>
      </w:r>
      <w:proofErr w:type="gramEnd"/>
      <w:r>
        <w:rPr>
          <w:color w:val="000000"/>
        </w:rPr>
        <w:t xml:space="preserve"> they want and get work done. </w:t>
      </w:r>
    </w:p>
    <w:p w14:paraId="7043D961" w14:textId="77777777" w:rsidR="003510B1" w:rsidRDefault="003510B1">
      <w:pPr>
        <w:pBdr>
          <w:top w:val="nil"/>
          <w:left w:val="nil"/>
          <w:bottom w:val="nil"/>
          <w:right w:val="nil"/>
          <w:between w:val="nil"/>
        </w:pBdr>
        <w:spacing w:line="360" w:lineRule="auto"/>
        <w:jc w:val="both"/>
        <w:rPr>
          <w:color w:val="000000"/>
        </w:rPr>
      </w:pPr>
    </w:p>
    <w:p w14:paraId="7043D962" w14:textId="77777777" w:rsidR="003510B1" w:rsidRDefault="0048215A">
      <w:pPr>
        <w:pBdr>
          <w:top w:val="nil"/>
          <w:left w:val="nil"/>
          <w:bottom w:val="nil"/>
          <w:right w:val="nil"/>
          <w:between w:val="nil"/>
        </w:pBdr>
        <w:spacing w:line="360" w:lineRule="auto"/>
        <w:jc w:val="both"/>
      </w:pPr>
      <w:r>
        <w:rPr>
          <w:color w:val="000000"/>
        </w:rPr>
        <w:lastRenderedPageBreak/>
        <w:t>There are numerous legal implications with the changing of contractual terms in the company. The managers play a very vital role in this scenario as they are directly involved with the employees. The managers need to make sure that the changes in the contractual terms are properly conveyed to the concerned employees; they are informed quite beforehand of the changes in the terms so that consent can be taken from them. This ensures a healthy work culture and the maintenance of a proper dialogue concerning an important change in the company. The managers need to talk to legal experts in order to make sure that the company is not violating any legislation or laws made specifically about the country's contractual employment practices. This also helps them be assured of dealing with the contract terms with utmost clarity and specificity. The managers need to document every change that is associated with the terms of employment for the contractual employees (</w:t>
      </w:r>
      <w:proofErr w:type="spellStart"/>
      <w:r>
        <w:rPr>
          <w:color w:val="000000"/>
        </w:rPr>
        <w:t>Davidescu</w:t>
      </w:r>
      <w:proofErr w:type="spellEnd"/>
      <w:r>
        <w:rPr>
          <w:color w:val="000000"/>
        </w:rPr>
        <w:t xml:space="preserve">, 2020). </w:t>
      </w:r>
    </w:p>
    <w:p w14:paraId="7043D963" w14:textId="77777777" w:rsidR="003510B1" w:rsidRDefault="003510B1">
      <w:pPr>
        <w:pBdr>
          <w:top w:val="nil"/>
          <w:left w:val="nil"/>
          <w:bottom w:val="nil"/>
          <w:right w:val="nil"/>
          <w:between w:val="nil"/>
        </w:pBdr>
        <w:spacing w:line="360" w:lineRule="auto"/>
        <w:jc w:val="both"/>
      </w:pPr>
    </w:p>
    <w:p w14:paraId="7043D964" w14:textId="77777777" w:rsidR="003510B1" w:rsidRPr="00131124" w:rsidRDefault="0048215A">
      <w:pPr>
        <w:pBdr>
          <w:top w:val="nil"/>
          <w:left w:val="nil"/>
          <w:bottom w:val="nil"/>
          <w:right w:val="nil"/>
          <w:between w:val="nil"/>
        </w:pBdr>
        <w:spacing w:line="360" w:lineRule="auto"/>
        <w:jc w:val="both"/>
      </w:pPr>
      <w:r w:rsidRPr="00131124">
        <w:t>Here are some specific recommendations for JLL company or any other real estate company that wants to incorporate virtual viewings into their business strategy:</w:t>
      </w:r>
    </w:p>
    <w:p w14:paraId="7043D965" w14:textId="77777777" w:rsidR="003510B1" w:rsidRPr="00131124" w:rsidRDefault="0048215A">
      <w:pPr>
        <w:pBdr>
          <w:top w:val="nil"/>
          <w:left w:val="nil"/>
          <w:bottom w:val="nil"/>
          <w:right w:val="nil"/>
          <w:between w:val="nil"/>
        </w:pBdr>
        <w:spacing w:line="360" w:lineRule="auto"/>
        <w:jc w:val="both"/>
      </w:pPr>
      <w:r w:rsidRPr="00131124">
        <w:t>Invest in technology: Real estate companies should invest in the necessary technology to enable virtual viewings, such as cameras, software, and virtual reality headsets (</w:t>
      </w:r>
      <w:proofErr w:type="spellStart"/>
      <w:r w:rsidRPr="00131124">
        <w:t>Viriato</w:t>
      </w:r>
      <w:proofErr w:type="spellEnd"/>
      <w:r w:rsidRPr="00131124">
        <w:t xml:space="preserve">, 2019). This may require a financial investment, but it can pay off in the long run by providing a competitive advantage and improving the customer experience. Investments in virtual tour technology are becoming increasingly important in the global real estate market. The COVID-19 pandemic has increased the approval of virtual technology in the global real estate industry.  Additionally, virtual tours can give real estate companies a competitive edge in the international market. This allows them to present landscape to possible buyers and investors around the world, expanding the range of their offers. Additionally, virtual tours can improve the consumer involvement by conditional convenience and time savings for both buyers and sellers. Hence the JLL organization can benefit by </w:t>
      </w:r>
      <w:proofErr w:type="spellStart"/>
      <w:r w:rsidRPr="00131124">
        <w:t>utililing</w:t>
      </w:r>
      <w:proofErr w:type="spellEnd"/>
      <w:r w:rsidRPr="00131124">
        <w:t xml:space="preserve"> technology in their operations.</w:t>
      </w:r>
    </w:p>
    <w:p w14:paraId="7043D966" w14:textId="77777777" w:rsidR="003510B1" w:rsidRPr="00131124" w:rsidRDefault="003510B1">
      <w:pPr>
        <w:pBdr>
          <w:top w:val="nil"/>
          <w:left w:val="nil"/>
          <w:bottom w:val="nil"/>
          <w:right w:val="nil"/>
          <w:between w:val="nil"/>
        </w:pBdr>
        <w:spacing w:line="360" w:lineRule="auto"/>
        <w:jc w:val="both"/>
      </w:pPr>
    </w:p>
    <w:p w14:paraId="7043D967" w14:textId="77777777" w:rsidR="003510B1" w:rsidRDefault="0048215A">
      <w:pPr>
        <w:pBdr>
          <w:top w:val="nil"/>
          <w:left w:val="nil"/>
          <w:bottom w:val="nil"/>
          <w:right w:val="nil"/>
          <w:between w:val="nil"/>
        </w:pBdr>
        <w:spacing w:line="360" w:lineRule="auto"/>
        <w:jc w:val="both"/>
        <w:rPr>
          <w:highlight w:val="green"/>
        </w:rPr>
      </w:pPr>
      <w:r w:rsidRPr="00131124">
        <w:t xml:space="preserve">Train employees: Real estate agents and employees should be trained on how to conduct virtual viewings effectively. This includes knowing how to use the technology, how to navigate the virtual space, and how to answer questions from potential buyers or renters. An edge in the global real estate market and higher client satisfaction might result from investing in employee training on virtual viewings. Customers now demand virtual viewings as a result of the expansion of remote work and the widespread usage of technology. Employees' abilities and understanding may be improved by receiving high-quality training, which will improve customer interactions and sales </w:t>
      </w:r>
      <w:r w:rsidRPr="00131124">
        <w:lastRenderedPageBreak/>
        <w:t>conversions. A trained team may also boost the efficacy and efficiency of virtual viewings, which will ultimately result in more profitable sales and more money for the compan</w:t>
      </w:r>
      <w:r w:rsidRPr="00DB5B4B">
        <w:t>y.</w:t>
      </w:r>
    </w:p>
    <w:p w14:paraId="7043D968" w14:textId="77777777" w:rsidR="003510B1" w:rsidRDefault="003510B1">
      <w:pPr>
        <w:pBdr>
          <w:top w:val="nil"/>
          <w:left w:val="nil"/>
          <w:bottom w:val="nil"/>
          <w:right w:val="nil"/>
          <w:between w:val="nil"/>
        </w:pBdr>
        <w:spacing w:line="360" w:lineRule="auto"/>
        <w:jc w:val="both"/>
        <w:rPr>
          <w:highlight w:val="green"/>
        </w:rPr>
      </w:pPr>
    </w:p>
    <w:p w14:paraId="7043D969" w14:textId="77777777" w:rsidR="003510B1" w:rsidRDefault="003510B1">
      <w:pPr>
        <w:pBdr>
          <w:top w:val="nil"/>
          <w:left w:val="nil"/>
          <w:bottom w:val="nil"/>
          <w:right w:val="nil"/>
          <w:between w:val="nil"/>
        </w:pBdr>
        <w:spacing w:line="360" w:lineRule="auto"/>
        <w:jc w:val="both"/>
        <w:rPr>
          <w:highlight w:val="green"/>
        </w:rPr>
      </w:pPr>
    </w:p>
    <w:p w14:paraId="7043D96A" w14:textId="77777777" w:rsidR="003510B1" w:rsidRPr="0093244A" w:rsidRDefault="0048215A">
      <w:pPr>
        <w:pBdr>
          <w:top w:val="nil"/>
          <w:left w:val="nil"/>
          <w:bottom w:val="nil"/>
          <w:right w:val="nil"/>
          <w:between w:val="nil"/>
        </w:pBdr>
        <w:spacing w:line="360" w:lineRule="auto"/>
        <w:jc w:val="both"/>
      </w:pPr>
      <w:r w:rsidRPr="0093244A">
        <w:t xml:space="preserve">Market the virtual viewing option: Real estate companies should actively promote the availability of virtual viewings to potential clients (Ullah and </w:t>
      </w:r>
      <w:proofErr w:type="spellStart"/>
      <w:r w:rsidRPr="0093244A">
        <w:t>Sepasgozar</w:t>
      </w:r>
      <w:proofErr w:type="spellEnd"/>
      <w:r w:rsidRPr="0093244A">
        <w:t xml:space="preserve">, 2020). This can be done through social media, email marketing, and website updates. The message should highlight the convenience and safety of virtual viewings during the pandemic. Virtual viewings should be extensively promoted to prospective clients by real estate firms like JLL for </w:t>
      </w:r>
      <w:proofErr w:type="gramStart"/>
      <w:r w:rsidRPr="0093244A">
        <w:t>a number of</w:t>
      </w:r>
      <w:proofErr w:type="gramEnd"/>
      <w:r w:rsidRPr="0093244A">
        <w:t xml:space="preserve"> reasons worldwide:</w:t>
      </w:r>
    </w:p>
    <w:p w14:paraId="7043D96B" w14:textId="77777777" w:rsidR="003510B1" w:rsidRPr="0093244A" w:rsidRDefault="003510B1">
      <w:pPr>
        <w:pBdr>
          <w:top w:val="nil"/>
          <w:left w:val="nil"/>
          <w:bottom w:val="nil"/>
          <w:right w:val="nil"/>
          <w:between w:val="nil"/>
        </w:pBdr>
        <w:spacing w:line="360" w:lineRule="auto"/>
        <w:jc w:val="both"/>
      </w:pPr>
    </w:p>
    <w:p w14:paraId="7043D96C" w14:textId="77777777" w:rsidR="003510B1" w:rsidRPr="0093244A" w:rsidRDefault="0048215A">
      <w:pPr>
        <w:pBdr>
          <w:top w:val="nil"/>
          <w:left w:val="nil"/>
          <w:bottom w:val="nil"/>
          <w:right w:val="nil"/>
          <w:between w:val="nil"/>
        </w:pBdr>
        <w:spacing w:line="360" w:lineRule="auto"/>
        <w:jc w:val="both"/>
      </w:pPr>
      <w:r w:rsidRPr="0093244A">
        <w:t>Adaptability: Real estate firms have been compelled to adopt new methods of operation as a result of the COVID-19 outbreak. Businesses may demonstrate their flexibility and capacity for innovation in the face of difficult conditions by encouraging virtual viewings.</w:t>
      </w:r>
    </w:p>
    <w:p w14:paraId="7043D96D" w14:textId="77777777" w:rsidR="003510B1" w:rsidRPr="0093244A" w:rsidRDefault="003510B1">
      <w:pPr>
        <w:pBdr>
          <w:top w:val="nil"/>
          <w:left w:val="nil"/>
          <w:bottom w:val="nil"/>
          <w:right w:val="nil"/>
          <w:between w:val="nil"/>
        </w:pBdr>
        <w:spacing w:line="360" w:lineRule="auto"/>
        <w:jc w:val="both"/>
      </w:pPr>
    </w:p>
    <w:p w14:paraId="7043D96E" w14:textId="77777777" w:rsidR="003510B1" w:rsidRPr="0093244A" w:rsidRDefault="0048215A">
      <w:pPr>
        <w:pBdr>
          <w:top w:val="nil"/>
          <w:left w:val="nil"/>
          <w:bottom w:val="nil"/>
          <w:right w:val="nil"/>
          <w:between w:val="nil"/>
        </w:pBdr>
        <w:spacing w:line="360" w:lineRule="auto"/>
        <w:jc w:val="both"/>
      </w:pPr>
      <w:r w:rsidRPr="0093244A">
        <w:t>More customer satisfaction: By providing virtual viewings, real estate agencies may better satisfy customers who might be reluctant to leave their homes owing to the epidemic. Increased client satisfaction and loyalty may result from this.</w:t>
      </w:r>
    </w:p>
    <w:p w14:paraId="7043D96F" w14:textId="77777777" w:rsidR="003510B1" w:rsidRPr="0093244A" w:rsidRDefault="003510B1">
      <w:pPr>
        <w:pBdr>
          <w:top w:val="nil"/>
          <w:left w:val="nil"/>
          <w:bottom w:val="nil"/>
          <w:right w:val="nil"/>
          <w:between w:val="nil"/>
        </w:pBdr>
        <w:spacing w:line="360" w:lineRule="auto"/>
        <w:jc w:val="both"/>
      </w:pPr>
    </w:p>
    <w:p w14:paraId="7043D970" w14:textId="77777777" w:rsidR="003510B1" w:rsidRDefault="003510B1">
      <w:pPr>
        <w:pBdr>
          <w:top w:val="nil"/>
          <w:left w:val="nil"/>
          <w:bottom w:val="nil"/>
          <w:right w:val="nil"/>
          <w:between w:val="nil"/>
        </w:pBdr>
        <w:spacing w:line="360" w:lineRule="auto"/>
        <w:jc w:val="both"/>
        <w:rPr>
          <w:highlight w:val="green"/>
        </w:rPr>
      </w:pPr>
    </w:p>
    <w:p w14:paraId="7043D971" w14:textId="77777777" w:rsidR="003510B1" w:rsidRPr="0093244A" w:rsidRDefault="0048215A">
      <w:pPr>
        <w:pBdr>
          <w:top w:val="nil"/>
          <w:left w:val="nil"/>
          <w:bottom w:val="nil"/>
          <w:right w:val="nil"/>
          <w:between w:val="nil"/>
        </w:pBdr>
        <w:spacing w:line="360" w:lineRule="auto"/>
        <w:jc w:val="both"/>
      </w:pPr>
      <w:r w:rsidRPr="0093244A">
        <w:t xml:space="preserve">Collect feedback: Real estate companies should gather feedback from clients who have experienced virtual viewings. This feedback can help improve the virtual viewing process and provide insights into what clients want from experience. Virtual viewings should be extensively promoted to prospective clients by real estate firms like JLL for </w:t>
      </w:r>
      <w:proofErr w:type="gramStart"/>
      <w:r w:rsidRPr="0093244A">
        <w:t>a number of</w:t>
      </w:r>
      <w:proofErr w:type="gramEnd"/>
      <w:r w:rsidRPr="0093244A">
        <w:t xml:space="preserve"> reasons worldwide:</w:t>
      </w:r>
    </w:p>
    <w:p w14:paraId="7043D972" w14:textId="77777777" w:rsidR="003510B1" w:rsidRPr="0093244A" w:rsidRDefault="003510B1">
      <w:pPr>
        <w:pBdr>
          <w:top w:val="nil"/>
          <w:left w:val="nil"/>
          <w:bottom w:val="nil"/>
          <w:right w:val="nil"/>
          <w:between w:val="nil"/>
        </w:pBdr>
        <w:spacing w:line="360" w:lineRule="auto"/>
        <w:jc w:val="both"/>
      </w:pPr>
    </w:p>
    <w:p w14:paraId="7043D973" w14:textId="77777777" w:rsidR="003510B1" w:rsidRPr="0093244A" w:rsidRDefault="0048215A">
      <w:pPr>
        <w:pBdr>
          <w:top w:val="nil"/>
          <w:left w:val="nil"/>
          <w:bottom w:val="nil"/>
          <w:right w:val="nil"/>
          <w:between w:val="nil"/>
        </w:pBdr>
        <w:spacing w:line="360" w:lineRule="auto"/>
        <w:jc w:val="both"/>
      </w:pPr>
      <w:r w:rsidRPr="0093244A">
        <w:t>For a variety of reasons, real estate companies like JLL should solicit feedback from customers who have had virtual viewings:</w:t>
      </w:r>
    </w:p>
    <w:p w14:paraId="7043D974" w14:textId="77777777" w:rsidR="003510B1" w:rsidRPr="0093244A" w:rsidRDefault="003510B1">
      <w:pPr>
        <w:pBdr>
          <w:top w:val="nil"/>
          <w:left w:val="nil"/>
          <w:bottom w:val="nil"/>
          <w:right w:val="nil"/>
          <w:between w:val="nil"/>
        </w:pBdr>
        <w:spacing w:line="360" w:lineRule="auto"/>
        <w:jc w:val="both"/>
      </w:pPr>
    </w:p>
    <w:p w14:paraId="7043D975" w14:textId="77777777" w:rsidR="003510B1" w:rsidRPr="0093244A" w:rsidRDefault="0048215A">
      <w:pPr>
        <w:pBdr>
          <w:top w:val="nil"/>
          <w:left w:val="nil"/>
          <w:bottom w:val="nil"/>
          <w:right w:val="nil"/>
          <w:between w:val="nil"/>
        </w:pBdr>
        <w:spacing w:line="360" w:lineRule="auto"/>
        <w:jc w:val="both"/>
      </w:pPr>
      <w:r w:rsidRPr="0093244A">
        <w:t>Continuous improvement: Real estate organisations may find areas for development and tweak the virtual viewing process by getting feedback from customers who have participated in virtual viewings. As a result, customers may have a better overall shopping experience and be more satisfied.</w:t>
      </w:r>
    </w:p>
    <w:p w14:paraId="7043D976" w14:textId="77777777" w:rsidR="003510B1" w:rsidRPr="0093244A" w:rsidRDefault="003510B1">
      <w:pPr>
        <w:pBdr>
          <w:top w:val="nil"/>
          <w:left w:val="nil"/>
          <w:bottom w:val="nil"/>
          <w:right w:val="nil"/>
          <w:between w:val="nil"/>
        </w:pBdr>
        <w:spacing w:line="360" w:lineRule="auto"/>
        <w:jc w:val="both"/>
      </w:pPr>
    </w:p>
    <w:p w14:paraId="7043D977" w14:textId="77777777" w:rsidR="003510B1" w:rsidRPr="0093244A" w:rsidRDefault="0048215A">
      <w:pPr>
        <w:pBdr>
          <w:top w:val="nil"/>
          <w:left w:val="nil"/>
          <w:bottom w:val="nil"/>
          <w:right w:val="nil"/>
          <w:between w:val="nil"/>
        </w:pBdr>
        <w:spacing w:line="360" w:lineRule="auto"/>
        <w:jc w:val="both"/>
      </w:pPr>
      <w:r w:rsidRPr="0093244A">
        <w:lastRenderedPageBreak/>
        <w:t>Real estate firms may innovate by getting customer input to better understand what prospective buyers and tenants want and need from virtual viewings. This might provide businesses a competitive edge by enabling them to innovate and remain ahead of the curve in the virtual watching market.</w:t>
      </w:r>
    </w:p>
    <w:p w14:paraId="7043D978" w14:textId="77777777" w:rsidR="003510B1" w:rsidRPr="0093244A" w:rsidRDefault="003510B1">
      <w:pPr>
        <w:pBdr>
          <w:top w:val="nil"/>
          <w:left w:val="nil"/>
          <w:bottom w:val="nil"/>
          <w:right w:val="nil"/>
          <w:between w:val="nil"/>
        </w:pBdr>
        <w:spacing w:line="360" w:lineRule="auto"/>
        <w:jc w:val="both"/>
      </w:pPr>
    </w:p>
    <w:p w14:paraId="7043D979" w14:textId="77777777" w:rsidR="003510B1" w:rsidRPr="0093244A" w:rsidRDefault="003510B1">
      <w:pPr>
        <w:pBdr>
          <w:top w:val="nil"/>
          <w:left w:val="nil"/>
          <w:bottom w:val="nil"/>
          <w:right w:val="nil"/>
          <w:between w:val="nil"/>
        </w:pBdr>
        <w:spacing w:line="360" w:lineRule="auto"/>
        <w:jc w:val="both"/>
      </w:pPr>
    </w:p>
    <w:p w14:paraId="7043D97A" w14:textId="77777777" w:rsidR="003510B1" w:rsidRPr="0093244A" w:rsidRDefault="0048215A">
      <w:pPr>
        <w:pBdr>
          <w:top w:val="nil"/>
          <w:left w:val="nil"/>
          <w:bottom w:val="nil"/>
          <w:right w:val="nil"/>
          <w:between w:val="nil"/>
        </w:pBdr>
        <w:spacing w:line="360" w:lineRule="auto"/>
        <w:jc w:val="both"/>
      </w:pPr>
      <w:r w:rsidRPr="0093244A">
        <w:t xml:space="preserve"> The pandemic situation has necessitated a shift from in-person property viewings to virtual viewings. Real estate companies should invest in the necessary technology, train their employees, market the virtual viewing option, and collect feedback to provide a competitive advantage and improve the customer experience.</w:t>
      </w:r>
    </w:p>
    <w:p w14:paraId="7043D97B" w14:textId="77777777" w:rsidR="003510B1" w:rsidRDefault="0048215A">
      <w:pPr>
        <w:pBdr>
          <w:top w:val="nil"/>
          <w:left w:val="nil"/>
          <w:bottom w:val="nil"/>
          <w:right w:val="nil"/>
          <w:between w:val="nil"/>
        </w:pBdr>
        <w:spacing w:line="360" w:lineRule="auto"/>
        <w:jc w:val="both"/>
      </w:pPr>
      <w:r>
        <w:t xml:space="preserve">Additionally, Unlimited vacation and take-what-you-need policies are compatible with organizations operating on mutual trust and respect (Anderson and </w:t>
      </w:r>
      <w:proofErr w:type="spellStart"/>
      <w:r>
        <w:t>Kelliher</w:t>
      </w:r>
      <w:proofErr w:type="spellEnd"/>
      <w:r>
        <w:t xml:space="preserve">, 2020). In this context, the JLL organization can </w:t>
      </w:r>
      <w:proofErr w:type="gramStart"/>
      <w:r>
        <w:t>carefully scrutinize</w:t>
      </w:r>
      <w:proofErr w:type="gramEnd"/>
      <w:r>
        <w:t xml:space="preserve"> the talent and character of candidates and workers during recruitment. Also, in the real estate industry, the employees themselves work in roles that complement the organizational culture of JLL in the UK. This implies that such employees make decisions that are in the best interests of JLL in the UK. The concept of unlimited vacation is easy to implement for employees having feast-or-famine workloads, like in the sales and technology domains. This is also relevant for JLL in the UK in the post-pandemic era, where the productivity of employees is measurable, and employees enjoy freedom in time management. </w:t>
      </w:r>
    </w:p>
    <w:p w14:paraId="7043D97C" w14:textId="77777777" w:rsidR="003510B1" w:rsidRDefault="0048215A">
      <w:pPr>
        <w:pBdr>
          <w:top w:val="nil"/>
          <w:left w:val="nil"/>
          <w:bottom w:val="nil"/>
          <w:right w:val="nil"/>
          <w:between w:val="nil"/>
        </w:pBdr>
        <w:spacing w:line="360" w:lineRule="auto"/>
        <w:jc w:val="both"/>
      </w:pPr>
      <w:r>
        <w:t xml:space="preserve">Again, job sharing implies the division of labour in performing a single job with two or more individuals having the responsibility of achieving total success (Acemoglu and Restrepo, 2019). This is vital for JLL, where two or more staff members can share the responsibility of a single full-time position amongst themselves. In this context, such employees can earn prorated remunerations along with paid leaves. </w:t>
      </w:r>
    </w:p>
    <w:p w14:paraId="7043D97D" w14:textId="77777777" w:rsidR="003510B1" w:rsidRDefault="0048215A">
      <w:pPr>
        <w:pBdr>
          <w:top w:val="nil"/>
          <w:left w:val="nil"/>
          <w:bottom w:val="nil"/>
          <w:right w:val="nil"/>
          <w:between w:val="nil"/>
        </w:pBdr>
        <w:spacing w:line="360" w:lineRule="auto"/>
        <w:jc w:val="both"/>
      </w:pPr>
      <w:r>
        <w:t>Moreover, the development of human resource practices is another important feature from the perspective of managerial implication (</w:t>
      </w:r>
      <w:proofErr w:type="spellStart"/>
      <w:r>
        <w:t>Hamouche</w:t>
      </w:r>
      <w:proofErr w:type="spellEnd"/>
      <w:r>
        <w:t>, 2021). This includes building core values and ethical practices, which not only help in attracting talented workers but also look after their well-being and empowerment. The human resource managers of JLL are required to design practices that help their employees to achieve higher tiers in Maslow's hierarchy of needs. Such practices also enable the firm to increase its stock of human capital and achieve higher productivity.</w:t>
      </w:r>
    </w:p>
    <w:p w14:paraId="2D3ADB14" w14:textId="77777777" w:rsidR="00936B2A" w:rsidRDefault="00936B2A">
      <w:pPr>
        <w:pBdr>
          <w:top w:val="nil"/>
          <w:left w:val="nil"/>
          <w:bottom w:val="nil"/>
          <w:right w:val="nil"/>
          <w:between w:val="nil"/>
        </w:pBdr>
        <w:spacing w:line="360" w:lineRule="auto"/>
        <w:jc w:val="both"/>
      </w:pPr>
    </w:p>
    <w:p w14:paraId="7043D97E" w14:textId="77777777" w:rsidR="003510B1" w:rsidRDefault="0048215A">
      <w:pPr>
        <w:pStyle w:val="Heading1"/>
        <w:spacing w:line="360" w:lineRule="auto"/>
        <w:jc w:val="both"/>
        <w:rPr>
          <w:b/>
          <w:i/>
          <w:color w:val="434343"/>
          <w:sz w:val="22"/>
          <w:szCs w:val="22"/>
        </w:rPr>
      </w:pPr>
      <w:bookmarkStart w:id="11" w:name="_heading=h.3rdcrjn" w:colFirst="0" w:colLast="0"/>
      <w:bookmarkEnd w:id="11"/>
      <w:r>
        <w:rPr>
          <w:b/>
          <w:sz w:val="22"/>
          <w:szCs w:val="22"/>
        </w:rPr>
        <w:lastRenderedPageBreak/>
        <w:t xml:space="preserve">Conclusion </w:t>
      </w:r>
      <w:r>
        <w:rPr>
          <w:b/>
          <w:i/>
          <w:color w:val="434343"/>
          <w:sz w:val="22"/>
          <w:szCs w:val="22"/>
        </w:rPr>
        <w:t xml:space="preserve"> </w:t>
      </w:r>
    </w:p>
    <w:p w14:paraId="7043D97F" w14:textId="77777777" w:rsidR="003510B1" w:rsidRDefault="0048215A">
      <w:pPr>
        <w:pBdr>
          <w:top w:val="nil"/>
          <w:left w:val="nil"/>
          <w:bottom w:val="nil"/>
          <w:right w:val="nil"/>
          <w:between w:val="nil"/>
        </w:pBdr>
        <w:spacing w:line="360" w:lineRule="auto"/>
        <w:jc w:val="both"/>
        <w:rPr>
          <w:color w:val="000000"/>
        </w:rPr>
      </w:pPr>
      <w:r>
        <w:rPr>
          <w:color w:val="000000"/>
        </w:rPr>
        <w:t xml:space="preserve">From the above study, it can be concluded that H.R. management plays a significant role in employee management and ensuring organizational performance and well-being of the employees. However, the potential impacts on employees due to organizational change and evaluation of H.R. management have been discussed in the study. Furthermore, the managerial implication in the strategies of </w:t>
      </w:r>
      <w:r>
        <w:t xml:space="preserve">JLL </w:t>
      </w:r>
      <w:r>
        <w:rPr>
          <w:color w:val="000000"/>
        </w:rPr>
        <w:t xml:space="preserve">organization has also been provided. </w:t>
      </w:r>
    </w:p>
    <w:p w14:paraId="7043D980" w14:textId="77777777" w:rsidR="003510B1" w:rsidRDefault="0048215A">
      <w:pPr>
        <w:pBdr>
          <w:top w:val="nil"/>
          <w:left w:val="nil"/>
          <w:bottom w:val="nil"/>
          <w:right w:val="nil"/>
          <w:between w:val="nil"/>
        </w:pBdr>
        <w:spacing w:line="360" w:lineRule="auto"/>
        <w:jc w:val="both"/>
      </w:pPr>
      <w:r>
        <w:t xml:space="preserve">The post-pandemic era has substantially influenced the JLL organization. Remote working, alterations in </w:t>
      </w:r>
      <w:proofErr w:type="spellStart"/>
      <w:r>
        <w:t>th</w:t>
      </w:r>
      <w:proofErr w:type="spellEnd"/>
      <w:r>
        <w:t xml:space="preserve"> workplace health and </w:t>
      </w:r>
      <w:proofErr w:type="spellStart"/>
      <w:r>
        <w:t>well being</w:t>
      </w:r>
      <w:proofErr w:type="spellEnd"/>
      <w:r>
        <w:t xml:space="preserve">, and more emphasis on mental health concerns have all been significantly implemented in the organization after the pandemic. In order to adapt to the new normal and remain relevant in the sector </w:t>
      </w:r>
      <w:proofErr w:type="gramStart"/>
      <w:r>
        <w:t>this changes</w:t>
      </w:r>
      <w:proofErr w:type="gramEnd"/>
      <w:r>
        <w:t xml:space="preserve"> was mandatory for the JLL organization.</w:t>
      </w:r>
    </w:p>
    <w:p w14:paraId="7043D981" w14:textId="77777777" w:rsidR="003510B1" w:rsidRDefault="0048215A">
      <w:pPr>
        <w:pBdr>
          <w:top w:val="nil"/>
          <w:left w:val="nil"/>
          <w:bottom w:val="nil"/>
          <w:right w:val="nil"/>
          <w:between w:val="nil"/>
        </w:pBdr>
        <w:spacing w:line="360" w:lineRule="auto"/>
        <w:jc w:val="both"/>
      </w:pPr>
      <w:r>
        <w:t xml:space="preserve">In order to match the evolved business environment, the HR function of JLL </w:t>
      </w:r>
      <w:proofErr w:type="spellStart"/>
      <w:r>
        <w:t>organizatoion</w:t>
      </w:r>
      <w:proofErr w:type="spellEnd"/>
      <w:r>
        <w:t xml:space="preserve"> must take appropriate measures. First, there must be an emphasis on staff </w:t>
      </w:r>
      <w:proofErr w:type="spellStart"/>
      <w:r>
        <w:t>well being</w:t>
      </w:r>
      <w:proofErr w:type="spellEnd"/>
      <w:r>
        <w:t xml:space="preserve"> and safety. Moreover, remote working and flexible working hours must be implemented. additionally, the authority must implement a digital system of HR functions that focuses on right and appropriate communications and </w:t>
      </w:r>
      <w:proofErr w:type="spellStart"/>
      <w:r>
        <w:t>engagemernt</w:t>
      </w:r>
      <w:proofErr w:type="spellEnd"/>
      <w:r>
        <w:t xml:space="preserve"> among the employees and the management. </w:t>
      </w:r>
    </w:p>
    <w:p w14:paraId="7043D982" w14:textId="77777777" w:rsidR="003510B1" w:rsidRDefault="0048215A">
      <w:pPr>
        <w:pStyle w:val="Heading1"/>
        <w:rPr>
          <w:b/>
          <w:sz w:val="22"/>
          <w:szCs w:val="22"/>
        </w:rPr>
      </w:pPr>
      <w:bookmarkStart w:id="12" w:name="_heading=h.s646nkmizs2h" w:colFirst="0" w:colLast="0"/>
      <w:bookmarkEnd w:id="12"/>
      <w:r>
        <w:br w:type="page"/>
      </w:r>
    </w:p>
    <w:p w14:paraId="7043D983" w14:textId="77777777" w:rsidR="003510B1" w:rsidRDefault="0048215A">
      <w:pPr>
        <w:pStyle w:val="Heading1"/>
        <w:rPr>
          <w:b/>
          <w:sz w:val="22"/>
          <w:szCs w:val="22"/>
        </w:rPr>
      </w:pPr>
      <w:bookmarkStart w:id="13" w:name="_heading=h.lnxbz9" w:colFirst="0" w:colLast="0"/>
      <w:bookmarkEnd w:id="13"/>
      <w:r>
        <w:rPr>
          <w:b/>
          <w:sz w:val="22"/>
          <w:szCs w:val="22"/>
        </w:rPr>
        <w:lastRenderedPageBreak/>
        <w:t xml:space="preserve">References </w:t>
      </w:r>
    </w:p>
    <w:p w14:paraId="7043D984" w14:textId="77777777" w:rsidR="003510B1" w:rsidRDefault="0048215A">
      <w:pPr>
        <w:pBdr>
          <w:top w:val="nil"/>
          <w:left w:val="nil"/>
          <w:bottom w:val="nil"/>
          <w:right w:val="nil"/>
          <w:between w:val="nil"/>
        </w:pBdr>
        <w:spacing w:before="240" w:after="240" w:line="360" w:lineRule="auto"/>
        <w:jc w:val="both"/>
        <w:rPr>
          <w:color w:val="000000"/>
        </w:rPr>
      </w:pPr>
      <w:proofErr w:type="spellStart"/>
      <w:r>
        <w:rPr>
          <w:color w:val="000000"/>
        </w:rPr>
        <w:t>Abarantyne</w:t>
      </w:r>
      <w:proofErr w:type="spellEnd"/>
      <w:r>
        <w:rPr>
          <w:color w:val="000000"/>
        </w:rPr>
        <w:t xml:space="preserve">, I., Naidoo, V. and </w:t>
      </w:r>
      <w:proofErr w:type="spellStart"/>
      <w:r>
        <w:rPr>
          <w:color w:val="000000"/>
        </w:rPr>
        <w:t>Rugimbana</w:t>
      </w:r>
      <w:proofErr w:type="spellEnd"/>
      <w:r>
        <w:rPr>
          <w:color w:val="000000"/>
        </w:rPr>
        <w:t xml:space="preserve">, R., 2019. The impact of psychological contracts on employee engagement at a university of technology. S.A. Journal of Human Resource Management, 17(1), pp.1-11. Available at: </w:t>
      </w:r>
      <w:hyperlink r:id="rId13">
        <w:r>
          <w:rPr>
            <w:color w:val="1155CC"/>
            <w:u w:val="single"/>
          </w:rPr>
          <w:t>https://doi.org/10.1016/j.jbusres.2020.08.018</w:t>
        </w:r>
      </w:hyperlink>
      <w:r>
        <w:rPr>
          <w:color w:val="000000"/>
        </w:rPr>
        <w:t xml:space="preserve">  [Accessed 4 March 2023]</w:t>
      </w:r>
    </w:p>
    <w:p w14:paraId="7043D985" w14:textId="77777777" w:rsidR="003510B1" w:rsidRDefault="0048215A">
      <w:pPr>
        <w:pBdr>
          <w:top w:val="nil"/>
          <w:left w:val="nil"/>
          <w:bottom w:val="nil"/>
          <w:right w:val="nil"/>
          <w:between w:val="nil"/>
        </w:pBdr>
        <w:spacing w:line="360" w:lineRule="auto"/>
        <w:jc w:val="both"/>
        <w:rPr>
          <w:color w:val="222222"/>
        </w:rPr>
      </w:pPr>
      <w:proofErr w:type="spellStart"/>
      <w:r>
        <w:rPr>
          <w:color w:val="222222"/>
        </w:rPr>
        <w:t>Abarantyne</w:t>
      </w:r>
      <w:proofErr w:type="spellEnd"/>
      <w:r>
        <w:rPr>
          <w:color w:val="222222"/>
        </w:rPr>
        <w:t xml:space="preserve">, I., Naidoo, V. and </w:t>
      </w:r>
      <w:proofErr w:type="spellStart"/>
      <w:r>
        <w:rPr>
          <w:color w:val="222222"/>
        </w:rPr>
        <w:t>Rugimbana</w:t>
      </w:r>
      <w:proofErr w:type="spellEnd"/>
      <w:r>
        <w:rPr>
          <w:color w:val="222222"/>
        </w:rPr>
        <w:t xml:space="preserve">, R., 2019. The impact of psychological contracts on employee engagement at a university of technology. </w:t>
      </w:r>
      <w:r>
        <w:rPr>
          <w:i/>
          <w:color w:val="222222"/>
        </w:rPr>
        <w:t>S.A. Journal of Human Resource Management</w:t>
      </w:r>
      <w:r>
        <w:rPr>
          <w:color w:val="222222"/>
        </w:rPr>
        <w:t xml:space="preserve">, </w:t>
      </w:r>
      <w:r>
        <w:rPr>
          <w:i/>
          <w:color w:val="222222"/>
        </w:rPr>
        <w:t>17</w:t>
      </w:r>
      <w:r>
        <w:rPr>
          <w:color w:val="222222"/>
        </w:rPr>
        <w:t xml:space="preserve">(1), pp.1-11. Available at: </w:t>
      </w:r>
      <w:hyperlink r:id="rId14">
        <w:r>
          <w:rPr>
            <w:color w:val="1155CC"/>
            <w:u w:val="single"/>
          </w:rPr>
          <w:t>https://doi.org/10.4102/sajhrm.v17i0.1039</w:t>
        </w:r>
      </w:hyperlink>
      <w:r>
        <w:rPr>
          <w:color w:val="000000"/>
        </w:rPr>
        <w:t>(Accessed: March 4, 2023).</w:t>
      </w:r>
    </w:p>
    <w:p w14:paraId="7043D986" w14:textId="77777777" w:rsidR="003510B1" w:rsidRDefault="0048215A">
      <w:pPr>
        <w:pBdr>
          <w:top w:val="nil"/>
          <w:left w:val="nil"/>
          <w:bottom w:val="nil"/>
          <w:right w:val="nil"/>
          <w:between w:val="nil"/>
        </w:pBdr>
        <w:spacing w:line="360" w:lineRule="auto"/>
        <w:jc w:val="both"/>
        <w:rPr>
          <w:color w:val="222222"/>
        </w:rPr>
      </w:pPr>
      <w:r>
        <w:rPr>
          <w:color w:val="222222"/>
        </w:rPr>
        <w:t xml:space="preserve">Acemoglu, D. and Restrepo, P., 2019. Automation and new tasks: How technology displaces and reinstates labour. </w:t>
      </w:r>
      <w:r>
        <w:rPr>
          <w:i/>
          <w:color w:val="222222"/>
        </w:rPr>
        <w:t>Journal of Economic Perspectives</w:t>
      </w:r>
      <w:r>
        <w:rPr>
          <w:color w:val="222222"/>
        </w:rPr>
        <w:t xml:space="preserve">, </w:t>
      </w:r>
      <w:r>
        <w:rPr>
          <w:i/>
          <w:color w:val="222222"/>
        </w:rPr>
        <w:t>33</w:t>
      </w:r>
      <w:r>
        <w:rPr>
          <w:color w:val="222222"/>
        </w:rPr>
        <w:t xml:space="preserve">(2), pp.3-30. Available at: </w:t>
      </w:r>
      <w:hyperlink r:id="rId15">
        <w:r>
          <w:rPr>
            <w:color w:val="1155CC"/>
            <w:u w:val="single"/>
          </w:rPr>
          <w:t>https://doi.org/10.1257/jep.33.2.3</w:t>
        </w:r>
      </w:hyperlink>
      <w:r>
        <w:rPr>
          <w:color w:val="000000"/>
        </w:rPr>
        <w:t>(Accessed: March 4, 2023).</w:t>
      </w:r>
    </w:p>
    <w:p w14:paraId="7043D987" w14:textId="77777777" w:rsidR="003510B1" w:rsidRDefault="0048215A">
      <w:pPr>
        <w:pBdr>
          <w:top w:val="nil"/>
          <w:left w:val="nil"/>
          <w:bottom w:val="nil"/>
          <w:right w:val="nil"/>
          <w:between w:val="nil"/>
        </w:pBdr>
        <w:spacing w:before="240" w:after="240" w:line="360" w:lineRule="auto"/>
        <w:jc w:val="both"/>
        <w:rPr>
          <w:color w:val="000000"/>
        </w:rPr>
      </w:pPr>
      <w:r>
        <w:rPr>
          <w:color w:val="222222"/>
        </w:rPr>
        <w:t>Al-</w:t>
      </w:r>
      <w:proofErr w:type="spellStart"/>
      <w:r>
        <w:rPr>
          <w:color w:val="222222"/>
        </w:rPr>
        <w:t>Kumaim</w:t>
      </w:r>
      <w:proofErr w:type="spellEnd"/>
      <w:r>
        <w:rPr>
          <w:color w:val="222222"/>
        </w:rPr>
        <w:t xml:space="preserve">, N.H., Mohammed, F., </w:t>
      </w:r>
      <w:proofErr w:type="spellStart"/>
      <w:r>
        <w:rPr>
          <w:color w:val="222222"/>
        </w:rPr>
        <w:t>Gazem</w:t>
      </w:r>
      <w:proofErr w:type="spellEnd"/>
      <w:r>
        <w:rPr>
          <w:color w:val="222222"/>
        </w:rPr>
        <w:t xml:space="preserve">, N.A., </w:t>
      </w:r>
      <w:proofErr w:type="spellStart"/>
      <w:r>
        <w:rPr>
          <w:color w:val="222222"/>
        </w:rPr>
        <w:t>Fazea</w:t>
      </w:r>
      <w:proofErr w:type="spellEnd"/>
      <w:r>
        <w:rPr>
          <w:color w:val="222222"/>
        </w:rPr>
        <w:t xml:space="preserve">, Y., </w:t>
      </w:r>
      <w:proofErr w:type="spellStart"/>
      <w:r>
        <w:rPr>
          <w:color w:val="222222"/>
        </w:rPr>
        <w:t>Alhazmi</w:t>
      </w:r>
      <w:proofErr w:type="spellEnd"/>
      <w:r>
        <w:rPr>
          <w:color w:val="222222"/>
        </w:rPr>
        <w:t xml:space="preserve">, A.K. and </w:t>
      </w:r>
      <w:proofErr w:type="spellStart"/>
      <w:r>
        <w:rPr>
          <w:color w:val="222222"/>
        </w:rPr>
        <w:t>Dakkak</w:t>
      </w:r>
      <w:proofErr w:type="spellEnd"/>
      <w:r>
        <w:rPr>
          <w:color w:val="222222"/>
        </w:rPr>
        <w:t xml:space="preserve">, O., 2021. Exploring the Impact of Transformation to Fully Online Learning During COVID-19 on Malaysian University Students' Academic Life and Performance. </w:t>
      </w:r>
      <w:r>
        <w:rPr>
          <w:i/>
          <w:color w:val="222222"/>
        </w:rPr>
        <w:t>International Journal of Interactive Mobile Technologies</w:t>
      </w:r>
      <w:r>
        <w:rPr>
          <w:color w:val="222222"/>
        </w:rPr>
        <w:t xml:space="preserve">, </w:t>
      </w:r>
      <w:r>
        <w:rPr>
          <w:i/>
          <w:color w:val="222222"/>
        </w:rPr>
        <w:t>15</w:t>
      </w:r>
      <w:r>
        <w:rPr>
          <w:color w:val="222222"/>
        </w:rPr>
        <w:t xml:space="preserve">(5). </w:t>
      </w:r>
      <w:r>
        <w:rPr>
          <w:color w:val="000000"/>
        </w:rPr>
        <w:t xml:space="preserve">Available at: </w:t>
      </w:r>
      <w:hyperlink r:id="rId16">
        <w:r>
          <w:rPr>
            <w:color w:val="1155CC"/>
            <w:u w:val="single"/>
          </w:rPr>
          <w:t>https://doi.org/10.3991/ijim.v15i05.20203</w:t>
        </w:r>
      </w:hyperlink>
      <w:r>
        <w:rPr>
          <w:color w:val="000000"/>
        </w:rPr>
        <w:t xml:space="preserve"> [Accessed 4 March 2023]</w:t>
      </w:r>
    </w:p>
    <w:p w14:paraId="7043D988" w14:textId="77777777" w:rsidR="003510B1" w:rsidRDefault="0048215A">
      <w:pPr>
        <w:pBdr>
          <w:top w:val="nil"/>
          <w:left w:val="nil"/>
          <w:bottom w:val="nil"/>
          <w:right w:val="nil"/>
          <w:between w:val="nil"/>
        </w:pBdr>
        <w:spacing w:before="240" w:after="240" w:line="360" w:lineRule="auto"/>
        <w:jc w:val="both"/>
        <w:rPr>
          <w:color w:val="000000"/>
        </w:rPr>
      </w:pPr>
      <w:r>
        <w:rPr>
          <w:color w:val="000000"/>
        </w:rPr>
        <w:t xml:space="preserve">Amor, A.M., Vázquez, J.P.A. and </w:t>
      </w:r>
      <w:proofErr w:type="spellStart"/>
      <w:r>
        <w:rPr>
          <w:color w:val="000000"/>
        </w:rPr>
        <w:t>Faíña</w:t>
      </w:r>
      <w:proofErr w:type="spellEnd"/>
      <w:r>
        <w:rPr>
          <w:color w:val="000000"/>
        </w:rPr>
        <w:t xml:space="preserve">, J.A., 2020. Transformational leadership and work engagement: Exploring the mediating role of structural empowerment. European Management Journal, 38(1), pp.169-178. Available at: </w:t>
      </w:r>
      <w:hyperlink r:id="rId17">
        <w:r>
          <w:rPr>
            <w:color w:val="1155CC"/>
            <w:u w:val="single"/>
          </w:rPr>
          <w:t>https://doi.org/10.1016/j.emj.2019.06.007</w:t>
        </w:r>
      </w:hyperlink>
      <w:proofErr w:type="gramStart"/>
      <w:r>
        <w:rPr>
          <w:color w:val="000000"/>
        </w:rPr>
        <w:t xml:space="preserve">   [</w:t>
      </w:r>
      <w:proofErr w:type="gramEnd"/>
      <w:r>
        <w:rPr>
          <w:color w:val="000000"/>
        </w:rPr>
        <w:t>Accessed 4 March 2023]</w:t>
      </w:r>
    </w:p>
    <w:p w14:paraId="7043D989" w14:textId="77777777" w:rsidR="003510B1" w:rsidRDefault="0048215A">
      <w:pPr>
        <w:pBdr>
          <w:top w:val="nil"/>
          <w:left w:val="nil"/>
          <w:bottom w:val="nil"/>
          <w:right w:val="nil"/>
          <w:between w:val="nil"/>
        </w:pBdr>
        <w:spacing w:before="240" w:after="240" w:line="360" w:lineRule="auto"/>
        <w:jc w:val="both"/>
        <w:rPr>
          <w:color w:val="000000"/>
        </w:rPr>
      </w:pPr>
      <w:r>
        <w:rPr>
          <w:color w:val="000000"/>
        </w:rPr>
        <w:t xml:space="preserve">Anderson, D. and </w:t>
      </w:r>
      <w:proofErr w:type="spellStart"/>
      <w:r>
        <w:rPr>
          <w:color w:val="000000"/>
        </w:rPr>
        <w:t>Kelliher</w:t>
      </w:r>
      <w:proofErr w:type="spellEnd"/>
      <w:r>
        <w:rPr>
          <w:color w:val="000000"/>
        </w:rPr>
        <w:t xml:space="preserve">, C., 2020. Enforced remote working and the work-life interface during the lockdown. Gender in Management: An International Journal, 35(7/8), pp.677-683. Available at: </w:t>
      </w:r>
      <w:hyperlink r:id="rId18">
        <w:r>
          <w:rPr>
            <w:color w:val="1155CC"/>
            <w:u w:val="single"/>
          </w:rPr>
          <w:t>https://doi.org/10.1108/GM-07-2020-0224</w:t>
        </w:r>
      </w:hyperlink>
      <w:r>
        <w:rPr>
          <w:color w:val="000000"/>
        </w:rPr>
        <w:t xml:space="preserve">  [Accessed 4 March 2023]</w:t>
      </w:r>
    </w:p>
    <w:p w14:paraId="7043D98A" w14:textId="77777777" w:rsidR="003510B1" w:rsidRDefault="0048215A">
      <w:pPr>
        <w:pBdr>
          <w:top w:val="nil"/>
          <w:left w:val="nil"/>
          <w:bottom w:val="nil"/>
          <w:right w:val="nil"/>
          <w:between w:val="nil"/>
        </w:pBdr>
        <w:spacing w:line="360" w:lineRule="auto"/>
        <w:jc w:val="both"/>
        <w:rPr>
          <w:color w:val="222222"/>
        </w:rPr>
      </w:pPr>
      <w:r>
        <w:rPr>
          <w:color w:val="222222"/>
        </w:rPr>
        <w:t xml:space="preserve">Anderson, D. and </w:t>
      </w:r>
      <w:proofErr w:type="spellStart"/>
      <w:r>
        <w:rPr>
          <w:color w:val="222222"/>
        </w:rPr>
        <w:t>Kelliher</w:t>
      </w:r>
      <w:proofErr w:type="spellEnd"/>
      <w:r>
        <w:rPr>
          <w:color w:val="222222"/>
        </w:rPr>
        <w:t xml:space="preserve">, C., 2020. Enforced remote working and the work-life interface during a lockdown. </w:t>
      </w:r>
      <w:r>
        <w:rPr>
          <w:i/>
          <w:color w:val="222222"/>
        </w:rPr>
        <w:t>Gender in Management: An International Journal</w:t>
      </w:r>
      <w:r>
        <w:rPr>
          <w:color w:val="222222"/>
        </w:rPr>
        <w:t xml:space="preserve">, </w:t>
      </w:r>
      <w:r>
        <w:rPr>
          <w:i/>
          <w:color w:val="222222"/>
        </w:rPr>
        <w:t>35</w:t>
      </w:r>
      <w:r>
        <w:rPr>
          <w:color w:val="222222"/>
        </w:rPr>
        <w:t xml:space="preserve">(7/8), pp.677-683. Available at: </w:t>
      </w:r>
      <w:hyperlink r:id="rId19">
        <w:r>
          <w:rPr>
            <w:color w:val="1155CC"/>
            <w:u w:val="single"/>
          </w:rPr>
          <w:t>http://dx.doi.org/10.1108/GM-07-2020-0224</w:t>
        </w:r>
      </w:hyperlink>
      <w:r>
        <w:rPr>
          <w:color w:val="000000"/>
        </w:rPr>
        <w:t>(Accessed: March 4, 2023).</w:t>
      </w:r>
    </w:p>
    <w:p w14:paraId="7043D98B" w14:textId="77777777" w:rsidR="003510B1" w:rsidRDefault="0048215A">
      <w:pPr>
        <w:pBdr>
          <w:top w:val="nil"/>
          <w:left w:val="nil"/>
          <w:bottom w:val="nil"/>
          <w:right w:val="nil"/>
          <w:between w:val="nil"/>
        </w:pBdr>
        <w:spacing w:line="360" w:lineRule="auto"/>
        <w:jc w:val="both"/>
        <w:rPr>
          <w:color w:val="222222"/>
        </w:rPr>
      </w:pPr>
      <w:r>
        <w:rPr>
          <w:color w:val="222222"/>
        </w:rPr>
        <w:t xml:space="preserve">Anderson, D. and </w:t>
      </w:r>
      <w:proofErr w:type="spellStart"/>
      <w:r>
        <w:rPr>
          <w:color w:val="222222"/>
        </w:rPr>
        <w:t>Kelliher</w:t>
      </w:r>
      <w:proofErr w:type="spellEnd"/>
      <w:r>
        <w:rPr>
          <w:color w:val="222222"/>
        </w:rPr>
        <w:t xml:space="preserve">, C., 2020. Enforced remote working and the work-life interface during the lockdown. </w:t>
      </w:r>
      <w:r>
        <w:rPr>
          <w:i/>
          <w:color w:val="222222"/>
        </w:rPr>
        <w:t>Gender in Management: An International Journal</w:t>
      </w:r>
      <w:r>
        <w:rPr>
          <w:color w:val="222222"/>
        </w:rPr>
        <w:t xml:space="preserve">, </w:t>
      </w:r>
      <w:r>
        <w:rPr>
          <w:i/>
          <w:color w:val="222222"/>
        </w:rPr>
        <w:t>35</w:t>
      </w:r>
      <w:r>
        <w:rPr>
          <w:color w:val="222222"/>
        </w:rPr>
        <w:t xml:space="preserve">(7/8), pp.677-683. Available at: </w:t>
      </w:r>
      <w:hyperlink r:id="rId20">
        <w:r>
          <w:rPr>
            <w:color w:val="1155CC"/>
            <w:u w:val="single"/>
          </w:rPr>
          <w:t>http://dx.doi.org/10.1108/GM-07-2020-0224</w:t>
        </w:r>
      </w:hyperlink>
      <w:r>
        <w:rPr>
          <w:color w:val="222222"/>
        </w:rPr>
        <w:t xml:space="preserve">(Accessed: March 14, 2023). </w:t>
      </w:r>
    </w:p>
    <w:p w14:paraId="7043D98C" w14:textId="77777777" w:rsidR="003510B1" w:rsidRDefault="0048215A">
      <w:pPr>
        <w:pBdr>
          <w:top w:val="nil"/>
          <w:left w:val="nil"/>
          <w:bottom w:val="nil"/>
          <w:right w:val="nil"/>
          <w:between w:val="nil"/>
        </w:pBdr>
        <w:spacing w:line="360" w:lineRule="auto"/>
        <w:jc w:val="both"/>
        <w:rPr>
          <w:color w:val="222222"/>
        </w:rPr>
      </w:pPr>
      <w:proofErr w:type="spellStart"/>
      <w:r>
        <w:rPr>
          <w:color w:val="222222"/>
        </w:rPr>
        <w:lastRenderedPageBreak/>
        <w:t>Angelici</w:t>
      </w:r>
      <w:proofErr w:type="spellEnd"/>
      <w:r>
        <w:rPr>
          <w:color w:val="222222"/>
        </w:rPr>
        <w:t xml:space="preserve">, M. and </w:t>
      </w:r>
      <w:proofErr w:type="spellStart"/>
      <w:r>
        <w:rPr>
          <w:color w:val="222222"/>
        </w:rPr>
        <w:t>Profeta</w:t>
      </w:r>
      <w:proofErr w:type="spellEnd"/>
      <w:r>
        <w:rPr>
          <w:color w:val="222222"/>
        </w:rPr>
        <w:t xml:space="preserve">, P., 2020. </w:t>
      </w:r>
      <w:proofErr w:type="gramStart"/>
      <w:r>
        <w:rPr>
          <w:color w:val="222222"/>
        </w:rPr>
        <w:t>Smart-working</w:t>
      </w:r>
      <w:proofErr w:type="gramEnd"/>
      <w:r>
        <w:rPr>
          <w:color w:val="222222"/>
        </w:rPr>
        <w:t xml:space="preserve">: Work flexibility without constraints. Available at: </w:t>
      </w:r>
      <w:hyperlink r:id="rId21">
        <w:r>
          <w:rPr>
            <w:color w:val="1155CC"/>
            <w:u w:val="single"/>
          </w:rPr>
          <w:t>https://www.econstor.eu/bitstream/10419/216561/1/cesifo1_wp8165.pdf</w:t>
        </w:r>
      </w:hyperlink>
      <w:r>
        <w:rPr>
          <w:color w:val="222222"/>
        </w:rPr>
        <w:t xml:space="preserve">(Accessed: March 14, 2023). </w:t>
      </w:r>
    </w:p>
    <w:p w14:paraId="7043D98D" w14:textId="77777777" w:rsidR="003510B1" w:rsidRDefault="0048215A">
      <w:pPr>
        <w:pBdr>
          <w:top w:val="nil"/>
          <w:left w:val="nil"/>
          <w:bottom w:val="nil"/>
          <w:right w:val="nil"/>
          <w:between w:val="nil"/>
        </w:pBdr>
        <w:spacing w:before="240" w:after="240" w:line="360" w:lineRule="auto"/>
        <w:jc w:val="both"/>
        <w:rPr>
          <w:color w:val="000000"/>
        </w:rPr>
      </w:pPr>
      <w:proofErr w:type="spellStart"/>
      <w:r>
        <w:rPr>
          <w:color w:val="000000"/>
        </w:rPr>
        <w:t>Aroles</w:t>
      </w:r>
      <w:proofErr w:type="spellEnd"/>
      <w:r>
        <w:rPr>
          <w:color w:val="000000"/>
        </w:rPr>
        <w:t xml:space="preserve">, J., </w:t>
      </w:r>
      <w:proofErr w:type="spellStart"/>
      <w:r>
        <w:rPr>
          <w:color w:val="000000"/>
        </w:rPr>
        <w:t>Mitev</w:t>
      </w:r>
      <w:proofErr w:type="spellEnd"/>
      <w:r>
        <w:rPr>
          <w:color w:val="000000"/>
        </w:rPr>
        <w:t xml:space="preserve">, N. and de </w:t>
      </w:r>
      <w:proofErr w:type="spellStart"/>
      <w:r>
        <w:rPr>
          <w:color w:val="000000"/>
        </w:rPr>
        <w:t>Vaujany</w:t>
      </w:r>
      <w:proofErr w:type="spellEnd"/>
      <w:r>
        <w:rPr>
          <w:color w:val="000000"/>
        </w:rPr>
        <w:t xml:space="preserve">, F.X., 2019. Mapping themes in the study of new work practices. New Technology, Work and Employment, 34(3), pp.285-299. Available at:  </w:t>
      </w:r>
      <w:hyperlink r:id="rId22">
        <w:r>
          <w:rPr>
            <w:color w:val="1155CC"/>
            <w:u w:val="single"/>
          </w:rPr>
          <w:t>https://doi.org/10.1111/ntwe.12146</w:t>
        </w:r>
      </w:hyperlink>
      <w:r>
        <w:rPr>
          <w:color w:val="000000"/>
        </w:rPr>
        <w:t xml:space="preserve"> [Accessed 4 March 2023]</w:t>
      </w:r>
    </w:p>
    <w:p w14:paraId="7043D98E" w14:textId="77777777" w:rsidR="003510B1" w:rsidRDefault="0048215A">
      <w:pPr>
        <w:pBdr>
          <w:top w:val="nil"/>
          <w:left w:val="nil"/>
          <w:bottom w:val="nil"/>
          <w:right w:val="nil"/>
          <w:between w:val="nil"/>
        </w:pBdr>
        <w:spacing w:line="360" w:lineRule="auto"/>
        <w:jc w:val="both"/>
        <w:rPr>
          <w:color w:val="000000"/>
        </w:rPr>
      </w:pPr>
      <w:r>
        <w:rPr>
          <w:color w:val="222222"/>
        </w:rPr>
        <w:t xml:space="preserve">Byrd, M.Y., 2021. A new normal: The changed landscape of human resource development in the wake of COVID-19. </w:t>
      </w:r>
      <w:r>
        <w:rPr>
          <w:i/>
          <w:color w:val="222222"/>
        </w:rPr>
        <w:t>Advances in Developing Human Resources</w:t>
      </w:r>
      <w:r>
        <w:rPr>
          <w:color w:val="222222"/>
        </w:rPr>
        <w:t xml:space="preserve">, </w:t>
      </w:r>
      <w:r>
        <w:rPr>
          <w:i/>
          <w:color w:val="222222"/>
        </w:rPr>
        <w:t>23</w:t>
      </w:r>
      <w:r>
        <w:rPr>
          <w:color w:val="222222"/>
        </w:rPr>
        <w:t xml:space="preserve">(1), pp.3-4. </w:t>
      </w:r>
      <w:r>
        <w:rPr>
          <w:color w:val="000000"/>
        </w:rPr>
        <w:t xml:space="preserve">Available at: </w:t>
      </w:r>
      <w:hyperlink r:id="rId23">
        <w:r>
          <w:rPr>
            <w:color w:val="1155CC"/>
            <w:u w:val="single"/>
          </w:rPr>
          <w:t>https://doi.org/10.1177/1523422320973957</w:t>
        </w:r>
      </w:hyperlink>
      <w:r>
        <w:rPr>
          <w:color w:val="000000"/>
        </w:rPr>
        <w:t xml:space="preserve"> [Accessed 4 March 2023]</w:t>
      </w:r>
    </w:p>
    <w:p w14:paraId="7043D98F" w14:textId="77777777" w:rsidR="003510B1" w:rsidRDefault="0048215A">
      <w:pPr>
        <w:pBdr>
          <w:top w:val="nil"/>
          <w:left w:val="nil"/>
          <w:bottom w:val="nil"/>
          <w:right w:val="nil"/>
          <w:between w:val="nil"/>
        </w:pBdr>
        <w:spacing w:line="360" w:lineRule="auto"/>
        <w:jc w:val="both"/>
        <w:rPr>
          <w:color w:val="222222"/>
        </w:rPr>
      </w:pPr>
      <w:proofErr w:type="spellStart"/>
      <w:r>
        <w:rPr>
          <w:color w:val="222222"/>
        </w:rPr>
        <w:t>Cakula</w:t>
      </w:r>
      <w:proofErr w:type="spellEnd"/>
      <w:r>
        <w:rPr>
          <w:color w:val="222222"/>
        </w:rPr>
        <w:t xml:space="preserve">, S. and Pratt, M., 2021. Communication technologies in a remote workplace. Baltic Journal of Modern Computing, 9(2), pp.210-219. Available at: </w:t>
      </w:r>
    </w:p>
    <w:p w14:paraId="7043D990" w14:textId="77777777" w:rsidR="003510B1" w:rsidRDefault="0048215A">
      <w:pPr>
        <w:pBdr>
          <w:top w:val="nil"/>
          <w:left w:val="nil"/>
          <w:bottom w:val="nil"/>
          <w:right w:val="nil"/>
          <w:between w:val="nil"/>
        </w:pBdr>
        <w:spacing w:line="360" w:lineRule="auto"/>
        <w:jc w:val="both"/>
        <w:rPr>
          <w:color w:val="000000"/>
        </w:rPr>
      </w:pPr>
      <w:r>
        <w:rPr>
          <w:color w:val="222222"/>
        </w:rPr>
        <w:t xml:space="preserve">Chang, P.C., Zhang, M.J. and Wu, T., 2021. Developmental human resource configuration, unique human capital, and employee innovative work </w:t>
      </w:r>
      <w:proofErr w:type="spellStart"/>
      <w:r>
        <w:rPr>
          <w:color w:val="222222"/>
        </w:rPr>
        <w:t>behavior</w:t>
      </w:r>
      <w:proofErr w:type="spellEnd"/>
      <w:r>
        <w:rPr>
          <w:color w:val="222222"/>
        </w:rPr>
        <w:t xml:space="preserve">: A multilevel moderated mediation model. </w:t>
      </w:r>
      <w:r>
        <w:rPr>
          <w:i/>
          <w:color w:val="222222"/>
        </w:rPr>
        <w:t>Sage Open</w:t>
      </w:r>
      <w:r>
        <w:rPr>
          <w:color w:val="222222"/>
        </w:rPr>
        <w:t xml:space="preserve">, </w:t>
      </w:r>
      <w:r>
        <w:rPr>
          <w:i/>
          <w:color w:val="222222"/>
        </w:rPr>
        <w:t>11</w:t>
      </w:r>
      <w:r>
        <w:rPr>
          <w:color w:val="222222"/>
        </w:rPr>
        <w:t xml:space="preserve">(2), p.21582440211027964. </w:t>
      </w:r>
      <w:r>
        <w:rPr>
          <w:color w:val="000000"/>
        </w:rPr>
        <w:t xml:space="preserve">Available at: </w:t>
      </w:r>
      <w:hyperlink r:id="rId24">
        <w:r>
          <w:rPr>
            <w:color w:val="1155CC"/>
            <w:u w:val="single"/>
          </w:rPr>
          <w:t>https://doi.org/10.1177/21582440211027964</w:t>
        </w:r>
      </w:hyperlink>
      <w:r>
        <w:rPr>
          <w:color w:val="000000"/>
        </w:rPr>
        <w:t xml:space="preserve">  [Accessed 4 March 2023]</w:t>
      </w:r>
    </w:p>
    <w:p w14:paraId="7043D991" w14:textId="77777777" w:rsidR="003510B1" w:rsidRDefault="0048215A">
      <w:pPr>
        <w:pBdr>
          <w:top w:val="nil"/>
          <w:left w:val="nil"/>
          <w:bottom w:val="nil"/>
          <w:right w:val="nil"/>
          <w:between w:val="nil"/>
        </w:pBdr>
        <w:spacing w:before="240" w:after="240" w:line="360" w:lineRule="auto"/>
        <w:jc w:val="both"/>
        <w:rPr>
          <w:color w:val="000000"/>
        </w:rPr>
      </w:pPr>
      <w:r>
        <w:rPr>
          <w:color w:val="000000"/>
        </w:rPr>
        <w:t xml:space="preserve">Chen, M.K., Rossi, P.E., Chevalier, J.A. and </w:t>
      </w:r>
      <w:proofErr w:type="spellStart"/>
      <w:r>
        <w:rPr>
          <w:color w:val="000000"/>
        </w:rPr>
        <w:t>Oehlsen</w:t>
      </w:r>
      <w:proofErr w:type="spellEnd"/>
      <w:r>
        <w:rPr>
          <w:color w:val="000000"/>
        </w:rPr>
        <w:t xml:space="preserve">, E., 2019. The value of flexible work: Evidence from Uber drivers. Journal of political economy, 127(6), pp.2735-2794. Available at: </w:t>
      </w:r>
      <w:hyperlink r:id="rId25">
        <w:r>
          <w:rPr>
            <w:color w:val="1155CC"/>
            <w:u w:val="single"/>
          </w:rPr>
          <w:t>https://doi.org/10.1086/702171</w:t>
        </w:r>
      </w:hyperlink>
      <w:r>
        <w:rPr>
          <w:color w:val="000000"/>
        </w:rPr>
        <w:t xml:space="preserve">  [Accessed 4 March 2023]</w:t>
      </w:r>
    </w:p>
    <w:p w14:paraId="7043D992" w14:textId="77777777" w:rsidR="003510B1" w:rsidRDefault="0048215A">
      <w:pPr>
        <w:pBdr>
          <w:top w:val="nil"/>
          <w:left w:val="nil"/>
          <w:bottom w:val="nil"/>
          <w:right w:val="nil"/>
          <w:between w:val="nil"/>
        </w:pBdr>
        <w:spacing w:before="240" w:after="240" w:line="360" w:lineRule="auto"/>
        <w:jc w:val="both"/>
      </w:pPr>
      <w:r>
        <w:rPr>
          <w:color w:val="222222"/>
        </w:rPr>
        <w:t xml:space="preserve">Chu, X., Lu, C. and Tsang, D., 2021. Geographic scope and real estate firm performance during the COVID-19 pandemic. </w:t>
      </w:r>
      <w:r>
        <w:rPr>
          <w:i/>
          <w:color w:val="222222"/>
        </w:rPr>
        <w:t>Journal of Risk and Financial Management</w:t>
      </w:r>
      <w:r>
        <w:rPr>
          <w:color w:val="222222"/>
        </w:rPr>
        <w:t xml:space="preserve">, </w:t>
      </w:r>
      <w:r>
        <w:rPr>
          <w:i/>
          <w:color w:val="222222"/>
        </w:rPr>
        <w:t>14</w:t>
      </w:r>
      <w:r>
        <w:rPr>
          <w:color w:val="222222"/>
        </w:rPr>
        <w:t xml:space="preserve">(7), p.309. </w:t>
      </w:r>
      <w:r>
        <w:t xml:space="preserve">Available at: </w:t>
      </w:r>
      <w:hyperlink r:id="rId26">
        <w:r>
          <w:rPr>
            <w:color w:val="1155CC"/>
            <w:u w:val="single"/>
          </w:rPr>
          <w:t>https://doi.org/10.3390/jrfm14070309</w:t>
        </w:r>
      </w:hyperlink>
      <w:r>
        <w:t xml:space="preserve"> [Accessed 14 March 2023]</w:t>
      </w:r>
    </w:p>
    <w:p w14:paraId="7043D993" w14:textId="77777777" w:rsidR="003510B1" w:rsidRDefault="0048215A">
      <w:pPr>
        <w:pBdr>
          <w:top w:val="nil"/>
          <w:left w:val="nil"/>
          <w:bottom w:val="nil"/>
          <w:right w:val="nil"/>
          <w:between w:val="nil"/>
        </w:pBdr>
        <w:spacing w:before="240" w:after="240" w:line="360" w:lineRule="auto"/>
        <w:jc w:val="both"/>
        <w:rPr>
          <w:color w:val="000000"/>
        </w:rPr>
      </w:pPr>
      <w:proofErr w:type="spellStart"/>
      <w:r>
        <w:rPr>
          <w:color w:val="000000"/>
        </w:rPr>
        <w:t>Davidescu</w:t>
      </w:r>
      <w:proofErr w:type="spellEnd"/>
      <w:r>
        <w:rPr>
          <w:color w:val="000000"/>
        </w:rPr>
        <w:t xml:space="preserve">, A.A., </w:t>
      </w:r>
      <w:proofErr w:type="spellStart"/>
      <w:r>
        <w:rPr>
          <w:color w:val="000000"/>
        </w:rPr>
        <w:t>Apostu</w:t>
      </w:r>
      <w:proofErr w:type="spellEnd"/>
      <w:r>
        <w:rPr>
          <w:color w:val="000000"/>
        </w:rPr>
        <w:t xml:space="preserve">, S.A., Paul, A. and </w:t>
      </w:r>
      <w:proofErr w:type="spellStart"/>
      <w:r>
        <w:rPr>
          <w:color w:val="000000"/>
        </w:rPr>
        <w:t>Casuneanu</w:t>
      </w:r>
      <w:proofErr w:type="spellEnd"/>
      <w:r>
        <w:rPr>
          <w:color w:val="000000"/>
        </w:rPr>
        <w:t xml:space="preserve">, I., 2020. Work flexibility, job satisfaction, and job performance among Romanian employees—Implications for sustainable human resource management. Sustainability, 12(15), p.6086. Available at: </w:t>
      </w:r>
      <w:hyperlink r:id="rId27">
        <w:r>
          <w:rPr>
            <w:color w:val="1155CC"/>
            <w:u w:val="single"/>
          </w:rPr>
          <w:t>https://doi.org/10.3390/su12156086</w:t>
        </w:r>
      </w:hyperlink>
      <w:r>
        <w:rPr>
          <w:color w:val="000000"/>
        </w:rPr>
        <w:t xml:space="preserve"> [Accessed 4 March 2023]</w:t>
      </w:r>
    </w:p>
    <w:p w14:paraId="7043D994" w14:textId="77777777" w:rsidR="003510B1" w:rsidRDefault="0048215A">
      <w:pPr>
        <w:pBdr>
          <w:top w:val="nil"/>
          <w:left w:val="nil"/>
          <w:bottom w:val="nil"/>
          <w:right w:val="nil"/>
          <w:between w:val="nil"/>
        </w:pBdr>
        <w:spacing w:line="360" w:lineRule="auto"/>
        <w:jc w:val="both"/>
        <w:rPr>
          <w:color w:val="222222"/>
        </w:rPr>
      </w:pPr>
      <w:proofErr w:type="spellStart"/>
      <w:r>
        <w:rPr>
          <w:color w:val="222222"/>
        </w:rPr>
        <w:t>Davidescu</w:t>
      </w:r>
      <w:proofErr w:type="spellEnd"/>
      <w:r>
        <w:rPr>
          <w:color w:val="222222"/>
        </w:rPr>
        <w:t xml:space="preserve">, A.A., </w:t>
      </w:r>
      <w:proofErr w:type="spellStart"/>
      <w:r>
        <w:rPr>
          <w:color w:val="222222"/>
        </w:rPr>
        <w:t>Apostu</w:t>
      </w:r>
      <w:proofErr w:type="spellEnd"/>
      <w:r>
        <w:rPr>
          <w:color w:val="222222"/>
        </w:rPr>
        <w:t xml:space="preserve">, S.A., Paul, A. and </w:t>
      </w:r>
      <w:proofErr w:type="spellStart"/>
      <w:r>
        <w:rPr>
          <w:color w:val="222222"/>
        </w:rPr>
        <w:t>Casuneanu</w:t>
      </w:r>
      <w:proofErr w:type="spellEnd"/>
      <w:r>
        <w:rPr>
          <w:color w:val="222222"/>
        </w:rPr>
        <w:t xml:space="preserve">, I., 2020. Work flexibility, job satisfaction, and job performance among Romanian employees—Implications for sustainable human resource management. Sustainability, 12(15), p.6086. Available at: </w:t>
      </w:r>
      <w:hyperlink r:id="rId28">
        <w:r>
          <w:rPr>
            <w:color w:val="1155CC"/>
            <w:u w:val="single"/>
          </w:rPr>
          <w:t>https://doi.org/10.3390/su12156086</w:t>
        </w:r>
      </w:hyperlink>
      <w:r>
        <w:rPr>
          <w:color w:val="222222"/>
        </w:rPr>
        <w:t xml:space="preserve"> (Accessed: March 4, 2023).</w:t>
      </w:r>
    </w:p>
    <w:p w14:paraId="7043D995" w14:textId="77777777" w:rsidR="003510B1" w:rsidRDefault="0048215A">
      <w:pPr>
        <w:pBdr>
          <w:top w:val="nil"/>
          <w:left w:val="nil"/>
          <w:bottom w:val="nil"/>
          <w:right w:val="nil"/>
          <w:between w:val="nil"/>
        </w:pBdr>
        <w:spacing w:before="240" w:after="240" w:line="360" w:lineRule="auto"/>
        <w:jc w:val="both"/>
      </w:pPr>
      <w:r>
        <w:rPr>
          <w:color w:val="222222"/>
        </w:rPr>
        <w:lastRenderedPageBreak/>
        <w:t xml:space="preserve">De Toro, P., </w:t>
      </w:r>
      <w:proofErr w:type="spellStart"/>
      <w:r>
        <w:rPr>
          <w:color w:val="222222"/>
        </w:rPr>
        <w:t>Nocca</w:t>
      </w:r>
      <w:proofErr w:type="spellEnd"/>
      <w:r>
        <w:rPr>
          <w:color w:val="222222"/>
        </w:rPr>
        <w:t xml:space="preserve">, F. and </w:t>
      </w:r>
      <w:proofErr w:type="spellStart"/>
      <w:r>
        <w:rPr>
          <w:color w:val="222222"/>
        </w:rPr>
        <w:t>Buglione</w:t>
      </w:r>
      <w:proofErr w:type="spellEnd"/>
      <w:r>
        <w:rPr>
          <w:color w:val="222222"/>
        </w:rPr>
        <w:t xml:space="preserve">, F., 2021. Real estate market responses to the COVID-19 crisis: which prospects for the metropolitan area of Naples (Italy)? </w:t>
      </w:r>
      <w:r>
        <w:rPr>
          <w:i/>
          <w:color w:val="222222"/>
        </w:rPr>
        <w:t>Urban Science</w:t>
      </w:r>
      <w:r>
        <w:rPr>
          <w:color w:val="222222"/>
        </w:rPr>
        <w:t xml:space="preserve">, </w:t>
      </w:r>
      <w:r>
        <w:rPr>
          <w:i/>
          <w:color w:val="222222"/>
        </w:rPr>
        <w:t>5</w:t>
      </w:r>
      <w:r>
        <w:rPr>
          <w:color w:val="222222"/>
        </w:rPr>
        <w:t xml:space="preserve">(1), p.23. </w:t>
      </w:r>
      <w:r>
        <w:t xml:space="preserve">Available at: </w:t>
      </w:r>
      <w:hyperlink r:id="rId29">
        <w:r>
          <w:rPr>
            <w:color w:val="1155CC"/>
            <w:u w:val="single"/>
          </w:rPr>
          <w:t>https://doi.org/10.3390/urbansci5010023</w:t>
        </w:r>
      </w:hyperlink>
      <w:r>
        <w:t xml:space="preserve"> [Accessed 14 March 2023]</w:t>
      </w:r>
    </w:p>
    <w:p w14:paraId="7043D996" w14:textId="77777777" w:rsidR="003510B1" w:rsidRDefault="0048215A">
      <w:pPr>
        <w:pBdr>
          <w:top w:val="nil"/>
          <w:left w:val="nil"/>
          <w:bottom w:val="nil"/>
          <w:right w:val="nil"/>
          <w:between w:val="nil"/>
        </w:pBdr>
        <w:spacing w:line="360" w:lineRule="auto"/>
        <w:jc w:val="both"/>
        <w:rPr>
          <w:color w:val="222222"/>
        </w:rPr>
      </w:pPr>
      <w:r>
        <w:rPr>
          <w:color w:val="222222"/>
        </w:rPr>
        <w:t xml:space="preserve">Foy, T., Dwyer, R.J., </w:t>
      </w:r>
      <w:proofErr w:type="spellStart"/>
      <w:r>
        <w:rPr>
          <w:color w:val="222222"/>
        </w:rPr>
        <w:t>Nafarrete</w:t>
      </w:r>
      <w:proofErr w:type="spellEnd"/>
      <w:r>
        <w:rPr>
          <w:color w:val="222222"/>
        </w:rPr>
        <w:t xml:space="preserve">, R., Hammoud, M.S.S. and </w:t>
      </w:r>
      <w:proofErr w:type="spellStart"/>
      <w:r>
        <w:rPr>
          <w:color w:val="222222"/>
        </w:rPr>
        <w:t>Rockett</w:t>
      </w:r>
      <w:proofErr w:type="spellEnd"/>
      <w:r>
        <w:rPr>
          <w:color w:val="222222"/>
        </w:rPr>
        <w:t xml:space="preserve">, P., 2019. Managing job performance, social support, and work-life conflict to reduce workplace stress. </w:t>
      </w:r>
      <w:r>
        <w:rPr>
          <w:i/>
          <w:color w:val="222222"/>
        </w:rPr>
        <w:t>International Journal of Productivity and Performance Management</w:t>
      </w:r>
      <w:r>
        <w:rPr>
          <w:color w:val="222222"/>
        </w:rPr>
        <w:t xml:space="preserve">, </w:t>
      </w:r>
      <w:r>
        <w:rPr>
          <w:i/>
          <w:color w:val="222222"/>
        </w:rPr>
        <w:t>68</w:t>
      </w:r>
      <w:r>
        <w:rPr>
          <w:color w:val="222222"/>
        </w:rPr>
        <w:t xml:space="preserve">(6), pp.1018-1041. Available at: </w:t>
      </w:r>
      <w:hyperlink r:id="rId30">
        <w:r>
          <w:rPr>
            <w:color w:val="1155CC"/>
            <w:u w:val="single"/>
          </w:rPr>
          <w:t>https://doi.org/10.1108/IJPPM-03-2017-0061</w:t>
        </w:r>
      </w:hyperlink>
      <w:r>
        <w:rPr>
          <w:color w:val="222222"/>
        </w:rPr>
        <w:t xml:space="preserve">(Accessed: March 14, 2023). </w:t>
      </w:r>
    </w:p>
    <w:p w14:paraId="7043D997" w14:textId="77777777" w:rsidR="003510B1" w:rsidRDefault="0048215A">
      <w:pPr>
        <w:pBdr>
          <w:top w:val="nil"/>
          <w:left w:val="nil"/>
          <w:bottom w:val="nil"/>
          <w:right w:val="nil"/>
          <w:between w:val="nil"/>
        </w:pBdr>
        <w:spacing w:before="240" w:after="240" w:line="360" w:lineRule="auto"/>
        <w:jc w:val="both"/>
        <w:rPr>
          <w:color w:val="000000"/>
        </w:rPr>
      </w:pPr>
      <w:r>
        <w:rPr>
          <w:color w:val="000000"/>
        </w:rPr>
        <w:t xml:space="preserve">Gardner, D.G., Pierce, J.L. and Peng, H., 2021. Social exchange and psychological ownership as complementary pathways from psychological contract </w:t>
      </w:r>
      <w:proofErr w:type="spellStart"/>
      <w:r>
        <w:rPr>
          <w:color w:val="000000"/>
        </w:rPr>
        <w:t>fulfillment</w:t>
      </w:r>
      <w:proofErr w:type="spellEnd"/>
      <w:r>
        <w:rPr>
          <w:color w:val="000000"/>
        </w:rPr>
        <w:t xml:space="preserve"> to organizational citizenship </w:t>
      </w:r>
      <w:proofErr w:type="spellStart"/>
      <w:r>
        <w:rPr>
          <w:color w:val="000000"/>
        </w:rPr>
        <w:t>behaviors</w:t>
      </w:r>
      <w:proofErr w:type="spellEnd"/>
      <w:r>
        <w:rPr>
          <w:color w:val="000000"/>
        </w:rPr>
        <w:t xml:space="preserve">. Personnel Review, 50(6), pp.1479-1494. Available at: </w:t>
      </w:r>
      <w:hyperlink r:id="rId31">
        <w:r>
          <w:rPr>
            <w:color w:val="1155CC"/>
            <w:u w:val="single"/>
          </w:rPr>
          <w:t>https://doi.org/10.1108/PR-12-2019-0688</w:t>
        </w:r>
      </w:hyperlink>
      <w:r>
        <w:rPr>
          <w:color w:val="000000"/>
        </w:rPr>
        <w:t xml:space="preserve"> [Accessed 4 March 2023]</w:t>
      </w:r>
    </w:p>
    <w:p w14:paraId="7043D998" w14:textId="77777777" w:rsidR="003510B1" w:rsidRDefault="0048215A">
      <w:pPr>
        <w:pBdr>
          <w:top w:val="nil"/>
          <w:left w:val="nil"/>
          <w:bottom w:val="nil"/>
          <w:right w:val="nil"/>
          <w:between w:val="nil"/>
        </w:pBdr>
        <w:spacing w:before="240" w:after="240" w:line="360" w:lineRule="auto"/>
        <w:jc w:val="both"/>
        <w:rPr>
          <w:color w:val="000000"/>
          <w:sz w:val="26"/>
          <w:szCs w:val="26"/>
        </w:rPr>
      </w:pPr>
      <w:proofErr w:type="spellStart"/>
      <w:r>
        <w:rPr>
          <w:color w:val="222222"/>
          <w:sz w:val="24"/>
          <w:szCs w:val="24"/>
        </w:rPr>
        <w:t>Gilch</w:t>
      </w:r>
      <w:proofErr w:type="spellEnd"/>
      <w:r>
        <w:rPr>
          <w:color w:val="222222"/>
          <w:sz w:val="24"/>
          <w:szCs w:val="24"/>
        </w:rPr>
        <w:t xml:space="preserve">, P.M. and </w:t>
      </w:r>
      <w:proofErr w:type="spellStart"/>
      <w:r>
        <w:rPr>
          <w:color w:val="222222"/>
          <w:sz w:val="24"/>
          <w:szCs w:val="24"/>
        </w:rPr>
        <w:t>Sieweke</w:t>
      </w:r>
      <w:proofErr w:type="spellEnd"/>
      <w:r>
        <w:rPr>
          <w:color w:val="222222"/>
          <w:sz w:val="24"/>
          <w:szCs w:val="24"/>
        </w:rPr>
        <w:t xml:space="preserve">, J., 2021. Recruiting digital talent: The strategic role of recruitment in organisations’ digital transformation. </w:t>
      </w:r>
      <w:r>
        <w:rPr>
          <w:i/>
          <w:color w:val="222222"/>
          <w:sz w:val="24"/>
          <w:szCs w:val="24"/>
        </w:rPr>
        <w:t>German Journal of Human Resource Management</w:t>
      </w:r>
      <w:r>
        <w:rPr>
          <w:color w:val="222222"/>
          <w:sz w:val="24"/>
          <w:szCs w:val="24"/>
        </w:rPr>
        <w:t xml:space="preserve">, </w:t>
      </w:r>
      <w:r>
        <w:rPr>
          <w:i/>
          <w:color w:val="222222"/>
          <w:sz w:val="24"/>
          <w:szCs w:val="24"/>
        </w:rPr>
        <w:t>35</w:t>
      </w:r>
      <w:r>
        <w:rPr>
          <w:color w:val="222222"/>
          <w:sz w:val="24"/>
          <w:szCs w:val="24"/>
        </w:rPr>
        <w:t xml:space="preserve">(1), pp.53-82. </w:t>
      </w:r>
      <w:r>
        <w:rPr>
          <w:color w:val="222222"/>
        </w:rPr>
        <w:t xml:space="preserve"> </w:t>
      </w:r>
      <w:r>
        <w:t xml:space="preserve">Available at: </w:t>
      </w:r>
      <w:hyperlink r:id="rId32">
        <w:r>
          <w:rPr>
            <w:color w:val="1155CC"/>
            <w:sz w:val="24"/>
            <w:szCs w:val="24"/>
            <w:u w:val="single"/>
          </w:rPr>
          <w:t>https://doi.org/10.1177/2397002220952734</w:t>
        </w:r>
      </w:hyperlink>
      <w:r>
        <w:rPr>
          <w:color w:val="222222"/>
          <w:sz w:val="24"/>
          <w:szCs w:val="24"/>
        </w:rPr>
        <w:t xml:space="preserve"> </w:t>
      </w:r>
      <w:r>
        <w:t>[Accessed 14 March 2023]</w:t>
      </w:r>
    </w:p>
    <w:p w14:paraId="7043D999" w14:textId="77777777" w:rsidR="003510B1" w:rsidRDefault="0048215A">
      <w:pPr>
        <w:pBdr>
          <w:top w:val="nil"/>
          <w:left w:val="nil"/>
          <w:bottom w:val="nil"/>
          <w:right w:val="nil"/>
          <w:between w:val="nil"/>
        </w:pBdr>
        <w:spacing w:before="240" w:after="240" w:line="360" w:lineRule="auto"/>
        <w:jc w:val="both"/>
        <w:rPr>
          <w:color w:val="000000"/>
        </w:rPr>
      </w:pPr>
      <w:proofErr w:type="spellStart"/>
      <w:r>
        <w:rPr>
          <w:color w:val="000000"/>
        </w:rPr>
        <w:t>Hamouche</w:t>
      </w:r>
      <w:proofErr w:type="spellEnd"/>
      <w:r>
        <w:rPr>
          <w:color w:val="000000"/>
        </w:rPr>
        <w:t xml:space="preserve">, S., 2021. Human resource management and the COVID-19 crisis: Implications, challenges, opportunities, and future organizational directions. Journal of Management &amp; Organization, pp.1-16. Available at: </w:t>
      </w:r>
      <w:hyperlink r:id="rId33">
        <w:r>
          <w:rPr>
            <w:color w:val="1155CC"/>
            <w:u w:val="single"/>
          </w:rPr>
          <w:t>https://doi.org/10.1016/j.jclepro.2018.10.091</w:t>
        </w:r>
      </w:hyperlink>
      <w:r>
        <w:rPr>
          <w:color w:val="000000"/>
        </w:rPr>
        <w:t xml:space="preserve"> [Accessed 4 March 2023]</w:t>
      </w:r>
    </w:p>
    <w:p w14:paraId="7043D99A" w14:textId="77777777" w:rsidR="003510B1" w:rsidRDefault="0048215A">
      <w:pPr>
        <w:pBdr>
          <w:top w:val="nil"/>
          <w:left w:val="nil"/>
          <w:bottom w:val="nil"/>
          <w:right w:val="nil"/>
          <w:between w:val="nil"/>
        </w:pBdr>
        <w:spacing w:line="360" w:lineRule="auto"/>
        <w:jc w:val="both"/>
        <w:rPr>
          <w:color w:val="222222"/>
        </w:rPr>
      </w:pPr>
      <w:proofErr w:type="spellStart"/>
      <w:r>
        <w:rPr>
          <w:color w:val="222222"/>
        </w:rPr>
        <w:t>Hamouche</w:t>
      </w:r>
      <w:proofErr w:type="spellEnd"/>
      <w:r>
        <w:rPr>
          <w:color w:val="222222"/>
        </w:rPr>
        <w:t xml:space="preserve">, S., 2021. Human resource management and the COVID-19 crisis: Implications, challenges, opportunities, and future organizational directions. </w:t>
      </w:r>
      <w:r>
        <w:rPr>
          <w:i/>
          <w:color w:val="222222"/>
        </w:rPr>
        <w:t>Journal of Management &amp; Organization</w:t>
      </w:r>
      <w:r>
        <w:rPr>
          <w:color w:val="222222"/>
        </w:rPr>
        <w:t xml:space="preserve">, pp.1-16. Available at: </w:t>
      </w:r>
      <w:hyperlink r:id="rId34">
        <w:r>
          <w:rPr>
            <w:color w:val="1155CC"/>
            <w:u w:val="single"/>
          </w:rPr>
          <w:t>https://doi.org/10.1017/jmo.2021.15</w:t>
        </w:r>
      </w:hyperlink>
      <w:r>
        <w:rPr>
          <w:color w:val="000000"/>
        </w:rPr>
        <w:t>(Accessed: March 4, 2023).</w:t>
      </w:r>
    </w:p>
    <w:p w14:paraId="7043D99B" w14:textId="77777777" w:rsidR="003510B1" w:rsidRDefault="0048215A">
      <w:pPr>
        <w:pBdr>
          <w:top w:val="nil"/>
          <w:left w:val="nil"/>
          <w:bottom w:val="nil"/>
          <w:right w:val="nil"/>
          <w:between w:val="nil"/>
        </w:pBdr>
        <w:spacing w:line="360" w:lineRule="auto"/>
        <w:jc w:val="both"/>
        <w:rPr>
          <w:color w:val="222222"/>
        </w:rPr>
      </w:pPr>
      <w:proofErr w:type="spellStart"/>
      <w:r>
        <w:rPr>
          <w:color w:val="222222"/>
        </w:rPr>
        <w:t>Hamouche</w:t>
      </w:r>
      <w:proofErr w:type="spellEnd"/>
      <w:r>
        <w:rPr>
          <w:color w:val="222222"/>
        </w:rPr>
        <w:t xml:space="preserve">, S., 2021. Human resource management and the COVID-19 crisis: Implications, challenges, opportunities, and future organizational directions. </w:t>
      </w:r>
      <w:r>
        <w:rPr>
          <w:i/>
          <w:color w:val="222222"/>
        </w:rPr>
        <w:t>Journal of Management &amp; Organization</w:t>
      </w:r>
      <w:r>
        <w:rPr>
          <w:color w:val="222222"/>
        </w:rPr>
        <w:t xml:space="preserve">, pp.1-16. Available at: </w:t>
      </w:r>
      <w:hyperlink r:id="rId35">
        <w:r>
          <w:rPr>
            <w:color w:val="1155CC"/>
            <w:u w:val="single"/>
          </w:rPr>
          <w:t>http://dx.doi.org/10.1017/jmo.2021.15</w:t>
        </w:r>
      </w:hyperlink>
      <w:r>
        <w:rPr>
          <w:color w:val="222222"/>
        </w:rPr>
        <w:t xml:space="preserve">(Accessed: March 14, 2023). </w:t>
      </w:r>
    </w:p>
    <w:p w14:paraId="7043D99C" w14:textId="77777777" w:rsidR="003510B1" w:rsidRDefault="00000000">
      <w:pPr>
        <w:pBdr>
          <w:top w:val="nil"/>
          <w:left w:val="nil"/>
          <w:bottom w:val="nil"/>
          <w:right w:val="nil"/>
          <w:between w:val="nil"/>
        </w:pBdr>
        <w:spacing w:line="360" w:lineRule="auto"/>
        <w:jc w:val="both"/>
        <w:rPr>
          <w:color w:val="222222"/>
        </w:rPr>
      </w:pPr>
      <w:hyperlink r:id="rId36">
        <w:r w:rsidR="0048215A">
          <w:rPr>
            <w:color w:val="1155CC"/>
            <w:u w:val="single"/>
          </w:rPr>
          <w:t>https://doi.org/10.1177/0019793918768791</w:t>
        </w:r>
      </w:hyperlink>
      <w:r w:rsidR="0048215A">
        <w:rPr>
          <w:color w:val="222222"/>
        </w:rPr>
        <w:t xml:space="preserve"> (Accessed: March 4, 2023).</w:t>
      </w:r>
    </w:p>
    <w:p w14:paraId="7043D99D" w14:textId="77777777" w:rsidR="003510B1" w:rsidRDefault="00000000">
      <w:pPr>
        <w:pBdr>
          <w:top w:val="nil"/>
          <w:left w:val="nil"/>
          <w:bottom w:val="nil"/>
          <w:right w:val="nil"/>
          <w:between w:val="nil"/>
        </w:pBdr>
        <w:spacing w:line="360" w:lineRule="auto"/>
        <w:jc w:val="both"/>
        <w:rPr>
          <w:color w:val="222222"/>
        </w:rPr>
      </w:pPr>
      <w:hyperlink r:id="rId37">
        <w:r w:rsidR="0048215A">
          <w:rPr>
            <w:color w:val="1155CC"/>
            <w:u w:val="single"/>
          </w:rPr>
          <w:t>https://doi.org/10.22364/bjmc.2021.9.2.05</w:t>
        </w:r>
      </w:hyperlink>
      <w:r w:rsidR="0048215A">
        <w:rPr>
          <w:color w:val="222222"/>
        </w:rPr>
        <w:t xml:space="preserve">  (Accessed: March 4, 2023).</w:t>
      </w:r>
    </w:p>
    <w:p w14:paraId="7043D99E" w14:textId="77777777" w:rsidR="003510B1" w:rsidRDefault="0048215A">
      <w:pPr>
        <w:spacing w:before="240" w:after="240" w:line="360" w:lineRule="auto"/>
        <w:jc w:val="both"/>
        <w:rPr>
          <w:color w:val="222222"/>
        </w:rPr>
      </w:pPr>
      <w:proofErr w:type="spellStart"/>
      <w:r>
        <w:rPr>
          <w:color w:val="222222"/>
        </w:rPr>
        <w:lastRenderedPageBreak/>
        <w:t>Jll</w:t>
      </w:r>
      <w:proofErr w:type="spellEnd"/>
      <w:r>
        <w:rPr>
          <w:color w:val="222222"/>
        </w:rPr>
        <w:t xml:space="preserve">, 2023. </w:t>
      </w:r>
      <w:r>
        <w:rPr>
          <w:i/>
          <w:color w:val="222222"/>
        </w:rPr>
        <w:t>JLL</w:t>
      </w:r>
      <w:r>
        <w:rPr>
          <w:color w:val="222222"/>
        </w:rPr>
        <w:t xml:space="preserve">, </w:t>
      </w:r>
      <w:r>
        <w:rPr>
          <w:i/>
          <w:color w:val="222222"/>
        </w:rPr>
        <w:t>Real Estate Advisors &amp; Professionals</w:t>
      </w:r>
      <w:r>
        <w:rPr>
          <w:color w:val="222222"/>
        </w:rPr>
        <w:t xml:space="preserve">. Available at: </w:t>
      </w:r>
      <w:hyperlink r:id="rId38">
        <w:r>
          <w:rPr>
            <w:color w:val="1155CC"/>
            <w:u w:val="single"/>
          </w:rPr>
          <w:t>https://www.jll.co.uk/</w:t>
        </w:r>
      </w:hyperlink>
      <w:r>
        <w:rPr>
          <w:color w:val="222222"/>
        </w:rPr>
        <w:t xml:space="preserve">(Accessed: March 14, 2023). </w:t>
      </w:r>
    </w:p>
    <w:p w14:paraId="7043D99F" w14:textId="77777777" w:rsidR="003510B1" w:rsidRDefault="0048215A">
      <w:pPr>
        <w:pBdr>
          <w:top w:val="nil"/>
          <w:left w:val="nil"/>
          <w:bottom w:val="nil"/>
          <w:right w:val="nil"/>
          <w:between w:val="nil"/>
        </w:pBdr>
        <w:spacing w:line="360" w:lineRule="auto"/>
        <w:jc w:val="both"/>
        <w:rPr>
          <w:color w:val="222222"/>
        </w:rPr>
      </w:pPr>
      <w:proofErr w:type="spellStart"/>
      <w:r>
        <w:rPr>
          <w:color w:val="222222"/>
        </w:rPr>
        <w:t>Kaduk</w:t>
      </w:r>
      <w:proofErr w:type="spellEnd"/>
      <w:r>
        <w:rPr>
          <w:color w:val="222222"/>
        </w:rPr>
        <w:t xml:space="preserve">, A., </w:t>
      </w:r>
      <w:proofErr w:type="spellStart"/>
      <w:r>
        <w:rPr>
          <w:color w:val="222222"/>
        </w:rPr>
        <w:t>Genadek</w:t>
      </w:r>
      <w:proofErr w:type="spellEnd"/>
      <w:r>
        <w:rPr>
          <w:color w:val="222222"/>
        </w:rPr>
        <w:t xml:space="preserve">, K., Kelly, E.L. and Moen, P., 2019. Involuntary vs. voluntary flexible work: Insights for scholars and stakeholders. </w:t>
      </w:r>
      <w:r>
        <w:rPr>
          <w:i/>
          <w:color w:val="222222"/>
        </w:rPr>
        <w:t>Community, Work &amp; Family</w:t>
      </w:r>
      <w:r>
        <w:rPr>
          <w:color w:val="222222"/>
        </w:rPr>
        <w:t xml:space="preserve">, </w:t>
      </w:r>
      <w:r>
        <w:rPr>
          <w:i/>
          <w:color w:val="222222"/>
        </w:rPr>
        <w:t>22</w:t>
      </w:r>
      <w:r>
        <w:rPr>
          <w:color w:val="222222"/>
        </w:rPr>
        <w:t xml:space="preserve">(4), pp.412-442. Available at: </w:t>
      </w:r>
      <w:hyperlink r:id="rId39">
        <w:r>
          <w:rPr>
            <w:color w:val="1155CC"/>
            <w:u w:val="single"/>
          </w:rPr>
          <w:t>https://doi.org/10.1080/13668803.2019.1616532</w:t>
        </w:r>
      </w:hyperlink>
      <w:r>
        <w:rPr>
          <w:color w:val="000000"/>
        </w:rPr>
        <w:t>(Accessed: March 4, 2023).</w:t>
      </w:r>
    </w:p>
    <w:p w14:paraId="7043D9A0" w14:textId="77777777" w:rsidR="003510B1" w:rsidRDefault="0048215A">
      <w:pPr>
        <w:pBdr>
          <w:top w:val="nil"/>
          <w:left w:val="nil"/>
          <w:bottom w:val="nil"/>
          <w:right w:val="nil"/>
          <w:between w:val="nil"/>
        </w:pBdr>
        <w:spacing w:before="240" w:after="240" w:line="360" w:lineRule="auto"/>
        <w:jc w:val="both"/>
      </w:pPr>
      <w:proofErr w:type="spellStart"/>
      <w:r>
        <w:rPr>
          <w:color w:val="222222"/>
        </w:rPr>
        <w:t>Kaklauskas</w:t>
      </w:r>
      <w:proofErr w:type="spellEnd"/>
      <w:r>
        <w:rPr>
          <w:color w:val="222222"/>
        </w:rPr>
        <w:t xml:space="preserve">, A., </w:t>
      </w:r>
      <w:proofErr w:type="spellStart"/>
      <w:r>
        <w:rPr>
          <w:color w:val="222222"/>
        </w:rPr>
        <w:t>Zavadskas</w:t>
      </w:r>
      <w:proofErr w:type="spellEnd"/>
      <w:r>
        <w:rPr>
          <w:color w:val="222222"/>
        </w:rPr>
        <w:t xml:space="preserve">, E.K., </w:t>
      </w:r>
      <w:proofErr w:type="spellStart"/>
      <w:r>
        <w:rPr>
          <w:color w:val="222222"/>
        </w:rPr>
        <w:t>Lepkova</w:t>
      </w:r>
      <w:proofErr w:type="spellEnd"/>
      <w:r>
        <w:rPr>
          <w:color w:val="222222"/>
        </w:rPr>
        <w:t xml:space="preserve">, N., </w:t>
      </w:r>
      <w:proofErr w:type="spellStart"/>
      <w:r>
        <w:rPr>
          <w:color w:val="222222"/>
        </w:rPr>
        <w:t>Raslanas</w:t>
      </w:r>
      <w:proofErr w:type="spellEnd"/>
      <w:r>
        <w:rPr>
          <w:color w:val="222222"/>
        </w:rPr>
        <w:t xml:space="preserve">, S., </w:t>
      </w:r>
      <w:proofErr w:type="spellStart"/>
      <w:r>
        <w:rPr>
          <w:color w:val="222222"/>
        </w:rPr>
        <w:t>Dauksys</w:t>
      </w:r>
      <w:proofErr w:type="spellEnd"/>
      <w:r>
        <w:rPr>
          <w:color w:val="222222"/>
        </w:rPr>
        <w:t xml:space="preserve">, K., </w:t>
      </w:r>
      <w:proofErr w:type="spellStart"/>
      <w:r>
        <w:rPr>
          <w:color w:val="222222"/>
        </w:rPr>
        <w:t>Vetloviene</w:t>
      </w:r>
      <w:proofErr w:type="spellEnd"/>
      <w:r>
        <w:rPr>
          <w:color w:val="222222"/>
        </w:rPr>
        <w:t xml:space="preserve">, I. and </w:t>
      </w:r>
      <w:proofErr w:type="spellStart"/>
      <w:r>
        <w:rPr>
          <w:color w:val="222222"/>
        </w:rPr>
        <w:t>Ubarte</w:t>
      </w:r>
      <w:proofErr w:type="spellEnd"/>
      <w:r>
        <w:rPr>
          <w:color w:val="222222"/>
        </w:rPr>
        <w:t xml:space="preserve">, I., 2021. Sustainable construction investment, real estate development, and COVID-19: a review of literature in the field. </w:t>
      </w:r>
      <w:r>
        <w:rPr>
          <w:i/>
          <w:color w:val="222222"/>
        </w:rPr>
        <w:t>Sustainability</w:t>
      </w:r>
      <w:r>
        <w:rPr>
          <w:color w:val="222222"/>
        </w:rPr>
        <w:t xml:space="preserve">, </w:t>
      </w:r>
      <w:r>
        <w:rPr>
          <w:i/>
          <w:color w:val="222222"/>
        </w:rPr>
        <w:t>13</w:t>
      </w:r>
      <w:r>
        <w:rPr>
          <w:color w:val="222222"/>
        </w:rPr>
        <w:t xml:space="preserve">(13), p.7420. </w:t>
      </w:r>
      <w:r>
        <w:t xml:space="preserve">Available at: </w:t>
      </w:r>
      <w:hyperlink r:id="rId40">
        <w:r>
          <w:rPr>
            <w:color w:val="1155CC"/>
            <w:u w:val="single"/>
          </w:rPr>
          <w:t>https://doi.org/10.3390/su13137420</w:t>
        </w:r>
      </w:hyperlink>
      <w:r>
        <w:t xml:space="preserve"> [Accessed 14 March 2023]</w:t>
      </w:r>
    </w:p>
    <w:p w14:paraId="7043D9A1" w14:textId="77777777" w:rsidR="003510B1" w:rsidRDefault="0048215A">
      <w:pPr>
        <w:pBdr>
          <w:top w:val="nil"/>
          <w:left w:val="nil"/>
          <w:bottom w:val="nil"/>
          <w:right w:val="nil"/>
          <w:between w:val="nil"/>
        </w:pBdr>
        <w:spacing w:before="240" w:after="240" w:line="360" w:lineRule="auto"/>
        <w:jc w:val="both"/>
        <w:rPr>
          <w:color w:val="000000"/>
        </w:rPr>
      </w:pPr>
      <w:r>
        <w:rPr>
          <w:color w:val="222222"/>
        </w:rPr>
        <w:t xml:space="preserve">Keen, S., Lomeli-Rodriguez, M. and Joffe, H., 2022. From challenge to opportunity: virtual qualitative research during COVID-19 and beyond. </w:t>
      </w:r>
      <w:r>
        <w:rPr>
          <w:i/>
          <w:color w:val="222222"/>
        </w:rPr>
        <w:t>International journal of qualitative methods</w:t>
      </w:r>
      <w:r>
        <w:rPr>
          <w:color w:val="222222"/>
        </w:rPr>
        <w:t xml:space="preserve">, </w:t>
      </w:r>
      <w:r>
        <w:rPr>
          <w:i/>
          <w:color w:val="222222"/>
        </w:rPr>
        <w:t>21</w:t>
      </w:r>
      <w:r>
        <w:rPr>
          <w:color w:val="222222"/>
        </w:rPr>
        <w:t>, p.16094069221105075.</w:t>
      </w:r>
      <w:r>
        <w:rPr>
          <w:color w:val="000000"/>
        </w:rPr>
        <w:t xml:space="preserve"> Available at: </w:t>
      </w:r>
      <w:hyperlink r:id="rId41">
        <w:r>
          <w:rPr>
            <w:color w:val="1155CC"/>
            <w:u w:val="single"/>
          </w:rPr>
          <w:t>https://doi.org/10.1177/16094069221105075</w:t>
        </w:r>
      </w:hyperlink>
      <w:r>
        <w:rPr>
          <w:color w:val="000000"/>
        </w:rPr>
        <w:t xml:space="preserve"> [Accessed 4 March 2023]</w:t>
      </w:r>
    </w:p>
    <w:p w14:paraId="7043D9A2" w14:textId="77777777" w:rsidR="003510B1" w:rsidRDefault="0048215A">
      <w:pPr>
        <w:pBdr>
          <w:top w:val="nil"/>
          <w:left w:val="nil"/>
          <w:bottom w:val="nil"/>
          <w:right w:val="nil"/>
          <w:between w:val="nil"/>
        </w:pBdr>
        <w:spacing w:line="360" w:lineRule="auto"/>
        <w:jc w:val="both"/>
        <w:rPr>
          <w:color w:val="222222"/>
        </w:rPr>
      </w:pPr>
      <w:proofErr w:type="spellStart"/>
      <w:r>
        <w:rPr>
          <w:color w:val="222222"/>
        </w:rPr>
        <w:t>Klindžić</w:t>
      </w:r>
      <w:proofErr w:type="spellEnd"/>
      <w:r>
        <w:rPr>
          <w:color w:val="222222"/>
        </w:rPr>
        <w:t xml:space="preserve">, M. and </w:t>
      </w:r>
      <w:proofErr w:type="spellStart"/>
      <w:r>
        <w:rPr>
          <w:color w:val="222222"/>
        </w:rPr>
        <w:t>Marić</w:t>
      </w:r>
      <w:proofErr w:type="spellEnd"/>
      <w:r>
        <w:rPr>
          <w:color w:val="222222"/>
        </w:rPr>
        <w:t xml:space="preserve">, M., 2019. Flexible work arrangements and organizational performance–The difference between employee and employer-driven practices. </w:t>
      </w:r>
      <w:proofErr w:type="spellStart"/>
      <w:r>
        <w:rPr>
          <w:i/>
          <w:color w:val="222222"/>
        </w:rPr>
        <w:t>Društvena</w:t>
      </w:r>
      <w:proofErr w:type="spellEnd"/>
      <w:r>
        <w:rPr>
          <w:i/>
          <w:color w:val="222222"/>
        </w:rPr>
        <w:t xml:space="preserve"> </w:t>
      </w:r>
      <w:proofErr w:type="spellStart"/>
      <w:r>
        <w:rPr>
          <w:i/>
          <w:color w:val="222222"/>
        </w:rPr>
        <w:t>istraživanja</w:t>
      </w:r>
      <w:proofErr w:type="spellEnd"/>
      <w:r>
        <w:rPr>
          <w:color w:val="222222"/>
        </w:rPr>
        <w:t xml:space="preserve">, </w:t>
      </w:r>
      <w:r>
        <w:rPr>
          <w:i/>
          <w:color w:val="222222"/>
        </w:rPr>
        <w:t>28</w:t>
      </w:r>
      <w:r>
        <w:rPr>
          <w:color w:val="222222"/>
        </w:rPr>
        <w:t xml:space="preserve">(1), pp.89-108. Available at: </w:t>
      </w:r>
      <w:hyperlink r:id="rId42">
        <w:r>
          <w:rPr>
            <w:color w:val="1155CC"/>
            <w:u w:val="single"/>
          </w:rPr>
          <w:t>https://doi.org/10.5559/di.28.1.05</w:t>
        </w:r>
      </w:hyperlink>
      <w:r>
        <w:rPr>
          <w:color w:val="000000"/>
        </w:rPr>
        <w:t>(Accessed: March 4, 2023).</w:t>
      </w:r>
    </w:p>
    <w:p w14:paraId="7043D9A3" w14:textId="77777777" w:rsidR="003510B1" w:rsidRDefault="0048215A">
      <w:pPr>
        <w:pBdr>
          <w:top w:val="nil"/>
          <w:left w:val="nil"/>
          <w:bottom w:val="nil"/>
          <w:right w:val="nil"/>
          <w:between w:val="nil"/>
        </w:pBdr>
        <w:spacing w:before="240" w:after="240" w:line="360" w:lineRule="auto"/>
        <w:jc w:val="both"/>
        <w:rPr>
          <w:color w:val="000000"/>
        </w:rPr>
      </w:pPr>
      <w:r>
        <w:rPr>
          <w:color w:val="222222"/>
        </w:rPr>
        <w:t xml:space="preserve">Kumar, P., 2021. V-5 model of employee engagement during COVID-19 and post-lockdown. </w:t>
      </w:r>
      <w:r>
        <w:rPr>
          <w:i/>
          <w:color w:val="222222"/>
        </w:rPr>
        <w:t>Vision</w:t>
      </w:r>
      <w:r>
        <w:rPr>
          <w:color w:val="222222"/>
        </w:rPr>
        <w:t xml:space="preserve">, </w:t>
      </w:r>
      <w:r>
        <w:rPr>
          <w:i/>
          <w:color w:val="222222"/>
        </w:rPr>
        <w:t>25</w:t>
      </w:r>
      <w:r>
        <w:rPr>
          <w:color w:val="222222"/>
        </w:rPr>
        <w:t xml:space="preserve">(3), pp.271-274. </w:t>
      </w:r>
      <w:r>
        <w:rPr>
          <w:color w:val="000000"/>
        </w:rPr>
        <w:t xml:space="preserve">Available at: </w:t>
      </w:r>
      <w:hyperlink r:id="rId43">
        <w:r>
          <w:rPr>
            <w:color w:val="1155CC"/>
            <w:u w:val="single"/>
          </w:rPr>
          <w:t>https://doi.org/10.1177/0972262920980878</w:t>
        </w:r>
      </w:hyperlink>
      <w:r>
        <w:rPr>
          <w:color w:val="000000"/>
        </w:rPr>
        <w:t xml:space="preserve"> [Accessed 4 March 2023]</w:t>
      </w:r>
    </w:p>
    <w:p w14:paraId="7043D9A4" w14:textId="77777777" w:rsidR="003510B1" w:rsidRDefault="0048215A">
      <w:pPr>
        <w:pBdr>
          <w:top w:val="nil"/>
          <w:left w:val="nil"/>
          <w:bottom w:val="nil"/>
          <w:right w:val="nil"/>
          <w:between w:val="nil"/>
        </w:pBdr>
        <w:spacing w:line="360" w:lineRule="auto"/>
        <w:jc w:val="both"/>
        <w:rPr>
          <w:color w:val="222222"/>
        </w:rPr>
      </w:pPr>
      <w:r>
        <w:rPr>
          <w:color w:val="222222"/>
        </w:rPr>
        <w:t xml:space="preserve">Lee, H., 2021. Changes in workplace practices during the COVID-19 pandemic: the roles of emotion, psychological safety, and organisation support. </w:t>
      </w:r>
      <w:r>
        <w:rPr>
          <w:i/>
          <w:color w:val="222222"/>
        </w:rPr>
        <w:t>Journal of Organizational Effectiveness: People and Performance</w:t>
      </w:r>
      <w:r>
        <w:rPr>
          <w:color w:val="222222"/>
        </w:rPr>
        <w:t xml:space="preserve">. Available at: </w:t>
      </w:r>
      <w:hyperlink r:id="rId44">
        <w:r>
          <w:rPr>
            <w:color w:val="1155CC"/>
            <w:u w:val="single"/>
          </w:rPr>
          <w:t>https://doi.org/10.1108/JOEPP-06-2020-0104</w:t>
        </w:r>
      </w:hyperlink>
      <w:r>
        <w:rPr>
          <w:color w:val="222222"/>
        </w:rPr>
        <w:t xml:space="preserve">(Accessed: March 14, 2023). </w:t>
      </w:r>
    </w:p>
    <w:p w14:paraId="7043D9A5" w14:textId="77777777" w:rsidR="003510B1" w:rsidRDefault="0048215A">
      <w:pPr>
        <w:pBdr>
          <w:top w:val="nil"/>
          <w:left w:val="nil"/>
          <w:bottom w:val="nil"/>
          <w:right w:val="nil"/>
          <w:between w:val="nil"/>
        </w:pBdr>
        <w:spacing w:before="240" w:after="240" w:line="360" w:lineRule="auto"/>
        <w:jc w:val="both"/>
      </w:pPr>
      <w:r>
        <w:rPr>
          <w:color w:val="222222"/>
        </w:rPr>
        <w:t xml:space="preserve">Li, X. and Kao, C., 2022. Spatial Analysis and </w:t>
      </w:r>
      <w:proofErr w:type="spellStart"/>
      <w:r>
        <w:rPr>
          <w:color w:val="222222"/>
        </w:rPr>
        <w:t>Modeling</w:t>
      </w:r>
      <w:proofErr w:type="spellEnd"/>
      <w:r>
        <w:rPr>
          <w:color w:val="222222"/>
        </w:rPr>
        <w:t xml:space="preserve"> of the Housing Value Changes in the US during the COVID-19 Pandemic. </w:t>
      </w:r>
      <w:r>
        <w:rPr>
          <w:i/>
          <w:color w:val="222222"/>
        </w:rPr>
        <w:t>Journal of Risk and Financial Management</w:t>
      </w:r>
      <w:r>
        <w:rPr>
          <w:color w:val="222222"/>
        </w:rPr>
        <w:t xml:space="preserve">, </w:t>
      </w:r>
      <w:r>
        <w:rPr>
          <w:i/>
          <w:color w:val="222222"/>
        </w:rPr>
        <w:t>15</w:t>
      </w:r>
      <w:r>
        <w:rPr>
          <w:color w:val="222222"/>
        </w:rPr>
        <w:t xml:space="preserve">(3), p.139. </w:t>
      </w:r>
      <w:r>
        <w:t xml:space="preserve">Available at: </w:t>
      </w:r>
      <w:hyperlink r:id="rId45">
        <w:r>
          <w:rPr>
            <w:color w:val="1155CC"/>
            <w:u w:val="single"/>
          </w:rPr>
          <w:t>https://doi.org/10.3390/jrfm15030139</w:t>
        </w:r>
      </w:hyperlink>
      <w:r>
        <w:t xml:space="preserve">  [Accessed 14 March 2023]</w:t>
      </w:r>
    </w:p>
    <w:p w14:paraId="7043D9A6" w14:textId="77777777" w:rsidR="003510B1" w:rsidRDefault="0048215A">
      <w:pPr>
        <w:pBdr>
          <w:top w:val="nil"/>
          <w:left w:val="nil"/>
          <w:bottom w:val="nil"/>
          <w:right w:val="nil"/>
          <w:between w:val="nil"/>
        </w:pBdr>
        <w:spacing w:before="240" w:after="240" w:line="360" w:lineRule="auto"/>
        <w:jc w:val="both"/>
        <w:rPr>
          <w:color w:val="000000"/>
        </w:rPr>
      </w:pPr>
      <w:r>
        <w:rPr>
          <w:color w:val="222222"/>
        </w:rPr>
        <w:t xml:space="preserve">Liu, C.X., Xu, T.Q., Xu, L., Wang, P.P., Cao, C., Gao, G.X. and Zheng, Y.H., 2020. Primary lymphoma of bone: a population-based study of 2558 patients. </w:t>
      </w:r>
      <w:r>
        <w:rPr>
          <w:i/>
          <w:color w:val="222222"/>
        </w:rPr>
        <w:t xml:space="preserve">Therapeutic Advances in </w:t>
      </w:r>
      <w:proofErr w:type="spellStart"/>
      <w:r>
        <w:rPr>
          <w:i/>
          <w:color w:val="222222"/>
        </w:rPr>
        <w:lastRenderedPageBreak/>
        <w:t>Hematology</w:t>
      </w:r>
      <w:proofErr w:type="spellEnd"/>
      <w:r>
        <w:rPr>
          <w:color w:val="222222"/>
        </w:rPr>
        <w:t xml:space="preserve">, </w:t>
      </w:r>
      <w:r>
        <w:rPr>
          <w:i/>
          <w:color w:val="222222"/>
        </w:rPr>
        <w:t>11</w:t>
      </w:r>
      <w:r>
        <w:rPr>
          <w:color w:val="222222"/>
        </w:rPr>
        <w:t xml:space="preserve">, p.2040620720958538. </w:t>
      </w:r>
      <w:r>
        <w:rPr>
          <w:color w:val="000000"/>
        </w:rPr>
        <w:t xml:space="preserve">Available at: </w:t>
      </w:r>
      <w:hyperlink r:id="rId46">
        <w:r>
          <w:rPr>
            <w:color w:val="1155CC"/>
            <w:u w:val="single"/>
          </w:rPr>
          <w:t>https://doi.org/10.1177/2040620720958538</w:t>
        </w:r>
      </w:hyperlink>
      <w:r>
        <w:rPr>
          <w:color w:val="000000"/>
        </w:rPr>
        <w:t xml:space="preserve"> [Accessed 4 March 2023]</w:t>
      </w:r>
    </w:p>
    <w:p w14:paraId="7043D9A7" w14:textId="77777777" w:rsidR="003510B1" w:rsidRDefault="0048215A">
      <w:pPr>
        <w:pBdr>
          <w:top w:val="nil"/>
          <w:left w:val="nil"/>
          <w:bottom w:val="nil"/>
          <w:right w:val="nil"/>
          <w:between w:val="nil"/>
        </w:pBdr>
        <w:spacing w:before="240" w:after="240" w:line="360" w:lineRule="auto"/>
        <w:jc w:val="both"/>
        <w:rPr>
          <w:color w:val="000000"/>
        </w:rPr>
      </w:pPr>
      <w:r>
        <w:rPr>
          <w:color w:val="000000"/>
        </w:rPr>
        <w:t xml:space="preserve">Mensah, J.K., 2019. Talent management and employee outcomes: A psychological contract </w:t>
      </w:r>
      <w:proofErr w:type="spellStart"/>
      <w:r>
        <w:rPr>
          <w:color w:val="000000"/>
        </w:rPr>
        <w:t>fulfillment</w:t>
      </w:r>
      <w:proofErr w:type="spellEnd"/>
      <w:r>
        <w:rPr>
          <w:color w:val="000000"/>
        </w:rPr>
        <w:t xml:space="preserve"> perspective. Public Organization Review, 19(3), pp.325-344. Available at: </w:t>
      </w:r>
      <w:hyperlink r:id="rId47">
        <w:r>
          <w:rPr>
            <w:color w:val="1155CC"/>
            <w:u w:val="single"/>
          </w:rPr>
          <w:t>https://doi.org/10.1007/s11115-018-0407-9</w:t>
        </w:r>
      </w:hyperlink>
      <w:r>
        <w:rPr>
          <w:color w:val="333333"/>
        </w:rPr>
        <w:t xml:space="preserve"> </w:t>
      </w:r>
      <w:r>
        <w:rPr>
          <w:color w:val="000000"/>
        </w:rPr>
        <w:t>[Accessed 4 March 2023]</w:t>
      </w:r>
    </w:p>
    <w:p w14:paraId="7043D9A8" w14:textId="77777777" w:rsidR="003510B1" w:rsidRDefault="0048215A">
      <w:pPr>
        <w:pBdr>
          <w:top w:val="nil"/>
          <w:left w:val="nil"/>
          <w:bottom w:val="nil"/>
          <w:right w:val="nil"/>
          <w:between w:val="nil"/>
        </w:pBdr>
        <w:spacing w:line="360" w:lineRule="auto"/>
        <w:jc w:val="both"/>
        <w:rPr>
          <w:color w:val="000000"/>
        </w:rPr>
      </w:pPr>
      <w:r>
        <w:rPr>
          <w:color w:val="000000"/>
        </w:rPr>
        <w:t xml:space="preserve"> </w:t>
      </w:r>
      <w:r>
        <w:rPr>
          <w:color w:val="222222"/>
        </w:rPr>
        <w:t xml:space="preserve">Midhat Ali, M., Qureshi, S.M., Memon, M.S., Mari, S.I. and Ramzan, M.B., 2021. Competency framework development for effective human resource management. </w:t>
      </w:r>
      <w:r>
        <w:rPr>
          <w:i/>
          <w:color w:val="222222"/>
        </w:rPr>
        <w:t>Sage Open</w:t>
      </w:r>
      <w:r>
        <w:rPr>
          <w:color w:val="222222"/>
        </w:rPr>
        <w:t xml:space="preserve">, </w:t>
      </w:r>
      <w:r>
        <w:rPr>
          <w:i/>
          <w:color w:val="222222"/>
        </w:rPr>
        <w:t>11</w:t>
      </w:r>
      <w:r>
        <w:rPr>
          <w:color w:val="222222"/>
        </w:rPr>
        <w:t xml:space="preserve">(2), p.21582440211006124. </w:t>
      </w:r>
      <w:r>
        <w:rPr>
          <w:color w:val="000000"/>
        </w:rPr>
        <w:t xml:space="preserve">Available at: </w:t>
      </w:r>
      <w:hyperlink r:id="rId48">
        <w:r>
          <w:rPr>
            <w:color w:val="1155CC"/>
            <w:u w:val="single"/>
          </w:rPr>
          <w:t>https://doi.org/10.1177/21582440211006124</w:t>
        </w:r>
      </w:hyperlink>
      <w:r>
        <w:rPr>
          <w:color w:val="000000"/>
        </w:rPr>
        <w:t xml:space="preserve"> [Accessed 4 March 2023]</w:t>
      </w:r>
    </w:p>
    <w:p w14:paraId="7043D9A9" w14:textId="77777777" w:rsidR="003510B1" w:rsidRDefault="0048215A">
      <w:pPr>
        <w:pBdr>
          <w:top w:val="nil"/>
          <w:left w:val="nil"/>
          <w:bottom w:val="nil"/>
          <w:right w:val="nil"/>
          <w:between w:val="nil"/>
        </w:pBdr>
        <w:spacing w:before="240" w:after="240" w:line="360" w:lineRule="auto"/>
        <w:jc w:val="both"/>
        <w:rPr>
          <w:color w:val="000000"/>
        </w:rPr>
      </w:pPr>
      <w:r>
        <w:rPr>
          <w:color w:val="000000"/>
        </w:rPr>
        <w:t xml:space="preserve">Mousa, M., 2020. Organizational inclusion and academics' psychological contract: can responsible leadership mediate the relationship? Equality, Diversity, and Inclusion: An International Journal, 39(2), pp.126-144. Available at: </w:t>
      </w:r>
      <w:hyperlink r:id="rId49">
        <w:r>
          <w:rPr>
            <w:color w:val="1155CC"/>
            <w:u w:val="single"/>
          </w:rPr>
          <w:t>https://doi.org/10.1108/EDI-01-2019-0014</w:t>
        </w:r>
      </w:hyperlink>
      <w:proofErr w:type="gramStart"/>
      <w:r>
        <w:rPr>
          <w:color w:val="000000"/>
        </w:rPr>
        <w:t xml:space="preserve">   [</w:t>
      </w:r>
      <w:proofErr w:type="gramEnd"/>
      <w:r>
        <w:rPr>
          <w:color w:val="000000"/>
        </w:rPr>
        <w:t>Accessed 4 March 2023]</w:t>
      </w:r>
    </w:p>
    <w:p w14:paraId="7043D9AA" w14:textId="77777777" w:rsidR="003510B1" w:rsidRDefault="0048215A">
      <w:pPr>
        <w:pBdr>
          <w:top w:val="nil"/>
          <w:left w:val="nil"/>
          <w:bottom w:val="nil"/>
          <w:right w:val="nil"/>
          <w:between w:val="nil"/>
        </w:pBdr>
        <w:spacing w:line="360" w:lineRule="auto"/>
        <w:jc w:val="both"/>
        <w:rPr>
          <w:color w:val="222222"/>
        </w:rPr>
      </w:pPr>
      <w:r>
        <w:rPr>
          <w:color w:val="222222"/>
        </w:rPr>
        <w:t xml:space="preserve">Muñoz Aparicio, C.G. and Contreras Loera, M., 2019. Comparison of competencies in Mexican and foreign companies. </w:t>
      </w:r>
      <w:proofErr w:type="spellStart"/>
      <w:r>
        <w:rPr>
          <w:color w:val="222222"/>
        </w:rPr>
        <w:t>Zeszyty</w:t>
      </w:r>
      <w:proofErr w:type="spellEnd"/>
      <w:r>
        <w:rPr>
          <w:color w:val="222222"/>
        </w:rPr>
        <w:t xml:space="preserve"> </w:t>
      </w:r>
      <w:proofErr w:type="spellStart"/>
      <w:r>
        <w:rPr>
          <w:color w:val="222222"/>
        </w:rPr>
        <w:t>Naukowe</w:t>
      </w:r>
      <w:proofErr w:type="spellEnd"/>
      <w:r>
        <w:rPr>
          <w:color w:val="222222"/>
        </w:rPr>
        <w:t xml:space="preserve"> </w:t>
      </w:r>
      <w:proofErr w:type="spellStart"/>
      <w:r>
        <w:rPr>
          <w:color w:val="222222"/>
        </w:rPr>
        <w:t>Politechniki</w:t>
      </w:r>
      <w:proofErr w:type="spellEnd"/>
      <w:r>
        <w:rPr>
          <w:color w:val="222222"/>
        </w:rPr>
        <w:t xml:space="preserve"> </w:t>
      </w:r>
      <w:proofErr w:type="spellStart"/>
      <w:r>
        <w:rPr>
          <w:color w:val="222222"/>
        </w:rPr>
        <w:t>Poznańskiej</w:t>
      </w:r>
      <w:proofErr w:type="spellEnd"/>
      <w:r>
        <w:rPr>
          <w:color w:val="222222"/>
        </w:rPr>
        <w:t xml:space="preserve">. </w:t>
      </w:r>
      <w:proofErr w:type="spellStart"/>
      <w:r>
        <w:rPr>
          <w:color w:val="222222"/>
        </w:rPr>
        <w:t>Organizacja</w:t>
      </w:r>
      <w:proofErr w:type="spellEnd"/>
      <w:r>
        <w:rPr>
          <w:color w:val="222222"/>
        </w:rPr>
        <w:t xml:space="preserve"> </w:t>
      </w:r>
      <w:proofErr w:type="spellStart"/>
      <w:r>
        <w:rPr>
          <w:color w:val="222222"/>
        </w:rPr>
        <w:t>i</w:t>
      </w:r>
      <w:proofErr w:type="spellEnd"/>
      <w:r>
        <w:rPr>
          <w:color w:val="222222"/>
        </w:rPr>
        <w:t xml:space="preserve"> </w:t>
      </w:r>
      <w:proofErr w:type="spellStart"/>
      <w:r>
        <w:rPr>
          <w:color w:val="222222"/>
        </w:rPr>
        <w:t>Zarządzanie</w:t>
      </w:r>
      <w:proofErr w:type="spellEnd"/>
      <w:r>
        <w:rPr>
          <w:color w:val="222222"/>
        </w:rPr>
        <w:t xml:space="preserve">, (79), pp.67-80. Available at: </w:t>
      </w:r>
      <w:hyperlink r:id="rId50">
        <w:r>
          <w:rPr>
            <w:color w:val="1155CC"/>
            <w:u w:val="single"/>
          </w:rPr>
          <w:t xml:space="preserve">10.21008/j.0239-9415.2019.079.05   </w:t>
        </w:r>
      </w:hyperlink>
      <w:r>
        <w:rPr>
          <w:color w:val="222222"/>
        </w:rPr>
        <w:t>(Accessed: March 4, 2023).</w:t>
      </w:r>
    </w:p>
    <w:p w14:paraId="7043D9AB" w14:textId="77777777" w:rsidR="003510B1" w:rsidRDefault="0048215A">
      <w:pPr>
        <w:pBdr>
          <w:top w:val="nil"/>
          <w:left w:val="nil"/>
          <w:bottom w:val="nil"/>
          <w:right w:val="nil"/>
          <w:between w:val="nil"/>
        </w:pBdr>
        <w:spacing w:before="240" w:after="240" w:line="360" w:lineRule="auto"/>
        <w:jc w:val="both"/>
        <w:rPr>
          <w:color w:val="000000"/>
        </w:rPr>
      </w:pPr>
      <w:r>
        <w:rPr>
          <w:color w:val="000000"/>
        </w:rPr>
        <w:t xml:space="preserve">Naqshbandi, M.M., </w:t>
      </w:r>
      <w:proofErr w:type="spellStart"/>
      <w:r>
        <w:rPr>
          <w:color w:val="000000"/>
        </w:rPr>
        <w:t>Tabche</w:t>
      </w:r>
      <w:proofErr w:type="spellEnd"/>
      <w:r>
        <w:rPr>
          <w:color w:val="000000"/>
        </w:rPr>
        <w:t xml:space="preserve">, I. and Choudhary, N., 2019. Managing open innovation: The roles of empowering leadership and employee involvement climate. Management Decision, 57(3), pp.703-723. Available at: </w:t>
      </w:r>
      <w:hyperlink r:id="rId51">
        <w:r>
          <w:rPr>
            <w:color w:val="1155CC"/>
            <w:u w:val="single"/>
          </w:rPr>
          <w:t>https://doi.org/10.1108/MD-07-2017-0660</w:t>
        </w:r>
      </w:hyperlink>
      <w:proofErr w:type="gramStart"/>
      <w:r>
        <w:rPr>
          <w:color w:val="000000"/>
        </w:rPr>
        <w:t xml:space="preserve">   [</w:t>
      </w:r>
      <w:proofErr w:type="gramEnd"/>
      <w:r>
        <w:rPr>
          <w:color w:val="000000"/>
        </w:rPr>
        <w:t>Accessed 4 March 2023]</w:t>
      </w:r>
    </w:p>
    <w:p w14:paraId="7043D9AC" w14:textId="77777777" w:rsidR="003510B1" w:rsidRDefault="0048215A">
      <w:pPr>
        <w:pBdr>
          <w:top w:val="nil"/>
          <w:left w:val="nil"/>
          <w:bottom w:val="nil"/>
          <w:right w:val="nil"/>
          <w:between w:val="nil"/>
        </w:pBdr>
        <w:spacing w:line="360" w:lineRule="auto"/>
        <w:jc w:val="both"/>
        <w:rPr>
          <w:color w:val="222222"/>
        </w:rPr>
      </w:pPr>
      <w:r>
        <w:rPr>
          <w:color w:val="222222"/>
        </w:rPr>
        <w:t xml:space="preserve">Pringle, T. and Meng, Q., 2018. Taming </w:t>
      </w:r>
      <w:proofErr w:type="spellStart"/>
      <w:r>
        <w:rPr>
          <w:color w:val="222222"/>
        </w:rPr>
        <w:t>labor</w:t>
      </w:r>
      <w:proofErr w:type="spellEnd"/>
      <w:r>
        <w:rPr>
          <w:color w:val="222222"/>
        </w:rPr>
        <w:t>: Workers’ struggles, workplace unionism, and collective bargaining on a Chinese waterfront. ILR Review, 71(5), pp.1053-1077. Available at:</w:t>
      </w:r>
    </w:p>
    <w:p w14:paraId="7043D9AD" w14:textId="77777777" w:rsidR="003510B1" w:rsidRDefault="0048215A">
      <w:pPr>
        <w:pBdr>
          <w:top w:val="nil"/>
          <w:left w:val="nil"/>
          <w:bottom w:val="nil"/>
          <w:right w:val="nil"/>
          <w:between w:val="nil"/>
        </w:pBdr>
        <w:spacing w:before="240" w:after="240" w:line="360" w:lineRule="auto"/>
        <w:jc w:val="both"/>
        <w:rPr>
          <w:color w:val="000000"/>
        </w:rPr>
      </w:pPr>
      <w:r>
        <w:rPr>
          <w:color w:val="000000"/>
        </w:rPr>
        <w:t xml:space="preserve">Published by Statista Research Department and 13, F. (2023) </w:t>
      </w:r>
      <w:r>
        <w:rPr>
          <w:i/>
          <w:color w:val="000000"/>
        </w:rPr>
        <w:t>Global employee engagement 2022</w:t>
      </w:r>
      <w:r>
        <w:rPr>
          <w:color w:val="000000"/>
        </w:rPr>
        <w:t xml:space="preserve">, </w:t>
      </w:r>
      <w:r>
        <w:rPr>
          <w:i/>
          <w:color w:val="000000"/>
        </w:rPr>
        <w:t>Statista</w:t>
      </w:r>
      <w:r>
        <w:rPr>
          <w:color w:val="000000"/>
        </w:rPr>
        <w:t xml:space="preserve">. Available at: </w:t>
      </w:r>
      <w:hyperlink r:id="rId52">
        <w:r>
          <w:rPr>
            <w:color w:val="1155CC"/>
            <w:u w:val="single"/>
          </w:rPr>
          <w:t>https://www.statista.com/statistics/699977/global-employee-engagement/</w:t>
        </w:r>
      </w:hyperlink>
      <w:r>
        <w:rPr>
          <w:color w:val="000000"/>
        </w:rPr>
        <w:t xml:space="preserve">  (Accessed: March 4, 2023). </w:t>
      </w:r>
    </w:p>
    <w:p w14:paraId="7043D9AE" w14:textId="77777777" w:rsidR="003510B1" w:rsidRDefault="0048215A">
      <w:pPr>
        <w:pBdr>
          <w:top w:val="nil"/>
          <w:left w:val="nil"/>
          <w:bottom w:val="nil"/>
          <w:right w:val="nil"/>
          <w:between w:val="nil"/>
        </w:pBdr>
        <w:spacing w:before="240" w:after="240" w:line="360" w:lineRule="auto"/>
        <w:jc w:val="both"/>
        <w:rPr>
          <w:color w:val="000000"/>
        </w:rPr>
      </w:pPr>
      <w:r>
        <w:rPr>
          <w:color w:val="222222"/>
        </w:rPr>
        <w:t xml:space="preserve">Ren, Y., Tang, H., Zhang, J., She, Y., Sun, X., </w:t>
      </w:r>
      <w:proofErr w:type="spellStart"/>
      <w:r>
        <w:rPr>
          <w:color w:val="222222"/>
        </w:rPr>
        <w:t>Xie</w:t>
      </w:r>
      <w:proofErr w:type="spellEnd"/>
      <w:r>
        <w:rPr>
          <w:color w:val="222222"/>
        </w:rPr>
        <w:t xml:space="preserve">, D. and Chen, C., 2020. Bayesian network meta-analysis of efficacy and safety of neoadjuvant therapy for non-small-cell lung cancer. </w:t>
      </w:r>
      <w:r>
        <w:rPr>
          <w:i/>
          <w:color w:val="222222"/>
        </w:rPr>
        <w:t>Therapeutic Advances in Medical Oncology</w:t>
      </w:r>
      <w:r>
        <w:rPr>
          <w:color w:val="222222"/>
        </w:rPr>
        <w:t xml:space="preserve">, </w:t>
      </w:r>
      <w:r>
        <w:rPr>
          <w:i/>
          <w:color w:val="222222"/>
        </w:rPr>
        <w:t>12</w:t>
      </w:r>
      <w:r>
        <w:rPr>
          <w:color w:val="222222"/>
        </w:rPr>
        <w:t xml:space="preserve">, p.1758835920973567. </w:t>
      </w:r>
      <w:r>
        <w:rPr>
          <w:color w:val="000000"/>
        </w:rPr>
        <w:t xml:space="preserve">Available at: </w:t>
      </w:r>
      <w:hyperlink r:id="rId53">
        <w:r>
          <w:rPr>
            <w:color w:val="1155CC"/>
            <w:u w:val="single"/>
          </w:rPr>
          <w:t>https://doi.org/10.1177/1758835920973567</w:t>
        </w:r>
      </w:hyperlink>
      <w:r>
        <w:rPr>
          <w:color w:val="000000"/>
        </w:rPr>
        <w:t xml:space="preserve"> [Accessed 4 March 2023]</w:t>
      </w:r>
    </w:p>
    <w:p w14:paraId="7043D9AF" w14:textId="77777777" w:rsidR="003510B1" w:rsidRDefault="0048215A">
      <w:pPr>
        <w:pBdr>
          <w:top w:val="nil"/>
          <w:left w:val="nil"/>
          <w:bottom w:val="nil"/>
          <w:right w:val="nil"/>
          <w:between w:val="nil"/>
        </w:pBdr>
        <w:spacing w:line="360" w:lineRule="auto"/>
        <w:jc w:val="both"/>
        <w:rPr>
          <w:color w:val="222222"/>
        </w:rPr>
      </w:pPr>
      <w:proofErr w:type="spellStart"/>
      <w:r>
        <w:rPr>
          <w:color w:val="222222"/>
        </w:rPr>
        <w:lastRenderedPageBreak/>
        <w:t>Schroth</w:t>
      </w:r>
      <w:proofErr w:type="spellEnd"/>
      <w:r>
        <w:rPr>
          <w:color w:val="222222"/>
        </w:rPr>
        <w:t xml:space="preserve">, H., 2019. Are you ready for Gen Z in the workplace? California Management Review, 61(3), pp.5-18. Available at: </w:t>
      </w:r>
      <w:hyperlink r:id="rId54">
        <w:r>
          <w:rPr>
            <w:color w:val="1155CC"/>
            <w:u w:val="single"/>
          </w:rPr>
          <w:t>https://doi.org/10.1177/0008125619841006</w:t>
        </w:r>
      </w:hyperlink>
      <w:r>
        <w:rPr>
          <w:color w:val="222222"/>
        </w:rPr>
        <w:t xml:space="preserve"> (Accessed: March 4, 2023).</w:t>
      </w:r>
    </w:p>
    <w:p w14:paraId="7043D9B0" w14:textId="77777777" w:rsidR="003510B1" w:rsidRDefault="0048215A">
      <w:pPr>
        <w:pBdr>
          <w:top w:val="nil"/>
          <w:left w:val="nil"/>
          <w:bottom w:val="nil"/>
          <w:right w:val="nil"/>
          <w:between w:val="nil"/>
        </w:pBdr>
        <w:spacing w:before="240" w:after="240" w:line="360" w:lineRule="auto"/>
        <w:jc w:val="both"/>
        <w:rPr>
          <w:color w:val="000000"/>
        </w:rPr>
      </w:pPr>
      <w:r>
        <w:rPr>
          <w:color w:val="000000"/>
        </w:rPr>
        <w:t xml:space="preserve">Statista (2022) </w:t>
      </w:r>
      <w:r>
        <w:rPr>
          <w:i/>
          <w:color w:val="000000"/>
        </w:rPr>
        <w:t>Remote work frequency before/after covid-19 2020</w:t>
      </w:r>
      <w:r>
        <w:rPr>
          <w:color w:val="000000"/>
        </w:rPr>
        <w:t xml:space="preserve">, </w:t>
      </w:r>
      <w:r>
        <w:rPr>
          <w:i/>
          <w:color w:val="000000"/>
        </w:rPr>
        <w:t>Statista</w:t>
      </w:r>
      <w:r>
        <w:rPr>
          <w:color w:val="000000"/>
        </w:rPr>
        <w:t xml:space="preserve">. Available at: </w:t>
      </w:r>
      <w:hyperlink r:id="rId55">
        <w:r>
          <w:rPr>
            <w:color w:val="1155CC"/>
            <w:u w:val="single"/>
          </w:rPr>
          <w:t>https://www.statista.com/statistics/1122987/change-in-remote-work-trends-after-covid-in-usa/</w:t>
        </w:r>
      </w:hyperlink>
      <w:r>
        <w:rPr>
          <w:color w:val="000000"/>
        </w:rPr>
        <w:t xml:space="preserve">  (Accessed: March 4, 2023). </w:t>
      </w:r>
    </w:p>
    <w:p w14:paraId="7043D9B1" w14:textId="77777777" w:rsidR="003510B1" w:rsidRDefault="0048215A">
      <w:pPr>
        <w:spacing w:before="240" w:after="240" w:line="360" w:lineRule="auto"/>
        <w:jc w:val="both"/>
        <w:rPr>
          <w:color w:val="222222"/>
        </w:rPr>
      </w:pPr>
      <w:r>
        <w:rPr>
          <w:color w:val="222222"/>
        </w:rPr>
        <w:t xml:space="preserve">Statista, 2022. </w:t>
      </w:r>
      <w:r>
        <w:rPr>
          <w:i/>
          <w:color w:val="222222"/>
        </w:rPr>
        <w:t>Infographic: Is 9 to 5 working in 2022?</w:t>
      </w:r>
      <w:r>
        <w:rPr>
          <w:color w:val="222222"/>
        </w:rPr>
        <w:t xml:space="preserve"> </w:t>
      </w:r>
      <w:r>
        <w:rPr>
          <w:i/>
          <w:color w:val="222222"/>
        </w:rPr>
        <w:t>Statista Infographics</w:t>
      </w:r>
      <w:r>
        <w:rPr>
          <w:color w:val="222222"/>
        </w:rPr>
        <w:t xml:space="preserve">. Available at: </w:t>
      </w:r>
      <w:hyperlink r:id="rId56">
        <w:r>
          <w:rPr>
            <w:color w:val="1155CC"/>
            <w:u w:val="single"/>
          </w:rPr>
          <w:t>https://www.statista.com/chart/27260/is-9-to-5-working-in-2022/</w:t>
        </w:r>
      </w:hyperlink>
      <w:r>
        <w:rPr>
          <w:color w:val="222222"/>
        </w:rPr>
        <w:t xml:space="preserve">(Accessed: March 14, 2023). </w:t>
      </w:r>
    </w:p>
    <w:p w14:paraId="7043D9B2" w14:textId="77777777" w:rsidR="003510B1" w:rsidRDefault="0048215A">
      <w:pPr>
        <w:pBdr>
          <w:top w:val="nil"/>
          <w:left w:val="nil"/>
          <w:bottom w:val="nil"/>
          <w:right w:val="nil"/>
          <w:between w:val="nil"/>
        </w:pBdr>
        <w:spacing w:before="240" w:after="240" w:line="360" w:lineRule="auto"/>
        <w:jc w:val="both"/>
        <w:rPr>
          <w:color w:val="000000"/>
        </w:rPr>
      </w:pPr>
      <w:proofErr w:type="spellStart"/>
      <w:r>
        <w:rPr>
          <w:color w:val="000000"/>
        </w:rPr>
        <w:t>Sunaryo</w:t>
      </w:r>
      <w:proofErr w:type="spellEnd"/>
      <w:r>
        <w:rPr>
          <w:color w:val="000000"/>
        </w:rPr>
        <w:t xml:space="preserve">, S., </w:t>
      </w:r>
      <w:proofErr w:type="spellStart"/>
      <w:r>
        <w:rPr>
          <w:color w:val="000000"/>
        </w:rPr>
        <w:t>Sawitri</w:t>
      </w:r>
      <w:proofErr w:type="spellEnd"/>
      <w:r>
        <w:rPr>
          <w:color w:val="000000"/>
        </w:rPr>
        <w:t xml:space="preserve">, H.S.R., </w:t>
      </w:r>
      <w:proofErr w:type="spellStart"/>
      <w:r>
        <w:rPr>
          <w:color w:val="000000"/>
        </w:rPr>
        <w:t>Suyono</w:t>
      </w:r>
      <w:proofErr w:type="spellEnd"/>
      <w:r>
        <w:rPr>
          <w:color w:val="000000"/>
        </w:rPr>
        <w:t xml:space="preserve">, J. and </w:t>
      </w:r>
      <w:proofErr w:type="spellStart"/>
      <w:r>
        <w:rPr>
          <w:color w:val="000000"/>
        </w:rPr>
        <w:t>Wahyudi</w:t>
      </w:r>
      <w:proofErr w:type="spellEnd"/>
      <w:r>
        <w:rPr>
          <w:color w:val="000000"/>
        </w:rPr>
        <w:t xml:space="preserve">, L., 2022. </w:t>
      </w:r>
      <w:proofErr w:type="spellStart"/>
      <w:r>
        <w:rPr>
          <w:color w:val="000000"/>
        </w:rPr>
        <w:t>FLExIBLE</w:t>
      </w:r>
      <w:proofErr w:type="spellEnd"/>
      <w:r>
        <w:rPr>
          <w:color w:val="000000"/>
        </w:rPr>
        <w:t xml:space="preserve"> WORK ARRANGEMENT AND WORK-RELATED </w:t>
      </w:r>
      <w:proofErr w:type="spellStart"/>
      <w:r>
        <w:rPr>
          <w:color w:val="000000"/>
        </w:rPr>
        <w:t>OuTCOMES</w:t>
      </w:r>
      <w:proofErr w:type="spellEnd"/>
      <w:r>
        <w:rPr>
          <w:color w:val="000000"/>
        </w:rPr>
        <w:t xml:space="preserve"> </w:t>
      </w:r>
      <w:proofErr w:type="spellStart"/>
      <w:r>
        <w:rPr>
          <w:color w:val="000000"/>
        </w:rPr>
        <w:t>DuRING</w:t>
      </w:r>
      <w:proofErr w:type="spellEnd"/>
      <w:r>
        <w:rPr>
          <w:color w:val="000000"/>
        </w:rPr>
        <w:t xml:space="preserve"> THE COVID-19 PANDEMIC: EVIDENCE FROM LOCAL GOVERNMENTS IN INDONESIA. Available at: </w:t>
      </w:r>
      <w:hyperlink r:id="rId57">
        <w:r>
          <w:rPr>
            <w:color w:val="1155CC"/>
            <w:u w:val="single"/>
          </w:rPr>
          <w:t>http://dx.doi.org/10.1080/13876988.2017.1353745</w:t>
        </w:r>
      </w:hyperlink>
      <w:r>
        <w:rPr>
          <w:color w:val="000000"/>
        </w:rPr>
        <w:t xml:space="preserve">  [Accessed 4 March 2023]</w:t>
      </w:r>
    </w:p>
    <w:p w14:paraId="7043D9B3" w14:textId="77777777" w:rsidR="003510B1" w:rsidRDefault="0048215A">
      <w:pPr>
        <w:spacing w:before="240" w:after="240" w:line="360" w:lineRule="auto"/>
        <w:jc w:val="both"/>
        <w:rPr>
          <w:color w:val="222222"/>
        </w:rPr>
      </w:pPr>
      <w:r>
        <w:rPr>
          <w:color w:val="222222"/>
        </w:rPr>
        <w:t xml:space="preserve">Ullah, F. and </w:t>
      </w:r>
      <w:proofErr w:type="spellStart"/>
      <w:r>
        <w:rPr>
          <w:color w:val="222222"/>
        </w:rPr>
        <w:t>Sepasgozar</w:t>
      </w:r>
      <w:proofErr w:type="spellEnd"/>
      <w:r>
        <w:rPr>
          <w:color w:val="222222"/>
        </w:rPr>
        <w:t xml:space="preserve">, S.M., 2020. Key factors influencing purchase or rent decisions in smart real estate investments: A system dynamics approach using online forum thread data. </w:t>
      </w:r>
      <w:r>
        <w:rPr>
          <w:i/>
          <w:color w:val="222222"/>
        </w:rPr>
        <w:t>Sustainability</w:t>
      </w:r>
      <w:r>
        <w:rPr>
          <w:color w:val="222222"/>
        </w:rPr>
        <w:t xml:space="preserve">, </w:t>
      </w:r>
      <w:r>
        <w:rPr>
          <w:i/>
          <w:color w:val="222222"/>
        </w:rPr>
        <w:t>12</w:t>
      </w:r>
      <w:r>
        <w:rPr>
          <w:color w:val="222222"/>
        </w:rPr>
        <w:t>(11), p.4382.</w:t>
      </w:r>
      <w:hyperlink r:id="rId58">
        <w:r>
          <w:rPr>
            <w:color w:val="1155CC"/>
            <w:u w:val="single"/>
          </w:rPr>
          <w:t>https://doi.org/10.3390/su12114382</w:t>
        </w:r>
      </w:hyperlink>
      <w:r>
        <w:rPr>
          <w:color w:val="222222"/>
        </w:rPr>
        <w:t xml:space="preserve"> </w:t>
      </w:r>
    </w:p>
    <w:p w14:paraId="7043D9B4" w14:textId="77777777" w:rsidR="003510B1" w:rsidRDefault="0048215A">
      <w:pPr>
        <w:pBdr>
          <w:top w:val="nil"/>
          <w:left w:val="nil"/>
          <w:bottom w:val="nil"/>
          <w:right w:val="nil"/>
          <w:between w:val="nil"/>
        </w:pBdr>
        <w:spacing w:before="240" w:after="240" w:line="360" w:lineRule="auto"/>
        <w:jc w:val="both"/>
        <w:rPr>
          <w:color w:val="000000"/>
        </w:rPr>
      </w:pPr>
      <w:r>
        <w:rPr>
          <w:color w:val="333333"/>
        </w:rPr>
        <w:t xml:space="preserve">Van Der </w:t>
      </w:r>
      <w:proofErr w:type="spellStart"/>
      <w:r>
        <w:rPr>
          <w:color w:val="333333"/>
        </w:rPr>
        <w:t>Schaft</w:t>
      </w:r>
      <w:proofErr w:type="spellEnd"/>
      <w:r>
        <w:rPr>
          <w:color w:val="333333"/>
        </w:rPr>
        <w:t xml:space="preserve">, A., </w:t>
      </w:r>
      <w:proofErr w:type="spellStart"/>
      <w:r>
        <w:rPr>
          <w:color w:val="333333"/>
        </w:rPr>
        <w:t>Lub</w:t>
      </w:r>
      <w:proofErr w:type="spellEnd"/>
      <w:r>
        <w:rPr>
          <w:color w:val="333333"/>
        </w:rPr>
        <w:t xml:space="preserve">, X., Van Der Heijden, B. and </w:t>
      </w:r>
      <w:proofErr w:type="spellStart"/>
      <w:r>
        <w:rPr>
          <w:color w:val="333333"/>
        </w:rPr>
        <w:t>Solinger</w:t>
      </w:r>
      <w:proofErr w:type="spellEnd"/>
      <w:r>
        <w:rPr>
          <w:color w:val="333333"/>
        </w:rPr>
        <w:t xml:space="preserve">, O.N., 2020. The influence of social interaction on the dynamics of employees’ psychological contracting in digitally transforming organizations. European Journal of Work and Organizational Psychology, 29(2), pp.164-182. </w:t>
      </w:r>
      <w:r>
        <w:rPr>
          <w:color w:val="000000"/>
        </w:rPr>
        <w:t xml:space="preserve">Available at:  </w:t>
      </w:r>
      <w:hyperlink r:id="rId59">
        <w:r>
          <w:rPr>
            <w:color w:val="1155CC"/>
            <w:u w:val="single"/>
          </w:rPr>
          <w:t>https://doi.org/10.1080/1359432X.2019.1656284</w:t>
        </w:r>
      </w:hyperlink>
      <w:r>
        <w:rPr>
          <w:color w:val="000000"/>
        </w:rPr>
        <w:t xml:space="preserve">  [Accessed 4 March 2023]</w:t>
      </w:r>
    </w:p>
    <w:p w14:paraId="7043D9B5" w14:textId="77777777" w:rsidR="003510B1" w:rsidRDefault="0048215A">
      <w:pPr>
        <w:spacing w:before="240" w:after="240" w:line="360" w:lineRule="auto"/>
        <w:jc w:val="both"/>
        <w:rPr>
          <w:color w:val="222222"/>
        </w:rPr>
      </w:pPr>
      <w:proofErr w:type="spellStart"/>
      <w:r>
        <w:rPr>
          <w:color w:val="222222"/>
        </w:rPr>
        <w:t>Viriato</w:t>
      </w:r>
      <w:proofErr w:type="spellEnd"/>
      <w:r>
        <w:rPr>
          <w:color w:val="222222"/>
        </w:rPr>
        <w:t xml:space="preserve">, J.C., 2019. AI and machine learning in real estate investment. </w:t>
      </w:r>
      <w:r>
        <w:rPr>
          <w:i/>
          <w:color w:val="222222"/>
        </w:rPr>
        <w:t>The Journal of Portfolio Management</w:t>
      </w:r>
      <w:r>
        <w:rPr>
          <w:color w:val="222222"/>
        </w:rPr>
        <w:t xml:space="preserve">, </w:t>
      </w:r>
      <w:r>
        <w:rPr>
          <w:i/>
          <w:color w:val="222222"/>
        </w:rPr>
        <w:t>45</w:t>
      </w:r>
      <w:r>
        <w:rPr>
          <w:color w:val="222222"/>
        </w:rPr>
        <w:t xml:space="preserve">(7), pp.43-54.  </w:t>
      </w:r>
      <w:hyperlink r:id="rId60">
        <w:r>
          <w:rPr>
            <w:color w:val="1155CC"/>
            <w:u w:val="single"/>
          </w:rPr>
          <w:t>https://doi.org/10.3905/jpm.2019.45.7.043</w:t>
        </w:r>
      </w:hyperlink>
      <w:r>
        <w:rPr>
          <w:color w:val="222222"/>
        </w:rPr>
        <w:t xml:space="preserve"> </w:t>
      </w:r>
    </w:p>
    <w:p w14:paraId="7043D9B6" w14:textId="77777777" w:rsidR="003510B1" w:rsidRDefault="003510B1">
      <w:pPr>
        <w:pBdr>
          <w:top w:val="nil"/>
          <w:left w:val="nil"/>
          <w:bottom w:val="nil"/>
          <w:right w:val="nil"/>
          <w:between w:val="nil"/>
        </w:pBdr>
        <w:spacing w:line="360" w:lineRule="auto"/>
        <w:jc w:val="both"/>
        <w:rPr>
          <w:color w:val="222222"/>
          <w:sz w:val="20"/>
          <w:szCs w:val="20"/>
        </w:rPr>
      </w:pPr>
    </w:p>
    <w:p w14:paraId="7043D9B7" w14:textId="77777777" w:rsidR="003510B1" w:rsidRDefault="003510B1">
      <w:pPr>
        <w:pBdr>
          <w:top w:val="nil"/>
          <w:left w:val="nil"/>
          <w:bottom w:val="nil"/>
          <w:right w:val="nil"/>
          <w:between w:val="nil"/>
        </w:pBdr>
        <w:spacing w:line="360" w:lineRule="auto"/>
        <w:jc w:val="both"/>
        <w:rPr>
          <w:color w:val="222222"/>
          <w:sz w:val="20"/>
          <w:szCs w:val="20"/>
        </w:rPr>
      </w:pPr>
    </w:p>
    <w:p w14:paraId="7043D9B8" w14:textId="77777777" w:rsidR="003510B1" w:rsidRDefault="003510B1">
      <w:pPr>
        <w:pBdr>
          <w:top w:val="nil"/>
          <w:left w:val="nil"/>
          <w:bottom w:val="nil"/>
          <w:right w:val="nil"/>
          <w:between w:val="nil"/>
        </w:pBdr>
        <w:spacing w:line="360" w:lineRule="auto"/>
        <w:jc w:val="both"/>
        <w:rPr>
          <w:color w:val="222222"/>
          <w:sz w:val="20"/>
          <w:szCs w:val="20"/>
        </w:rPr>
      </w:pPr>
    </w:p>
    <w:p w14:paraId="7043D9B9" w14:textId="77777777" w:rsidR="003510B1" w:rsidRDefault="003510B1">
      <w:pPr>
        <w:pBdr>
          <w:top w:val="nil"/>
          <w:left w:val="nil"/>
          <w:bottom w:val="nil"/>
          <w:right w:val="nil"/>
          <w:between w:val="nil"/>
        </w:pBdr>
        <w:spacing w:line="360" w:lineRule="auto"/>
        <w:jc w:val="both"/>
        <w:rPr>
          <w:color w:val="222222"/>
          <w:sz w:val="20"/>
          <w:szCs w:val="20"/>
        </w:rPr>
      </w:pPr>
    </w:p>
    <w:p w14:paraId="7043D9BA" w14:textId="77777777" w:rsidR="003510B1" w:rsidRDefault="003510B1">
      <w:pPr>
        <w:pBdr>
          <w:top w:val="nil"/>
          <w:left w:val="nil"/>
          <w:bottom w:val="nil"/>
          <w:right w:val="nil"/>
          <w:between w:val="nil"/>
        </w:pBdr>
        <w:spacing w:line="360" w:lineRule="auto"/>
        <w:jc w:val="both"/>
        <w:rPr>
          <w:color w:val="222222"/>
          <w:sz w:val="20"/>
          <w:szCs w:val="20"/>
        </w:rPr>
      </w:pPr>
    </w:p>
    <w:p w14:paraId="7043D9BB" w14:textId="77777777" w:rsidR="003510B1" w:rsidRDefault="003510B1">
      <w:pPr>
        <w:pBdr>
          <w:top w:val="nil"/>
          <w:left w:val="nil"/>
          <w:bottom w:val="nil"/>
          <w:right w:val="nil"/>
          <w:between w:val="nil"/>
        </w:pBdr>
        <w:spacing w:line="360" w:lineRule="auto"/>
        <w:jc w:val="both"/>
        <w:rPr>
          <w:color w:val="222222"/>
          <w:sz w:val="20"/>
          <w:szCs w:val="20"/>
        </w:rPr>
      </w:pPr>
    </w:p>
    <w:p w14:paraId="7043D9BC" w14:textId="77777777" w:rsidR="003510B1" w:rsidRDefault="003510B1">
      <w:pPr>
        <w:pBdr>
          <w:top w:val="nil"/>
          <w:left w:val="nil"/>
          <w:bottom w:val="nil"/>
          <w:right w:val="nil"/>
          <w:between w:val="nil"/>
        </w:pBdr>
        <w:spacing w:line="360" w:lineRule="auto"/>
        <w:jc w:val="both"/>
        <w:rPr>
          <w:color w:val="222222"/>
          <w:sz w:val="20"/>
          <w:szCs w:val="20"/>
        </w:rPr>
      </w:pPr>
    </w:p>
    <w:p w14:paraId="7043D9BD" w14:textId="77777777" w:rsidR="003510B1" w:rsidRDefault="003510B1">
      <w:pPr>
        <w:pBdr>
          <w:top w:val="nil"/>
          <w:left w:val="nil"/>
          <w:bottom w:val="nil"/>
          <w:right w:val="nil"/>
          <w:between w:val="nil"/>
        </w:pBdr>
        <w:spacing w:line="360" w:lineRule="auto"/>
        <w:jc w:val="both"/>
        <w:rPr>
          <w:color w:val="222222"/>
          <w:sz w:val="20"/>
          <w:szCs w:val="20"/>
        </w:rPr>
      </w:pPr>
    </w:p>
    <w:p w14:paraId="7043D9BE" w14:textId="77777777" w:rsidR="003510B1" w:rsidRDefault="0048215A">
      <w:pPr>
        <w:pBdr>
          <w:top w:val="nil"/>
          <w:left w:val="nil"/>
          <w:bottom w:val="nil"/>
          <w:right w:val="nil"/>
          <w:between w:val="nil"/>
        </w:pBdr>
        <w:spacing w:line="360" w:lineRule="auto"/>
        <w:jc w:val="both"/>
        <w:rPr>
          <w:color w:val="222222"/>
        </w:rPr>
      </w:pPr>
      <w:r>
        <w:rPr>
          <w:color w:val="222222"/>
          <w:sz w:val="20"/>
          <w:szCs w:val="20"/>
        </w:rPr>
        <w:t xml:space="preserve"> </w:t>
      </w:r>
    </w:p>
    <w:sectPr w:rsidR="003510B1">
      <w:footerReference w:type="default" r:id="rId6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C458A" w14:textId="77777777" w:rsidR="00DB1063" w:rsidRDefault="00DB1063">
      <w:pPr>
        <w:spacing w:line="240" w:lineRule="auto"/>
      </w:pPr>
      <w:r>
        <w:separator/>
      </w:r>
    </w:p>
  </w:endnote>
  <w:endnote w:type="continuationSeparator" w:id="0">
    <w:p w14:paraId="24B39C67" w14:textId="77777777" w:rsidR="00DB1063" w:rsidRDefault="00DB10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3D9C9" w14:textId="26EC51FF" w:rsidR="003510B1" w:rsidRDefault="0048215A">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807468">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807468">
      <w:rPr>
        <w:b/>
        <w:noProof/>
        <w:color w:val="000000"/>
        <w:sz w:val="24"/>
        <w:szCs w:val="24"/>
      </w:rPr>
      <w:t>3</w:t>
    </w:r>
    <w:r>
      <w:rPr>
        <w:b/>
        <w:color w:val="000000"/>
        <w:sz w:val="24"/>
        <w:szCs w:val="24"/>
      </w:rPr>
      <w:fldChar w:fldCharType="end"/>
    </w:r>
  </w:p>
  <w:p w14:paraId="7043D9CA" w14:textId="77777777" w:rsidR="003510B1" w:rsidRDefault="003510B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CC177" w14:textId="77777777" w:rsidR="00DB1063" w:rsidRDefault="00DB1063">
      <w:pPr>
        <w:spacing w:line="240" w:lineRule="auto"/>
      </w:pPr>
      <w:r>
        <w:separator/>
      </w:r>
    </w:p>
  </w:footnote>
  <w:footnote w:type="continuationSeparator" w:id="0">
    <w:p w14:paraId="43C0378C" w14:textId="77777777" w:rsidR="00DB1063" w:rsidRDefault="00DB10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D4097"/>
    <w:multiLevelType w:val="multilevel"/>
    <w:tmpl w:val="2D244DBA"/>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75E47B43"/>
    <w:multiLevelType w:val="multilevel"/>
    <w:tmpl w:val="2D240A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75604844">
    <w:abstractNumId w:val="1"/>
  </w:num>
  <w:num w:numId="2" w16cid:durableId="18240850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10B1"/>
    <w:rsid w:val="000129C2"/>
    <w:rsid w:val="00131124"/>
    <w:rsid w:val="00345DB9"/>
    <w:rsid w:val="003510B1"/>
    <w:rsid w:val="003B20C7"/>
    <w:rsid w:val="00470EEB"/>
    <w:rsid w:val="00481101"/>
    <w:rsid w:val="0048215A"/>
    <w:rsid w:val="004B418D"/>
    <w:rsid w:val="005512A7"/>
    <w:rsid w:val="006725F0"/>
    <w:rsid w:val="00807468"/>
    <w:rsid w:val="0093244A"/>
    <w:rsid w:val="00936477"/>
    <w:rsid w:val="00936B2A"/>
    <w:rsid w:val="00BF79DD"/>
    <w:rsid w:val="00DB1063"/>
    <w:rsid w:val="00DB5B4B"/>
    <w:rsid w:val="00F228B3"/>
    <w:rsid w:val="00F729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3D8E9"/>
  <w15:docId w15:val="{CAC7151F-ED37-4743-BD6C-09CF4310D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spacing w:before="400" w:after="120"/>
      <w:outlineLvl w:val="0"/>
    </w:pPr>
    <w:rPr>
      <w:sz w:val="40"/>
      <w:szCs w:val="40"/>
    </w:rPr>
  </w:style>
  <w:style w:type="paragraph" w:styleId="Heading2">
    <w:name w:val="heading 2"/>
    <w:basedOn w:val="Normal1"/>
    <w:next w:val="Normal1"/>
    <w:uiPriority w:val="9"/>
    <w:unhideWhenUsed/>
    <w:qFormat/>
    <w:pPr>
      <w:keepNext/>
      <w:keepLines/>
      <w:spacing w:before="400" w:after="120"/>
      <w:outlineLvl w:val="1"/>
    </w:pPr>
    <w:rPr>
      <w:rFonts w:ascii="Times New Roman" w:eastAsia="Times New Roman" w:hAnsi="Times New Roman" w:cs="Times New Roman"/>
      <w:b/>
      <w:sz w:val="28"/>
      <w:szCs w:val="28"/>
    </w:rPr>
  </w:style>
  <w:style w:type="paragraph" w:styleId="Heading3">
    <w:name w:val="heading 3"/>
    <w:basedOn w:val="Normal1"/>
    <w:next w:val="Normal1"/>
    <w:uiPriority w:val="9"/>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0">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10">
    <w:name w:val="Table Normal_1"/>
    <w:tblPr>
      <w:tblCellMar>
        <w:top w:w="0" w:type="dxa"/>
        <w:left w:w="0" w:type="dxa"/>
        <w:bottom w:w="0" w:type="dxa"/>
        <w:right w:w="0" w:type="dxa"/>
      </w:tblCellMar>
    </w:tblPr>
  </w:style>
  <w:style w:type="paragraph" w:customStyle="1" w:styleId="normal00">
    <w:name w:val="normal_0_0"/>
  </w:style>
  <w:style w:type="table" w:customStyle="1" w:styleId="TableNormal00">
    <w:name w:val="Table Normal_0_0"/>
    <w:tblPr>
      <w:tblCellMar>
        <w:top w:w="0" w:type="dxa"/>
        <w:left w:w="0" w:type="dxa"/>
        <w:bottom w:w="0" w:type="dxa"/>
        <w:right w:w="0" w:type="dxa"/>
      </w:tblCellMar>
    </w:tblPr>
  </w:style>
  <w:style w:type="paragraph" w:customStyle="1" w:styleId="Normal1">
    <w:name w:val="Normal1"/>
  </w:style>
  <w:style w:type="table" w:customStyle="1" w:styleId="TableNormal11">
    <w:name w:val="Table Normal1"/>
    <w:tblPr>
      <w:tblCellMar>
        <w:top w:w="0" w:type="dxa"/>
        <w:left w:w="0" w:type="dxa"/>
        <w:bottom w:w="0" w:type="dxa"/>
        <w:right w:w="0" w:type="dxa"/>
      </w:tblCellMar>
    </w:tblPr>
  </w:style>
  <w:style w:type="paragraph" w:styleId="Header">
    <w:name w:val="header"/>
    <w:basedOn w:val="Normal"/>
    <w:link w:val="HeaderChar"/>
    <w:uiPriority w:val="99"/>
    <w:unhideWhenUsed/>
    <w:rsid w:val="000F67E3"/>
    <w:pPr>
      <w:tabs>
        <w:tab w:val="center" w:pos="4513"/>
        <w:tab w:val="right" w:pos="9026"/>
      </w:tabs>
      <w:spacing w:line="240" w:lineRule="auto"/>
    </w:pPr>
  </w:style>
  <w:style w:type="character" w:customStyle="1" w:styleId="HeaderChar">
    <w:name w:val="Header Char"/>
    <w:basedOn w:val="DefaultParagraphFont"/>
    <w:link w:val="Header"/>
    <w:uiPriority w:val="99"/>
    <w:rsid w:val="000F67E3"/>
  </w:style>
  <w:style w:type="paragraph" w:styleId="Footer">
    <w:name w:val="footer"/>
    <w:basedOn w:val="Normal"/>
    <w:link w:val="FooterChar"/>
    <w:uiPriority w:val="99"/>
    <w:unhideWhenUsed/>
    <w:rsid w:val="000F67E3"/>
    <w:pPr>
      <w:tabs>
        <w:tab w:val="center" w:pos="4513"/>
        <w:tab w:val="right" w:pos="9026"/>
      </w:tabs>
      <w:spacing w:line="240" w:lineRule="auto"/>
    </w:pPr>
  </w:style>
  <w:style w:type="character" w:customStyle="1" w:styleId="FooterChar">
    <w:name w:val="Footer Char"/>
    <w:basedOn w:val="DefaultParagraphFont"/>
    <w:link w:val="Footer"/>
    <w:uiPriority w:val="99"/>
    <w:rsid w:val="000F67E3"/>
  </w:style>
  <w:style w:type="paragraph" w:styleId="TOC1">
    <w:name w:val="toc 1"/>
    <w:basedOn w:val="Normal"/>
    <w:next w:val="Normal"/>
    <w:autoRedefine/>
    <w:uiPriority w:val="39"/>
    <w:unhideWhenUsed/>
    <w:rsid w:val="00E13004"/>
    <w:pPr>
      <w:spacing w:after="100"/>
    </w:pPr>
  </w:style>
  <w:style w:type="paragraph" w:styleId="TOC2">
    <w:name w:val="toc 2"/>
    <w:basedOn w:val="Normal"/>
    <w:next w:val="Normal"/>
    <w:autoRedefine/>
    <w:uiPriority w:val="39"/>
    <w:unhideWhenUsed/>
    <w:rsid w:val="00E13004"/>
    <w:pPr>
      <w:spacing w:after="100"/>
      <w:ind w:left="220"/>
    </w:pPr>
  </w:style>
  <w:style w:type="paragraph" w:styleId="TOC3">
    <w:name w:val="toc 3"/>
    <w:basedOn w:val="Normal"/>
    <w:next w:val="Normal"/>
    <w:autoRedefine/>
    <w:uiPriority w:val="39"/>
    <w:unhideWhenUsed/>
    <w:rsid w:val="00E13004"/>
    <w:pPr>
      <w:spacing w:after="100"/>
      <w:ind w:left="440"/>
    </w:pPr>
  </w:style>
  <w:style w:type="character" w:styleId="Hyperlink">
    <w:name w:val="Hyperlink"/>
    <w:basedOn w:val="DefaultParagraphFont"/>
    <w:uiPriority w:val="99"/>
    <w:unhideWhenUsed/>
    <w:rsid w:val="00E13004"/>
    <w:rPr>
      <w:color w:val="0000FF" w:themeColor="hyperlink"/>
      <w:u w:val="single"/>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016/j.jbusres.2020.08.018" TargetMode="External"/><Relationship Id="rId18" Type="http://schemas.openxmlformats.org/officeDocument/2006/relationships/hyperlink" Target="https://doi.org/10.1108/GM-07-2020-0224" TargetMode="External"/><Relationship Id="rId26" Type="http://schemas.openxmlformats.org/officeDocument/2006/relationships/hyperlink" Target="https://doi.org/10.3390/jrfm14070309" TargetMode="External"/><Relationship Id="rId39" Type="http://schemas.openxmlformats.org/officeDocument/2006/relationships/hyperlink" Target="https://doi.org/10.1080/13668803.2019.1616532" TargetMode="External"/><Relationship Id="rId21" Type="http://schemas.openxmlformats.org/officeDocument/2006/relationships/hyperlink" Target="https://www.econstor.eu/bitstream/10419/216561/1/cesifo1_wp8165.pdf" TargetMode="External"/><Relationship Id="rId34" Type="http://schemas.openxmlformats.org/officeDocument/2006/relationships/hyperlink" Target="https://doi.org/10.1017/jmo.2021.15" TargetMode="External"/><Relationship Id="rId42" Type="http://schemas.openxmlformats.org/officeDocument/2006/relationships/hyperlink" Target="https://doi.org/10.5559/di.28.1.05" TargetMode="External"/><Relationship Id="rId47" Type="http://schemas.openxmlformats.org/officeDocument/2006/relationships/hyperlink" Target="https://doi.org/10.1007/s11115-018-0407-9" TargetMode="External"/><Relationship Id="rId50" Type="http://schemas.openxmlformats.org/officeDocument/2006/relationships/hyperlink" Target="https://bibliotekanauki.pl/articles/202766.pdf" TargetMode="External"/><Relationship Id="rId55" Type="http://schemas.openxmlformats.org/officeDocument/2006/relationships/hyperlink" Target="https://www.statista.com/statistics/1122987/change-in-remote-work-trends-after-covid-in-usa/"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991/ijim.v15i05.20203" TargetMode="External"/><Relationship Id="rId29" Type="http://schemas.openxmlformats.org/officeDocument/2006/relationships/hyperlink" Target="https://doi.org/10.3390/urbansci5010023" TargetMode="External"/><Relationship Id="rId11" Type="http://schemas.openxmlformats.org/officeDocument/2006/relationships/image" Target="media/image4.png"/><Relationship Id="rId24" Type="http://schemas.openxmlformats.org/officeDocument/2006/relationships/hyperlink" Target="https://doi.org/10.1177/21582440211027964" TargetMode="External"/><Relationship Id="rId32" Type="http://schemas.openxmlformats.org/officeDocument/2006/relationships/hyperlink" Target="https://doi.org/10.1177/2397002220952734" TargetMode="External"/><Relationship Id="rId37" Type="http://schemas.openxmlformats.org/officeDocument/2006/relationships/hyperlink" Target="https://doi.org/10.22364/bjmc.2021.9.2.05" TargetMode="External"/><Relationship Id="rId40" Type="http://schemas.openxmlformats.org/officeDocument/2006/relationships/hyperlink" Target="https://doi.org/10.3390/su13137420" TargetMode="External"/><Relationship Id="rId45" Type="http://schemas.openxmlformats.org/officeDocument/2006/relationships/hyperlink" Target="https://doi.org/10.3390/jrfm15030139" TargetMode="External"/><Relationship Id="rId53" Type="http://schemas.openxmlformats.org/officeDocument/2006/relationships/hyperlink" Target="https://doi.org/10.1177/1758835920973567" TargetMode="External"/><Relationship Id="rId58" Type="http://schemas.openxmlformats.org/officeDocument/2006/relationships/hyperlink" Target="https://doi.org/10.3390/su12114382"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dx.doi.org/10.1108/GM-07-2020-0224" TargetMode="External"/><Relationship Id="rId14" Type="http://schemas.openxmlformats.org/officeDocument/2006/relationships/hyperlink" Target="https://doi.org/10.4102/sajhrm.v17i0.1039" TargetMode="External"/><Relationship Id="rId22" Type="http://schemas.openxmlformats.org/officeDocument/2006/relationships/hyperlink" Target="https://doi.org/10.1111/ntwe.12146" TargetMode="External"/><Relationship Id="rId27" Type="http://schemas.openxmlformats.org/officeDocument/2006/relationships/hyperlink" Target="https://doi.org/10.3390/su12156086" TargetMode="External"/><Relationship Id="rId30" Type="http://schemas.openxmlformats.org/officeDocument/2006/relationships/hyperlink" Target="https://doi.org/10.1108/IJPPM-03-2017-0061" TargetMode="External"/><Relationship Id="rId35" Type="http://schemas.openxmlformats.org/officeDocument/2006/relationships/hyperlink" Target="http://dx.doi.org/10.1017/jmo.2021.15" TargetMode="External"/><Relationship Id="rId43" Type="http://schemas.openxmlformats.org/officeDocument/2006/relationships/hyperlink" Target="https://doi.org/10.1177/0972262920980878" TargetMode="External"/><Relationship Id="rId48" Type="http://schemas.openxmlformats.org/officeDocument/2006/relationships/hyperlink" Target="https://doi.org/10.1177/21582440211006124" TargetMode="External"/><Relationship Id="rId56" Type="http://schemas.openxmlformats.org/officeDocument/2006/relationships/hyperlink" Target="https://www.statista.com/chart/27260/is-9-to-5-working-in-2022/" TargetMode="External"/><Relationship Id="rId8" Type="http://schemas.openxmlformats.org/officeDocument/2006/relationships/image" Target="media/image1.png"/><Relationship Id="rId51" Type="http://schemas.openxmlformats.org/officeDocument/2006/relationships/hyperlink" Target="https://doi.org/10.1108/MD-07-2017-066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16/j.emj.2019.06.007" TargetMode="External"/><Relationship Id="rId25" Type="http://schemas.openxmlformats.org/officeDocument/2006/relationships/hyperlink" Target="https://doi.org/10.1086/702171" TargetMode="External"/><Relationship Id="rId33" Type="http://schemas.openxmlformats.org/officeDocument/2006/relationships/hyperlink" Target="https://doi.org/10.1016/j.jclepro.2018.10.091" TargetMode="External"/><Relationship Id="rId38" Type="http://schemas.openxmlformats.org/officeDocument/2006/relationships/hyperlink" Target="https://www.jll.co.uk/" TargetMode="External"/><Relationship Id="rId46" Type="http://schemas.openxmlformats.org/officeDocument/2006/relationships/hyperlink" Target="https://doi.org/10.1177/2040620720958538" TargetMode="External"/><Relationship Id="rId59" Type="http://schemas.openxmlformats.org/officeDocument/2006/relationships/hyperlink" Target="https://doi.org/10.1080/1359432X.2019.1656284" TargetMode="External"/><Relationship Id="rId20" Type="http://schemas.openxmlformats.org/officeDocument/2006/relationships/hyperlink" Target="http://dx.doi.org/10.1108/GM-07-2020-0224" TargetMode="External"/><Relationship Id="rId41" Type="http://schemas.openxmlformats.org/officeDocument/2006/relationships/hyperlink" Target="https://doi.org/10.1177/16094069221105075" TargetMode="External"/><Relationship Id="rId54" Type="http://schemas.openxmlformats.org/officeDocument/2006/relationships/hyperlink" Target="https://doi.org/10.1177/0008125619841006"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257/jep.33.2.3" TargetMode="External"/><Relationship Id="rId23" Type="http://schemas.openxmlformats.org/officeDocument/2006/relationships/hyperlink" Target="https://doi.org/10.1177/1523422320973957" TargetMode="External"/><Relationship Id="rId28" Type="http://schemas.openxmlformats.org/officeDocument/2006/relationships/hyperlink" Target="https://doi.org/10.3390/su12156086" TargetMode="External"/><Relationship Id="rId36" Type="http://schemas.openxmlformats.org/officeDocument/2006/relationships/hyperlink" Target="https://doi.org/10.1177/0019793918768791" TargetMode="External"/><Relationship Id="rId49" Type="http://schemas.openxmlformats.org/officeDocument/2006/relationships/hyperlink" Target="https://doi.org/10.1108/EDI-01-2019-0014" TargetMode="External"/><Relationship Id="rId57" Type="http://schemas.openxmlformats.org/officeDocument/2006/relationships/hyperlink" Target="http://dx.doi.org/10.1080/13876988.2017.1353745" TargetMode="External"/><Relationship Id="rId10" Type="http://schemas.openxmlformats.org/officeDocument/2006/relationships/image" Target="media/image3.png"/><Relationship Id="rId31" Type="http://schemas.openxmlformats.org/officeDocument/2006/relationships/hyperlink" Target="https://doi.org/10.1108/PR-12-2019-0688" TargetMode="External"/><Relationship Id="rId44" Type="http://schemas.openxmlformats.org/officeDocument/2006/relationships/hyperlink" Target="https://doi.org/10.1108/JOEPP-06-2020-0104" TargetMode="External"/><Relationship Id="rId52" Type="http://schemas.openxmlformats.org/officeDocument/2006/relationships/hyperlink" Target="https://www.statista.com/statistics/699977/global-employee-engagement/" TargetMode="External"/><Relationship Id="rId60" Type="http://schemas.openxmlformats.org/officeDocument/2006/relationships/hyperlink" Target="https://doi.org/10.3905/jpm.2019.45.7.043"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H9phwePKu4a8tfCYf3I8v9Eaq0Q==">AMUW2mWZMqwvIFUJBpH2Hw/RMXEVsS4eFKyRyLo6zbqdw5am0DvO5zL8JBYCR3/XmorIQfEs772O7RlndPK8Jc11g+D3xw6Nzln0stPVvK7DHO8UbVV6mhLgWZO9bMzYJLDzX/UY9AmtvTyn07vnzIj8uByuyc5X2X6XRbkSG50AV+H3/mMslIhM6L2aAuutBsP83vIe7o+JfK1dbscxhp/9AvSikaZj9vIyPfqPKQ6zFzrpUrHAkY9HIsapQ7Gs2SCVy9OU3zYFMKYKQuY9vZdehaPyTTIaerKfkDYZCM7xaE88HrUs/K/fNbRaVpt3AKNfm8EL4jLb</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25</Pages>
  <Words>7751</Words>
  <Characters>44187</Characters>
  <Application>Microsoft Office Word</Application>
  <DocSecurity>0</DocSecurity>
  <Lines>368</Lines>
  <Paragraphs>103</Paragraphs>
  <ScaleCrop>false</ScaleCrop>
  <Company/>
  <LinksUpToDate>false</LinksUpToDate>
  <CharactersWithSpaces>51835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ARJUN MURALEEDHARAN</dc:creator>
  <cp:lastModifiedBy>Arjun Muraleedharan (2214620)</cp:lastModifiedBy>
  <cp:revision>15</cp:revision>
  <dcterms:created xsi:type="dcterms:W3CDTF">2023-03-31T09:06:00Z</dcterms:created>
  <dcterms:modified xsi:type="dcterms:W3CDTF">2023-03-31T11:06:00Z</dcterms:modified>
</cp:coreProperties>
</file>