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drawing>
          <wp:anchor allowOverlap="1" behindDoc="0" distB="0" distT="0" distL="114300" distR="114300" hidden="0" layoutInCell="1" locked="0" relativeHeight="0" simplePos="0">
            <wp:simplePos x="0" y="0"/>
            <wp:positionH relativeFrom="margin">
              <wp:posOffset>-400049</wp:posOffset>
            </wp:positionH>
            <wp:positionV relativeFrom="margin">
              <wp:posOffset>-809624</wp:posOffset>
            </wp:positionV>
            <wp:extent cx="1460500" cy="621030"/>
            <wp:effectExtent b="0" l="0" r="0" t="0"/>
            <wp:wrapSquare wrapText="bothSides" distB="0" distT="0" distL="114300" distR="114300"/>
            <wp:docPr id="84943947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460500" cy="621030"/>
                    </a:xfrm>
                    <a:prstGeom prst="rect"/>
                    <a:ln/>
                  </pic:spPr>
                </pic:pic>
              </a:graphicData>
            </a:graphic>
          </wp:anchor>
        </w:drawing>
      </w: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bl>
      <w:tblPr>
        <w:tblStyle w:val="Table1"/>
        <w:tblpPr w:leftFromText="180" w:rightFromText="180" w:topFromText="0" w:bottomFromText="0" w:vertAnchor="page" w:horzAnchor="margin" w:tblpXSpec="center" w:tblpY="1140"/>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27"/>
        <w:gridCol w:w="7123"/>
        <w:tblGridChange w:id="0">
          <w:tblGrid>
            <w:gridCol w:w="2227"/>
            <w:gridCol w:w="7123"/>
          </w:tblGrid>
        </w:tblGridChange>
      </w:tblGrid>
      <w:tr>
        <w:trPr>
          <w:cantSplit w:val="0"/>
          <w:tblHeader w:val="0"/>
        </w:trPr>
        <w:tc>
          <w:tcPr/>
          <w:p w:rsidR="00000000" w:rsidDel="00000000" w:rsidP="00000000" w:rsidRDefault="00000000" w:rsidRPr="00000000" w14:paraId="00000003">
            <w:pPr>
              <w:spacing w:line="360" w:lineRule="auto"/>
              <w:rPr>
                <w:b w:val="1"/>
              </w:rPr>
            </w:pPr>
            <w:r w:rsidDel="00000000" w:rsidR="00000000" w:rsidRPr="00000000">
              <w:rPr>
                <w:b w:val="1"/>
                <w:rtl w:val="0"/>
              </w:rPr>
              <w:t xml:space="preserve">Programme</w:t>
            </w:r>
          </w:p>
        </w:tc>
        <w:tc>
          <w:tcPr/>
          <w:p w:rsidR="00000000" w:rsidDel="00000000" w:rsidP="00000000" w:rsidRDefault="00000000" w:rsidRPr="00000000" w14:paraId="00000004">
            <w:pPr>
              <w:spacing w:line="360" w:lineRule="auto"/>
              <w:rPr/>
            </w:pPr>
            <w:r w:rsidDel="00000000" w:rsidR="00000000" w:rsidRPr="00000000">
              <w:rPr>
                <w:rtl w:val="0"/>
              </w:rPr>
              <w:t xml:space="preserve">BSc (Hons) Health and Social Care</w:t>
            </w:r>
          </w:p>
        </w:tc>
      </w:tr>
      <w:tr>
        <w:trPr>
          <w:cantSplit w:val="0"/>
          <w:tblHeader w:val="0"/>
        </w:trPr>
        <w:tc>
          <w:tcPr/>
          <w:p w:rsidR="00000000" w:rsidDel="00000000" w:rsidP="00000000" w:rsidRDefault="00000000" w:rsidRPr="00000000" w14:paraId="00000005">
            <w:pPr>
              <w:spacing w:line="360" w:lineRule="auto"/>
              <w:rPr>
                <w:b w:val="1"/>
              </w:rPr>
            </w:pPr>
            <w:r w:rsidDel="00000000" w:rsidR="00000000" w:rsidRPr="00000000">
              <w:rPr>
                <w:b w:val="1"/>
                <w:rtl w:val="0"/>
              </w:rPr>
              <w:t xml:space="preserve">Student ID</w:t>
            </w:r>
          </w:p>
        </w:tc>
        <w:tc>
          <w:tcPr/>
          <w:p w:rsidR="00000000" w:rsidDel="00000000" w:rsidP="00000000" w:rsidRDefault="00000000" w:rsidRPr="00000000" w14:paraId="00000006">
            <w:pPr>
              <w:spacing w:line="360" w:lineRule="auto"/>
              <w:rPr/>
            </w:pPr>
            <w:r w:rsidDel="00000000" w:rsidR="00000000" w:rsidRPr="00000000">
              <w:rPr>
                <w:rtl w:val="0"/>
              </w:rPr>
              <w:t xml:space="preserve">2316030</w:t>
            </w:r>
          </w:p>
        </w:tc>
      </w:tr>
      <w:tr>
        <w:trPr>
          <w:cantSplit w:val="0"/>
          <w:tblHeader w:val="0"/>
        </w:trPr>
        <w:tc>
          <w:tcPr/>
          <w:p w:rsidR="00000000" w:rsidDel="00000000" w:rsidP="00000000" w:rsidRDefault="00000000" w:rsidRPr="00000000" w14:paraId="00000007">
            <w:pPr>
              <w:spacing w:line="360" w:lineRule="auto"/>
              <w:rPr>
                <w:b w:val="1"/>
              </w:rPr>
            </w:pPr>
            <w:r w:rsidDel="00000000" w:rsidR="00000000" w:rsidRPr="00000000">
              <w:rPr>
                <w:b w:val="1"/>
                <w:rtl w:val="0"/>
              </w:rPr>
              <w:t xml:space="preserve">Module</w:t>
            </w:r>
          </w:p>
        </w:tc>
        <w:tc>
          <w:tcPr/>
          <w:p w:rsidR="00000000" w:rsidDel="00000000" w:rsidP="00000000" w:rsidRDefault="00000000" w:rsidRPr="00000000" w14:paraId="00000008">
            <w:pPr>
              <w:spacing w:line="360" w:lineRule="auto"/>
              <w:rPr/>
            </w:pPr>
            <w:r w:rsidDel="00000000" w:rsidR="00000000" w:rsidRPr="00000000">
              <w:rPr>
                <w:rtl w:val="0"/>
              </w:rPr>
              <w:t xml:space="preserve">Psychological Classifications and Provisions</w:t>
            </w:r>
          </w:p>
        </w:tc>
      </w:tr>
      <w:tr>
        <w:trPr>
          <w:cantSplit w:val="0"/>
          <w:tblHeader w:val="0"/>
        </w:trPr>
        <w:tc>
          <w:tcPr/>
          <w:p w:rsidR="00000000" w:rsidDel="00000000" w:rsidP="00000000" w:rsidRDefault="00000000" w:rsidRPr="00000000" w14:paraId="00000009">
            <w:pPr>
              <w:spacing w:line="360" w:lineRule="auto"/>
              <w:rPr>
                <w:b w:val="1"/>
              </w:rPr>
            </w:pPr>
            <w:r w:rsidDel="00000000" w:rsidR="00000000" w:rsidRPr="00000000">
              <w:rPr>
                <w:b w:val="1"/>
                <w:rtl w:val="0"/>
              </w:rPr>
              <w:t xml:space="preserve">Module Code</w:t>
            </w:r>
          </w:p>
        </w:tc>
        <w:tc>
          <w:tcPr/>
          <w:p w:rsidR="00000000" w:rsidDel="00000000" w:rsidP="00000000" w:rsidRDefault="00000000" w:rsidRPr="00000000" w14:paraId="0000000A">
            <w:pPr>
              <w:spacing w:line="360" w:lineRule="auto"/>
              <w:rPr/>
            </w:pPr>
            <w:r w:rsidDel="00000000" w:rsidR="00000000" w:rsidRPr="00000000">
              <w:rPr>
                <w:rtl w:val="0"/>
              </w:rPr>
              <w:t xml:space="preserve">BMHP6029 </w:t>
            </w:r>
          </w:p>
        </w:tc>
      </w:tr>
      <w:tr>
        <w:trPr>
          <w:cantSplit w:val="0"/>
          <w:tblHeader w:val="0"/>
        </w:trPr>
        <w:tc>
          <w:tcPr/>
          <w:p w:rsidR="00000000" w:rsidDel="00000000" w:rsidP="00000000" w:rsidRDefault="00000000" w:rsidRPr="00000000" w14:paraId="0000000B">
            <w:pPr>
              <w:spacing w:line="360" w:lineRule="auto"/>
              <w:rPr>
                <w:b w:val="1"/>
              </w:rPr>
            </w:pPr>
            <w:r w:rsidDel="00000000" w:rsidR="00000000" w:rsidRPr="00000000">
              <w:rPr>
                <w:b w:val="1"/>
                <w:rtl w:val="0"/>
              </w:rPr>
              <w:t xml:space="preserve">Lecturer</w:t>
            </w:r>
          </w:p>
        </w:tc>
        <w:tc>
          <w:tcPr/>
          <w:p w:rsidR="00000000" w:rsidDel="00000000" w:rsidP="00000000" w:rsidRDefault="00000000" w:rsidRPr="00000000" w14:paraId="0000000C">
            <w:pPr>
              <w:spacing w:line="360" w:lineRule="auto"/>
              <w:rPr>
                <w:sz w:val="24"/>
                <w:szCs w:val="24"/>
              </w:rPr>
            </w:pPr>
            <w:r w:rsidDel="00000000" w:rsidR="00000000" w:rsidRPr="00000000">
              <w:rPr>
                <w:sz w:val="24"/>
                <w:szCs w:val="24"/>
                <w:highlight w:val="white"/>
                <w:rtl w:val="0"/>
              </w:rPr>
              <w:t xml:space="preserve">Kennedy Obohwemu</w:t>
            </w:r>
            <w:r w:rsidDel="00000000" w:rsidR="00000000" w:rsidRPr="00000000">
              <w:rPr>
                <w:rtl w:val="0"/>
              </w:rPr>
            </w:r>
          </w:p>
        </w:tc>
      </w:tr>
      <w:tr>
        <w:trPr>
          <w:cantSplit w:val="0"/>
          <w:tblHeader w:val="0"/>
        </w:trPr>
        <w:tc>
          <w:tcPr/>
          <w:p w:rsidR="00000000" w:rsidDel="00000000" w:rsidP="00000000" w:rsidRDefault="00000000" w:rsidRPr="00000000" w14:paraId="0000000D">
            <w:pPr>
              <w:spacing w:line="360" w:lineRule="auto"/>
              <w:rPr>
                <w:b w:val="1"/>
              </w:rPr>
            </w:pPr>
            <w:r w:rsidDel="00000000" w:rsidR="00000000" w:rsidRPr="00000000">
              <w:rPr>
                <w:b w:val="1"/>
                <w:rtl w:val="0"/>
              </w:rPr>
              <w:t xml:space="preserve">Internal Verifier</w:t>
            </w:r>
          </w:p>
        </w:tc>
        <w:tc>
          <w:tcPr/>
          <w:p w:rsidR="00000000" w:rsidDel="00000000" w:rsidP="00000000" w:rsidRDefault="00000000" w:rsidRPr="00000000" w14:paraId="0000000E">
            <w:pPr>
              <w:spacing w:line="360" w:lineRule="auto"/>
              <w:rPr/>
            </w:pPr>
            <w:r w:rsidDel="00000000" w:rsidR="00000000" w:rsidRPr="00000000">
              <w:rPr>
                <w:rtl w:val="0"/>
              </w:rPr>
              <w:t xml:space="preserve">Dr Eleni Koutsogeorgou-Andreou</w:t>
            </w:r>
          </w:p>
        </w:tc>
      </w:tr>
      <w:tr>
        <w:trPr>
          <w:cantSplit w:val="0"/>
          <w:tblHeader w:val="0"/>
        </w:trPr>
        <w:tc>
          <w:tcPr/>
          <w:p w:rsidR="00000000" w:rsidDel="00000000" w:rsidP="00000000" w:rsidRDefault="00000000" w:rsidRPr="00000000" w14:paraId="0000000F">
            <w:pPr>
              <w:spacing w:line="360" w:lineRule="auto"/>
              <w:rPr>
                <w:b w:val="1"/>
              </w:rPr>
            </w:pPr>
            <w:r w:rsidDel="00000000" w:rsidR="00000000" w:rsidRPr="00000000">
              <w:rPr>
                <w:b w:val="1"/>
                <w:rtl w:val="0"/>
              </w:rPr>
              <w:t xml:space="preserve">Assignment Title</w:t>
            </w:r>
          </w:p>
        </w:tc>
        <w:tc>
          <w:tcPr/>
          <w:p w:rsidR="00000000" w:rsidDel="00000000" w:rsidP="00000000" w:rsidRDefault="00000000" w:rsidRPr="00000000" w14:paraId="00000010">
            <w:pPr>
              <w:spacing w:line="360" w:lineRule="auto"/>
              <w:rPr/>
            </w:pPr>
            <w:r w:rsidDel="00000000" w:rsidR="00000000" w:rsidRPr="00000000">
              <w:rPr>
                <w:rtl w:val="0"/>
              </w:rPr>
              <w:t xml:space="preserve">Component 2: Written Assignment (Report)</w:t>
            </w:r>
          </w:p>
        </w:tc>
      </w:tr>
    </w:tbl>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br w:type="page"/>
      </w:r>
      <w:r w:rsidDel="00000000" w:rsidR="00000000" w:rsidRPr="00000000">
        <w:rPr>
          <w:rtl w:val="0"/>
        </w:rPr>
      </w:r>
    </w:p>
    <w:p w:rsidR="00000000" w:rsidDel="00000000" w:rsidP="00000000" w:rsidRDefault="00000000" w:rsidRPr="00000000" w14:paraId="00000013">
      <w:pPr>
        <w:spacing w:line="360" w:lineRule="auto"/>
        <w:jc w:val="center"/>
        <w:rPr>
          <w:b w:val="1"/>
          <w:sz w:val="36"/>
          <w:szCs w:val="36"/>
        </w:rPr>
      </w:pPr>
      <w:r w:rsidDel="00000000" w:rsidR="00000000" w:rsidRPr="00000000">
        <w:rPr>
          <w:rtl w:val="0"/>
        </w:rPr>
      </w:r>
    </w:p>
    <w:p w:rsidR="00000000" w:rsidDel="00000000" w:rsidP="00000000" w:rsidRDefault="00000000" w:rsidRPr="00000000" w14:paraId="00000014">
      <w:pPr>
        <w:spacing w:line="360" w:lineRule="auto"/>
        <w:jc w:val="center"/>
        <w:rPr>
          <w:b w:val="1"/>
          <w:sz w:val="36"/>
          <w:szCs w:val="36"/>
        </w:rPr>
      </w:pPr>
      <w:r w:rsidDel="00000000" w:rsidR="00000000" w:rsidRPr="00000000">
        <w:rPr>
          <w:rtl w:val="0"/>
        </w:rPr>
      </w:r>
    </w:p>
    <w:p w:rsidR="00000000" w:rsidDel="00000000" w:rsidP="00000000" w:rsidRDefault="00000000" w:rsidRPr="00000000" w14:paraId="00000015">
      <w:pPr>
        <w:spacing w:line="360" w:lineRule="auto"/>
        <w:jc w:val="center"/>
        <w:rPr>
          <w:b w:val="1"/>
          <w:sz w:val="36"/>
          <w:szCs w:val="36"/>
        </w:rPr>
      </w:pPr>
      <w:r w:rsidDel="00000000" w:rsidR="00000000" w:rsidRPr="00000000">
        <w:rPr>
          <w:b w:val="1"/>
          <w:sz w:val="36"/>
          <w:szCs w:val="36"/>
          <w:rtl w:val="0"/>
        </w:rPr>
        <w:t xml:space="preserve">A Critical Examination of ICD-11 Code 6A80: Symptomatic and Course Presentations for Mood Episodes in Mood Disorders</w:t>
      </w:r>
    </w:p>
    <w:p w:rsidR="00000000" w:rsidDel="00000000" w:rsidP="00000000" w:rsidRDefault="00000000" w:rsidRPr="00000000" w14:paraId="00000016">
      <w:pPr>
        <w:rPr>
          <w:b w:val="1"/>
          <w:sz w:val="36"/>
          <w:szCs w:val="36"/>
        </w:rPr>
      </w:pPr>
      <w:r w:rsidDel="00000000" w:rsidR="00000000" w:rsidRPr="00000000">
        <w:br w:type="page"/>
      </w:r>
      <w:r w:rsidDel="00000000" w:rsidR="00000000" w:rsidRPr="00000000">
        <w:rPr>
          <w:rtl w:val="0"/>
        </w:rPr>
      </w:r>
    </w:p>
    <w:p w:rsidR="00000000" w:rsidDel="00000000" w:rsidP="00000000" w:rsidRDefault="00000000" w:rsidRPr="00000000" w14:paraId="00000017">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center"/>
        <w:rPr>
          <w:rFonts w:ascii="Arial" w:cs="Arial" w:eastAsia="Arial" w:hAnsi="Arial"/>
          <w:b w:val="1"/>
          <w:i w:val="0"/>
          <w:smallCaps w:val="0"/>
          <w:strike w:val="0"/>
          <w:color w:val="000000"/>
          <w:sz w:val="32"/>
          <w:szCs w:val="32"/>
          <w:u w:val="none"/>
          <w:shd w:fill="auto" w:val="clear"/>
          <w:vertAlign w:val="baseline"/>
        </w:rPr>
      </w:pPr>
      <w:r w:rsidDel="00000000" w:rsidR="00000000" w:rsidRPr="00000000">
        <w:rPr>
          <w:rFonts w:ascii="Arial" w:cs="Arial" w:eastAsia="Arial" w:hAnsi="Arial"/>
          <w:b w:val="1"/>
          <w:i w:val="0"/>
          <w:smallCaps w:val="0"/>
          <w:strike w:val="0"/>
          <w:color w:val="000000"/>
          <w:sz w:val="32"/>
          <w:szCs w:val="32"/>
          <w:u w:val="none"/>
          <w:shd w:fill="auto" w:val="clear"/>
          <w:vertAlign w:val="baseline"/>
          <w:rtl w:val="0"/>
        </w:rPr>
        <w:t xml:space="preserve">Table of Contents</w:t>
      </w:r>
    </w:p>
    <w:sdt>
      <w:sdtPr>
        <w:id w:val="296328191"/>
        <w:docPartObj>
          <w:docPartGallery w:val="Table of Contents"/>
          <w:docPartUnique w:val="1"/>
        </w:docPartObj>
      </w:sdtPr>
      <w:sdtContent>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80"/>
              <w:tab w:val="right" w:leader="dot" w:pos="9350"/>
            </w:tabs>
            <w:spacing w:after="100" w:before="0" w:line="278.0000000000000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mla8pwh15ay">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1.</w:t>
            </w:r>
          </w:hyperlink>
          <w:hyperlink w:anchor="_heading=h.mla8pwh15ay">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_heading=h.mla8pwh15ay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Introduction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 xml:space="preserve">1</w:t>
          </w:r>
          <w:r w:rsidDel="00000000" w:rsidR="00000000" w:rsidRPr="00000000">
            <w:fldChar w:fldCharType="end"/>
          </w: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80"/>
              <w:tab w:val="right" w:leader="dot" w:pos="9350"/>
            </w:tabs>
            <w:spacing w:after="100" w:before="0" w:line="278.0000000000000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heading=h.jx26nxxrzham">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2.</w:t>
            </w:r>
          </w:hyperlink>
          <w:hyperlink w:anchor="_heading=h.jx26nxxrzham">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_heading=h.jx26nxxrzham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Classification and Diagnosis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 xml:space="preserve">1</w:t>
          </w:r>
          <w:r w:rsidDel="00000000" w:rsidR="00000000" w:rsidRPr="00000000">
            <w:fldChar w:fldCharType="end"/>
          </w: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80"/>
              <w:tab w:val="right" w:leader="dot" w:pos="9350"/>
            </w:tabs>
            <w:spacing w:after="100" w:before="0" w:line="278.0000000000000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heading=h.nwa7uhfd98x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3.</w:t>
            </w:r>
          </w:hyperlink>
          <w:hyperlink w:anchor="_heading=h.nwa7uhfd98x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_heading=h.nwa7uhfd98xr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Treatment and Rehabilitation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80"/>
              <w:tab w:val="right" w:leader="dot" w:pos="9350"/>
            </w:tabs>
            <w:spacing w:after="100" w:before="0" w:line="278.0000000000000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heading=h.nzbxoc3bac3h">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4.</w:t>
            </w:r>
          </w:hyperlink>
          <w:hyperlink w:anchor="_heading=h.nzbxoc3bac3h">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_heading=h.nzbxoc3bac3h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Current Debates and Emerging Issues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80"/>
              <w:tab w:val="right" w:leader="dot" w:pos="9350"/>
            </w:tabs>
            <w:spacing w:after="100" w:before="0" w:line="278.0000000000000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heading=h.ohsj7rx3w4qz">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5.</w:t>
            </w:r>
          </w:hyperlink>
          <w:hyperlink w:anchor="_heading=h.ohsj7rx3w4qz">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_heading=h.ohsj7rx3w4qz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Recommendations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80"/>
              <w:tab w:val="right" w:leader="dot" w:pos="9350"/>
            </w:tabs>
            <w:spacing w:after="100" w:before="0" w:line="278.0000000000000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heading=h.2l5zy85zju6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6.</w:t>
            </w:r>
          </w:hyperlink>
          <w:hyperlink w:anchor="_heading=h.2l5zy85zju6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ab/>
            </w:r>
          </w:hyperlink>
          <w:r w:rsidDel="00000000" w:rsidR="00000000" w:rsidRPr="00000000">
            <w:fldChar w:fldCharType="begin"/>
            <w:instrText xml:space="preserve"> PAGEREF _heading=h.2l5zy85zju6r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Conclusion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8.0000000000000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heading=h.bjn25jpowyy8">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References</w:t>
            </w:r>
          </w:hyperlink>
          <w:hyperlink w:anchor="_heading=h.bjn25jpowyy8">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 xml:space="preserve">6</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78.00000000000006"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hyperlink w:anchor="_heading=h.t0dgicrbkdhg">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Appendix</w:t>
            </w:r>
          </w:hyperlink>
          <w:hyperlink w:anchor="_heading=h.t0dgicrbkdhg">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t xml:space="preserve">9</w:t>
            </w:r>
          </w:hyperlink>
          <w:r w:rsidDel="00000000" w:rsidR="00000000" w:rsidRPr="00000000">
            <w:rPr>
              <w:rtl w:val="0"/>
            </w:rPr>
          </w:r>
        </w:p>
        <w:p w:rsidR="00000000" w:rsidDel="00000000" w:rsidP="00000000" w:rsidRDefault="00000000" w:rsidRPr="00000000" w14:paraId="00000020">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1">
      <w:pPr>
        <w:spacing w:line="360" w:lineRule="auto"/>
        <w:jc w:val="center"/>
        <w:rPr>
          <w:b w:val="1"/>
          <w:sz w:val="36"/>
          <w:szCs w:val="36"/>
        </w:rPr>
      </w:pPr>
      <w:r w:rsidDel="00000000" w:rsidR="00000000" w:rsidRPr="00000000">
        <w:rPr>
          <w:rtl w:val="0"/>
        </w:rPr>
      </w:r>
    </w:p>
    <w:p w:rsidR="00000000" w:rsidDel="00000000" w:rsidP="00000000" w:rsidRDefault="00000000" w:rsidRPr="00000000" w14:paraId="00000022">
      <w:pPr>
        <w:rPr/>
        <w:sectPr>
          <w:pgSz w:h="15840" w:w="12240" w:orient="portrait"/>
          <w:pgMar w:bottom="1440" w:top="1440" w:left="1440" w:right="1440" w:header="720" w:footer="720"/>
          <w:pgNumType w:start="1"/>
        </w:sectPr>
      </w:pPr>
      <w:r w:rsidDel="00000000" w:rsidR="00000000" w:rsidRPr="00000000">
        <w:br w:type="page"/>
      </w:r>
      <w:r w:rsidDel="00000000" w:rsidR="00000000" w:rsidRPr="00000000">
        <w:rPr>
          <w:rtl w:val="0"/>
        </w:rPr>
      </w:r>
    </w:p>
    <w:p w:rsidR="00000000" w:rsidDel="00000000" w:rsidP="00000000" w:rsidRDefault="00000000" w:rsidRPr="00000000" w14:paraId="00000023">
      <w:pPr>
        <w:pStyle w:val="Heading1"/>
        <w:numPr>
          <w:ilvl w:val="0"/>
          <w:numId w:val="1"/>
        </w:numPr>
        <w:spacing w:line="360" w:lineRule="auto"/>
        <w:ind w:left="360" w:hanging="360"/>
        <w:jc w:val="both"/>
        <w:rPr>
          <w:rFonts w:ascii="Arial" w:cs="Arial" w:eastAsia="Arial" w:hAnsi="Arial"/>
          <w:b w:val="1"/>
          <w:color w:val="000000"/>
          <w:sz w:val="32"/>
          <w:szCs w:val="32"/>
        </w:rPr>
      </w:pPr>
      <w:bookmarkStart w:colFirst="0" w:colLast="0" w:name="_heading=h.mla8pwh15ay" w:id="0"/>
      <w:bookmarkEnd w:id="0"/>
      <w:r w:rsidDel="00000000" w:rsidR="00000000" w:rsidRPr="00000000">
        <w:rPr>
          <w:rFonts w:ascii="Arial" w:cs="Arial" w:eastAsia="Arial" w:hAnsi="Arial"/>
          <w:b w:val="1"/>
          <w:color w:val="000000"/>
          <w:sz w:val="32"/>
          <w:szCs w:val="32"/>
          <w:rtl w:val="0"/>
        </w:rPr>
        <w:t xml:space="preserve">Introduction</w:t>
      </w:r>
    </w:p>
    <w:p w:rsidR="00000000" w:rsidDel="00000000" w:rsidP="00000000" w:rsidRDefault="00000000" w:rsidRPr="00000000" w14:paraId="00000024">
      <w:pPr>
        <w:spacing w:line="360" w:lineRule="auto"/>
        <w:jc w:val="both"/>
        <w:rPr/>
      </w:pPr>
      <w:r w:rsidDel="00000000" w:rsidR="00000000" w:rsidRPr="00000000">
        <w:rPr>
          <w:rtl w:val="0"/>
        </w:rPr>
        <w:t xml:space="preserve">Among the most common mental health disorders in the UK, mood disorders such as depressive and bipolar disorders impose a substantial burden on emotional control, behaviour, and well-being in general (NHS, 2024). Published by the World Health Organisation (2024), Chapter 6: Mental, Behavioural or Neurodevelopmental Disorders offers an updated system for classifying and diagnosing these disorders using a different organisational framework. In this context, code 6A80- Symptomatic and Course Presentations in Mood Episodes in Mood Disorders is one of the additional classifications that reflect the various clinically significant features of mood episodes, including anxiety symptoms, melancholy or rapid cycling (WHO, 2024). Understanding these specifiers is essential for correctly diagnosing and treating a patient, which leads to better patient outcomes. This report critically reviews ICD-11 code 6A80, its classification and diagnosis, treatment and rehabilitation process, existing controversies in mental health practice and evidence-based suggestions to enhance mental health provision and policy in the context of the UK.</w:t>
      </w:r>
    </w:p>
    <w:p w:rsidR="00000000" w:rsidDel="00000000" w:rsidP="00000000" w:rsidRDefault="00000000" w:rsidRPr="00000000" w14:paraId="00000025">
      <w:pPr>
        <w:pStyle w:val="Heading1"/>
        <w:numPr>
          <w:ilvl w:val="0"/>
          <w:numId w:val="1"/>
        </w:numPr>
        <w:spacing w:line="360" w:lineRule="auto"/>
        <w:ind w:left="360" w:hanging="360"/>
        <w:jc w:val="both"/>
        <w:rPr>
          <w:rFonts w:ascii="Arial" w:cs="Arial" w:eastAsia="Arial" w:hAnsi="Arial"/>
          <w:b w:val="1"/>
          <w:color w:val="000000"/>
          <w:sz w:val="32"/>
          <w:szCs w:val="32"/>
        </w:rPr>
      </w:pPr>
      <w:bookmarkStart w:colFirst="0" w:colLast="0" w:name="_heading=h.jx26nxxrzham" w:id="1"/>
      <w:bookmarkEnd w:id="1"/>
      <w:r w:rsidDel="00000000" w:rsidR="00000000" w:rsidRPr="00000000">
        <w:rPr>
          <w:rFonts w:ascii="Arial" w:cs="Arial" w:eastAsia="Arial" w:hAnsi="Arial"/>
          <w:b w:val="1"/>
          <w:color w:val="000000"/>
          <w:sz w:val="32"/>
          <w:szCs w:val="32"/>
          <w:rtl w:val="0"/>
        </w:rPr>
        <w:t xml:space="preserve">Classification and Diagnosis</w:t>
      </w:r>
    </w:p>
    <w:p w:rsidR="00000000" w:rsidDel="00000000" w:rsidP="00000000" w:rsidRDefault="00000000" w:rsidRPr="00000000" w14:paraId="00000026">
      <w:pPr>
        <w:spacing w:line="360" w:lineRule="auto"/>
        <w:jc w:val="both"/>
        <w:rPr/>
      </w:pPr>
      <w:r w:rsidDel="00000000" w:rsidR="00000000" w:rsidRPr="00000000">
        <w:rPr>
          <w:rtl w:val="0"/>
        </w:rPr>
        <w:t xml:space="preserve">The classification of 6A80 as Mood Disorders under ICD-11 demonstrates a need to move toward more lenient, dimensional style categories rather than the hard and fast categories required by ICD-10 (World Health Organisation, 2024). A 6A80 does not appear in isolation but is instead a modification code of the main diagnostic category indicating the presentation, the onset, and progression of the episode of mood in the cases of single episode depressive disorder, recurrent depressive disorder, bipolar type I disorder, and bipolar type II disorder (World Health Organisation, 2024). Language/nomenclature the language, specifically the terminology of specifier and episode, emphasizes ICD-11 to be focused on clinical variation and symptom overlap, as opposed to predetermined boundaries of the disorders (‌Bach and Simonsen, 2024). This practice is meant to enhance accuracy in the diagnosis by taking into consideration that mood disorders may manifest differently in different people, and also overtime.</w:t>
      </w:r>
    </w:p>
    <w:p w:rsidR="00000000" w:rsidDel="00000000" w:rsidP="00000000" w:rsidRDefault="00000000" w:rsidRPr="00000000" w14:paraId="00000027">
      <w:pPr>
        <w:spacing w:line="360" w:lineRule="auto"/>
        <w:jc w:val="both"/>
        <w:rPr/>
      </w:pPr>
      <w:r w:rsidDel="00000000" w:rsidR="00000000" w:rsidRPr="00000000">
        <w:rPr>
          <w:rtl w:val="0"/>
        </w:rPr>
        <w:t xml:space="preserve">6A80 diagnostic process based on the combination of these specifiers into the existing mood disorder tests to obtain the contextual clinical features. As an illustration, clinicians can use the specifier with eminent anxiety symptoms (6A80.0) when there is a depressive episode with considerable levels of anxiety or with rapid cycling (6A80.5) in instances where the occurrence of bipolar episodes is more (WHO, 2024). Diagnostic accuracy is dependent on structured clinical interviews and well validated instruments like the Patient Health Questionnaire (PHQ-9) to measure depression, Hamilton Depression Rating Scale (HAM-D) to measure the severity and Structured Clinical Interview to provide a complete assessment dysfunction of the Structured Clinical Interview for DSM-5 (SCID-5) (Ma et al., 2021; Shabani et al., 2021). Such tools help the clinician use 6A80 on a regular basis and discover the subtleties of it on the treatment planning.</w:t>
      </w:r>
    </w:p>
    <w:p w:rsidR="00000000" w:rsidDel="00000000" w:rsidP="00000000" w:rsidRDefault="00000000" w:rsidRPr="00000000" w14:paraId="00000028">
      <w:pPr>
        <w:spacing w:line="360" w:lineRule="auto"/>
        <w:jc w:val="both"/>
        <w:rPr/>
      </w:pPr>
      <w:r w:rsidDel="00000000" w:rsidR="00000000" w:rsidRPr="00000000">
        <w:rPr>
          <w:rtl w:val="0"/>
        </w:rPr>
        <w:t xml:space="preserve">Notably, the dimensional classification provided by ICD-11 has its benefits in terms of explaining the heterogeneity of mood disorders, making personalised interventions, and providing more comparability of research across different cultures (Hualparuca-Olivera et al., 2025). However, challenges remain. Conflicting specifiers may result in the problem of diagnostic ambiguity, and they cannot be applied in practice on a consistent basis. This is because it is based on the interpretation of clinicians, which brings about subjectivity, especially in cases where there is a definite difference in similarities, such as panic presentation (Karhausen, 2025). In addition, the term is still applied as a disorder and not a condition, thus perpetuating possible stigmatisation, which can determine the ability of patients to pursue help or behave during treatment. Nevertheless, 6A80 addition is a positive move in the direction of more person-focused psychiatric classification (WHO, 2024).</w:t>
      </w:r>
    </w:p>
    <w:p w:rsidR="00000000" w:rsidDel="00000000" w:rsidP="00000000" w:rsidRDefault="00000000" w:rsidRPr="00000000" w14:paraId="00000029">
      <w:pPr>
        <w:spacing w:line="360" w:lineRule="auto"/>
        <w:jc w:val="both"/>
        <w:rPr/>
      </w:pPr>
      <w:r w:rsidDel="00000000" w:rsidR="00000000" w:rsidRPr="00000000">
        <w:rPr>
          <w:rtl w:val="0"/>
        </w:rPr>
        <w:t xml:space="preserve">The key differences in the classification of mood disorders within both the ICD-10 and the ICD-11 approaches are shown in Table 1 (Appendix) and indicate how the shift in both systems to ICD-11 facilitates a more flexible and descriptive conceptualisation of mental health presentations.</w:t>
      </w:r>
    </w:p>
    <w:p w:rsidR="00000000" w:rsidDel="00000000" w:rsidP="00000000" w:rsidRDefault="00000000" w:rsidRPr="00000000" w14:paraId="0000002A">
      <w:pPr>
        <w:pStyle w:val="Heading1"/>
        <w:numPr>
          <w:ilvl w:val="0"/>
          <w:numId w:val="1"/>
        </w:numPr>
        <w:spacing w:line="360" w:lineRule="auto"/>
        <w:ind w:left="360" w:hanging="360"/>
        <w:jc w:val="both"/>
        <w:rPr>
          <w:rFonts w:ascii="Arial" w:cs="Arial" w:eastAsia="Arial" w:hAnsi="Arial"/>
          <w:b w:val="1"/>
          <w:color w:val="000000"/>
          <w:sz w:val="32"/>
          <w:szCs w:val="32"/>
        </w:rPr>
      </w:pPr>
      <w:bookmarkStart w:colFirst="0" w:colLast="0" w:name="_heading=h.nwa7uhfd98xr" w:id="2"/>
      <w:bookmarkEnd w:id="2"/>
      <w:r w:rsidDel="00000000" w:rsidR="00000000" w:rsidRPr="00000000">
        <w:rPr>
          <w:rFonts w:ascii="Arial" w:cs="Arial" w:eastAsia="Arial" w:hAnsi="Arial"/>
          <w:b w:val="1"/>
          <w:color w:val="000000"/>
          <w:sz w:val="32"/>
          <w:szCs w:val="32"/>
          <w:rtl w:val="0"/>
        </w:rPr>
        <w:t xml:space="preserve">Treatment and Rehabilitation</w:t>
      </w:r>
    </w:p>
    <w:p w:rsidR="00000000" w:rsidDel="00000000" w:rsidP="00000000" w:rsidRDefault="00000000" w:rsidRPr="00000000" w14:paraId="0000002B">
      <w:pPr>
        <w:spacing w:line="360" w:lineRule="auto"/>
        <w:jc w:val="both"/>
        <w:rPr/>
      </w:pPr>
      <w:r w:rsidDel="00000000" w:rsidR="00000000" w:rsidRPr="00000000">
        <w:rPr>
          <w:rtl w:val="0"/>
        </w:rPr>
        <w:t xml:space="preserve">Managing mood disorder syndrome related to ICD-11 code 6A80 needs to be a multifaceted approach with both biological and psychosocial aspects of care. The pharmacological interventions are still core in the treatment of the symptoms of both depressive and bipolar episodes. The use of selective serotonin reuptake inhibitors (SSRIs) and serotonin-norepinephrine reuptake inhibitors (SNRIs) is usually associated with the treatment of depressive episodes (Le et al., 2025). In contrast, mood stabilisers are employed to treat bipolar disorder to prevent recurrence of manic and depressive episodes (lithium and valproate) (Yee et al., 2021). Where the patient has severe or psychotic characteristics, an atypical antipsychotic can be used (Rybakowski, 2023). Based on the clinical evaluation of the specifiers in 6A80, including anxiety symptoms, melancholy, or rapid cycling, these pharmacological interventions are managed to achieve a more specific response. Nevertheless, medication control will have to be strictly observed to avoid adverse effects and ensure compliance, especially within the long-term care context (Goes, 2023).</w:t>
      </w:r>
    </w:p>
    <w:p w:rsidR="00000000" w:rsidDel="00000000" w:rsidP="00000000" w:rsidRDefault="00000000" w:rsidRPr="00000000" w14:paraId="0000002C">
      <w:pPr>
        <w:spacing w:line="360" w:lineRule="auto"/>
        <w:jc w:val="both"/>
        <w:rPr/>
      </w:pPr>
      <w:r w:rsidDel="00000000" w:rsidR="00000000" w:rsidRPr="00000000">
        <w:rPr>
          <w:rtl w:val="0"/>
        </w:rPr>
        <w:t xml:space="preserve">Psychological therapies use medication as an accompaniment, addressing cognitive and behavioural factors of mood disorders. The most evidence-based psychotherapy is Cognitive Behavioural Therapy (CBT) and Interpersonal Therapy (IPT). CBT can be effectively used in depressive episodes where patients have melancholic features (6A80.3) and can be used to restructure the negative thought patterns and enhance coping strategies of a patient (Schaeuffele et al., 2024; Mısır et al., 2025). Anxiety-focused CBT and relaxation training are also effective in cases of people experiencing a high degree of anxiety symptoms (6A80.0) (WHO, 2024). Psychoeducation and family therapy are also involved, especially in bipolar presentation, since they facilitate early signs of relapse awareness as well as medication compliance (Weintraub et al., 2022). These forms of psychotherapy have been observed to integrate well with pharmacological treatment compared to when used exclusively. Treatment in mood disorders entails assisting in long-term recovery and reintegration into the community. Vocational training, peer support, and recovery-centred interventions are offered through psychosocial rehabilitation programs by the NHS and other voluntary organisations, including Mind UK (Beard, Cottam and Painter, 2024; Mental Health Foundation, 2022). The goals of these programs include minimising stigmas, improving social functioning, and eliminating relapse through organised daily activities. Patients with recurring or seasonal patterns should undergo long-term monitoring and lifestyle interventions, such as light therapy and improved sleep habits.</w:t>
      </w:r>
    </w:p>
    <w:p w:rsidR="00000000" w:rsidDel="00000000" w:rsidP="00000000" w:rsidRDefault="00000000" w:rsidRPr="00000000" w14:paraId="0000002D">
      <w:pPr>
        <w:spacing w:line="360" w:lineRule="auto"/>
        <w:jc w:val="both"/>
        <w:rPr/>
      </w:pPr>
      <w:r w:rsidDel="00000000" w:rsidR="00000000" w:rsidRPr="00000000">
        <w:rPr>
          <w:rtl w:val="0"/>
        </w:rPr>
        <w:t xml:space="preserve">Regardless of these progresses, there are still limitations. Resistance to treatment and high rates of relapse are provided by patients with the rapid cycle or comorbidity with anxiety in general (Naeem and Farooqi, 2024). There is a disparity of access to psychological therapies and community-based rehabilitation in the UK because of funding limitations. Besides, the specific 6A80 specifiers are not always applied to the practice in an individualised way, which reveals a discrepancy between the accuracy of diagnosis and the provision of services.</w:t>
      </w:r>
    </w:p>
    <w:p w:rsidR="00000000" w:rsidDel="00000000" w:rsidP="00000000" w:rsidRDefault="00000000" w:rsidRPr="00000000" w14:paraId="0000002E">
      <w:pPr>
        <w:pStyle w:val="Heading1"/>
        <w:numPr>
          <w:ilvl w:val="0"/>
          <w:numId w:val="1"/>
        </w:numPr>
        <w:spacing w:line="360" w:lineRule="auto"/>
        <w:ind w:left="360" w:hanging="360"/>
        <w:jc w:val="both"/>
        <w:rPr>
          <w:rFonts w:ascii="Arial" w:cs="Arial" w:eastAsia="Arial" w:hAnsi="Arial"/>
          <w:b w:val="1"/>
          <w:color w:val="000000"/>
          <w:sz w:val="32"/>
          <w:szCs w:val="32"/>
        </w:rPr>
      </w:pPr>
      <w:bookmarkStart w:colFirst="0" w:colLast="0" w:name="_heading=h.nzbxoc3bac3h" w:id="3"/>
      <w:bookmarkEnd w:id="3"/>
      <w:r w:rsidDel="00000000" w:rsidR="00000000" w:rsidRPr="00000000">
        <w:rPr>
          <w:rFonts w:ascii="Arial" w:cs="Arial" w:eastAsia="Arial" w:hAnsi="Arial"/>
          <w:b w:val="1"/>
          <w:color w:val="000000"/>
          <w:sz w:val="32"/>
          <w:szCs w:val="32"/>
          <w:rtl w:val="0"/>
        </w:rPr>
        <w:t xml:space="preserve">Current Debates and Emerging Issues</w:t>
      </w:r>
    </w:p>
    <w:p w:rsidR="00000000" w:rsidDel="00000000" w:rsidP="00000000" w:rsidRDefault="00000000" w:rsidRPr="00000000" w14:paraId="0000002F">
      <w:pPr>
        <w:spacing w:line="360" w:lineRule="auto"/>
        <w:jc w:val="both"/>
        <w:rPr/>
      </w:pPr>
      <w:r w:rsidDel="00000000" w:rsidR="00000000" w:rsidRPr="00000000">
        <w:rPr>
          <w:rtl w:val="0"/>
        </w:rPr>
        <w:t xml:space="preserve">Discussions of the method of diagnosing mood disorders that have 6A80 presentations behave as a continuation of the issues between categorical and dimensional diagnostic systems. Other researchers promote a spectrum conceptualisation of mood disorders that mood disorders appear in a continuum of depressive and bipolar episodes as opposed to the discrete categories (Nemeroff et al., 2022; Qureshi and Young, 2024). This viewpoint questions the classic diagnostic delimiting of boundaries, that the application of the specifiers in the ICD-11, i.e., with prominent anxiety, or with rapid cycling, can be helpful to define individual variability better (First et al., 2021). Nevertheless, the increasing specifiers is noted by critics as excessive complication to the diagnosis, which can result in contradictory clinical use and even inflation of the diagnosis (Gascon et al., 2022).</w:t>
      </w:r>
    </w:p>
    <w:p w:rsidR="00000000" w:rsidDel="00000000" w:rsidP="00000000" w:rsidRDefault="00000000" w:rsidRPr="00000000" w14:paraId="00000030">
      <w:pPr>
        <w:spacing w:line="360" w:lineRule="auto"/>
        <w:jc w:val="both"/>
        <w:rPr/>
      </w:pPr>
      <w:r w:rsidDel="00000000" w:rsidR="00000000" w:rsidRPr="00000000">
        <w:rPr>
          <w:rtl w:val="0"/>
        </w:rPr>
        <w:t xml:space="preserve">The other critical controversy is on the associations between neurodivergence and mood disorders (Garzon and Starr, 2023). Growing data points to the similarity of mood instability with such neurodevelopmental disorders as ADHD and autism (Bertollo et al., 2025). This raises a question about misdiagnosis and the need to distinguish diagnostic lines better. ICD-11 tries to tackle this problem by focusing on symptom patterns and course specifiers rather than being categorical. However, other mental health experts currently claim that the classification system will be medicalising normal emotional fluctuations, especially in younger adults (Dollish, Tsyglakova and McClung, 2024).</w:t>
      </w:r>
    </w:p>
    <w:p w:rsidR="00000000" w:rsidDel="00000000" w:rsidP="00000000" w:rsidRDefault="00000000" w:rsidRPr="00000000" w14:paraId="00000031">
      <w:pPr>
        <w:spacing w:line="360" w:lineRule="auto"/>
        <w:jc w:val="both"/>
        <w:rPr/>
      </w:pPr>
      <w:r w:rsidDel="00000000" w:rsidR="00000000" w:rsidRPr="00000000">
        <w:rPr>
          <w:rtl w:val="0"/>
        </w:rPr>
        <w:t xml:space="preserve">These debates have policy consequences on service design and policy in the UK context. The use of the NHS Improving Access to Psychological Therapies (IAPT) programme (Martin et al., 2022) and the NICE guidelines increasingly acknowledges the necessity of a person-centred approach in transcending the need for diagnostic labels (Malhi et al., 2022). Classification revision may influence the ability to obtain treatment, allocation of resources, and self-identity of mental health among people. An example is the re-conceptualisation of mood disorders as ladders and not a state of discrete illness, which can promote early detection, but complicate planning of treatment (Eaton et al., 2023).</w:t>
      </w:r>
    </w:p>
    <w:p w:rsidR="00000000" w:rsidDel="00000000" w:rsidP="00000000" w:rsidRDefault="00000000" w:rsidRPr="00000000" w14:paraId="00000032">
      <w:pPr>
        <w:spacing w:line="360" w:lineRule="auto"/>
        <w:jc w:val="both"/>
        <w:rPr/>
      </w:pPr>
      <w:r w:rsidDel="00000000" w:rsidR="00000000" w:rsidRPr="00000000">
        <w:rPr>
          <w:rtl w:val="0"/>
        </w:rPr>
        <w:t xml:space="preserve">Newly developed studies are adding to these debates, trying to understand new approaches to diagnosis and tracking. Research on biomarkers, smartphone-based digital phenotyping, and AI-assisted clinical devices imply an opportunity to objectively identify the mood patterns (Yoon and Kim, 2022; Bufano et al., 2023; Langholm et al., 2023). Nevertheless, there are still ethical issues of data privacy and clinical reliability. In general, the dimensional approach to ICD-11 is a step toward a more individualized care, but the controversies emphasize that further assessment should be computed to balance the accuracy of diagnosis with the level of practical value in the ever-changing mental health process in the UK.</w:t>
      </w:r>
    </w:p>
    <w:p w:rsidR="00000000" w:rsidDel="00000000" w:rsidP="00000000" w:rsidRDefault="00000000" w:rsidRPr="00000000" w14:paraId="00000033">
      <w:pPr>
        <w:pStyle w:val="Heading1"/>
        <w:numPr>
          <w:ilvl w:val="0"/>
          <w:numId w:val="1"/>
        </w:numPr>
        <w:spacing w:line="360" w:lineRule="auto"/>
        <w:ind w:left="360" w:hanging="360"/>
        <w:jc w:val="both"/>
        <w:rPr>
          <w:rFonts w:ascii="Arial" w:cs="Arial" w:eastAsia="Arial" w:hAnsi="Arial"/>
          <w:b w:val="1"/>
          <w:color w:val="000000"/>
          <w:sz w:val="32"/>
          <w:szCs w:val="32"/>
        </w:rPr>
      </w:pPr>
      <w:bookmarkStart w:colFirst="0" w:colLast="0" w:name="_heading=h.ohsj7rx3w4qz" w:id="4"/>
      <w:bookmarkEnd w:id="4"/>
      <w:r w:rsidDel="00000000" w:rsidR="00000000" w:rsidRPr="00000000">
        <w:rPr>
          <w:rFonts w:ascii="Arial" w:cs="Arial" w:eastAsia="Arial" w:hAnsi="Arial"/>
          <w:b w:val="1"/>
          <w:color w:val="000000"/>
          <w:sz w:val="32"/>
          <w:szCs w:val="32"/>
          <w:rtl w:val="0"/>
        </w:rPr>
        <w:t xml:space="preserve">Recommendations</w:t>
      </w:r>
    </w:p>
    <w:p w:rsidR="00000000" w:rsidDel="00000000" w:rsidP="00000000" w:rsidRDefault="00000000" w:rsidRPr="00000000" w14:paraId="00000034">
      <w:pPr>
        <w:spacing w:line="360" w:lineRule="auto"/>
        <w:jc w:val="both"/>
        <w:rPr/>
      </w:pPr>
      <w:r w:rsidDel="00000000" w:rsidR="00000000" w:rsidRPr="00000000">
        <w:rPr>
          <w:rtl w:val="0"/>
        </w:rPr>
        <w:t xml:space="preserve">The clinical guidance to assist practitioners in the consistent application of mood episode specifiers across diagnostic settings should be formulated to enhance the accuracy and use of ICD-11 code 6A80. The subjective interpretation could be reduced with the help of standardised training of mental health professionals in the NHS and contribute to greater inter-clinician reliability (Jadav and Bal, 2022). The multidisciplinary method that encompasses psychiatry, psychology and social work is needed in order to make diagnosis as well as treatment holistic and patient-centred (Țenea-Cojan et al., 2025). Primary care screening instruments must include culturally sensitive indices to detect anxiety, melancholic, or seasonal tendencies to severe episodes, prior to their occurrence. Additional longitudinal studies are necessary to determine the impact of various specifiers (e.g. rapid cycling or persistent depressive episode) on the long-term treatment outcomes and recovery patterns (Gnielka et al., 2025). The framework of ICD-11 should be implemented into the guidelines of policies on national levels and NICE to confirm that the practice of classification, diagnosis, and rehabilitation of mood disorder continue to be evidence-based and responsive to new research in this field.</w:t>
      </w:r>
    </w:p>
    <w:p w:rsidR="00000000" w:rsidDel="00000000" w:rsidP="00000000" w:rsidRDefault="00000000" w:rsidRPr="00000000" w14:paraId="00000035">
      <w:pPr>
        <w:pStyle w:val="Heading1"/>
        <w:numPr>
          <w:ilvl w:val="0"/>
          <w:numId w:val="1"/>
        </w:numPr>
        <w:spacing w:line="360" w:lineRule="auto"/>
        <w:ind w:left="360" w:hanging="360"/>
        <w:jc w:val="both"/>
        <w:rPr>
          <w:rFonts w:ascii="Arial" w:cs="Arial" w:eastAsia="Arial" w:hAnsi="Arial"/>
          <w:b w:val="1"/>
          <w:color w:val="000000"/>
          <w:sz w:val="32"/>
          <w:szCs w:val="32"/>
        </w:rPr>
      </w:pPr>
      <w:bookmarkStart w:colFirst="0" w:colLast="0" w:name="_heading=h.2l5zy85zju6r" w:id="5"/>
      <w:bookmarkEnd w:id="5"/>
      <w:r w:rsidDel="00000000" w:rsidR="00000000" w:rsidRPr="00000000">
        <w:rPr>
          <w:rFonts w:ascii="Arial" w:cs="Arial" w:eastAsia="Arial" w:hAnsi="Arial"/>
          <w:b w:val="1"/>
          <w:color w:val="000000"/>
          <w:sz w:val="32"/>
          <w:szCs w:val="32"/>
          <w:rtl w:val="0"/>
        </w:rPr>
        <w:t xml:space="preserve">Conclusion </w:t>
      </w:r>
    </w:p>
    <w:p w:rsidR="00000000" w:rsidDel="00000000" w:rsidP="00000000" w:rsidRDefault="00000000" w:rsidRPr="00000000" w14:paraId="00000036">
      <w:pPr>
        <w:spacing w:line="360" w:lineRule="auto"/>
        <w:jc w:val="both"/>
        <w:rPr/>
      </w:pPr>
      <w:r w:rsidDel="00000000" w:rsidR="00000000" w:rsidRPr="00000000">
        <w:rPr>
          <w:rtl w:val="0"/>
        </w:rPr>
        <w:t xml:space="preserve">ICD-11 code 6A80 significantly contributes to the depth of understanding of mood disorders by creating flexible specifiers that enhance the accuracy of diagnoses. As mentioned in the analysis, the treatment and rehabilitation strategies are changing, but there are inconsistencies in how clinicians use and understand these classes. It has been proven that combining psychological and pharmacological services is the most productive approach, but there are still gaps in service delivery. In general, the ICD-11 multidimensional model facilitates more personalised care. Still, ongoing research, better political alignment, and improved clinical education are imperative in transferring the model into more uniform, high-quality practices in UK mental health services.</w:t>
      </w:r>
    </w:p>
    <w:p w:rsidR="00000000" w:rsidDel="00000000" w:rsidP="00000000" w:rsidRDefault="00000000" w:rsidRPr="00000000" w14:paraId="00000037">
      <w:pPr>
        <w:rPr>
          <w:b w:val="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38">
      <w:pPr>
        <w:pStyle w:val="Heading1"/>
        <w:spacing w:line="360" w:lineRule="auto"/>
        <w:jc w:val="both"/>
        <w:rPr>
          <w:rFonts w:ascii="Arial" w:cs="Arial" w:eastAsia="Arial" w:hAnsi="Arial"/>
          <w:b w:val="1"/>
          <w:color w:val="000000"/>
          <w:sz w:val="32"/>
          <w:szCs w:val="32"/>
        </w:rPr>
      </w:pPr>
      <w:bookmarkStart w:colFirst="0" w:colLast="0" w:name="_heading=h.bjn25jpowyy8" w:id="6"/>
      <w:bookmarkEnd w:id="6"/>
      <w:r w:rsidDel="00000000" w:rsidR="00000000" w:rsidRPr="00000000">
        <w:rPr>
          <w:rFonts w:ascii="Arial" w:cs="Arial" w:eastAsia="Arial" w:hAnsi="Arial"/>
          <w:b w:val="1"/>
          <w:color w:val="000000"/>
          <w:sz w:val="32"/>
          <w:szCs w:val="32"/>
          <w:rtl w:val="0"/>
        </w:rPr>
        <w:t xml:space="preserve">References</w:t>
      </w:r>
    </w:p>
    <w:p w:rsidR="00000000" w:rsidDel="00000000" w:rsidP="00000000" w:rsidRDefault="00000000" w:rsidRPr="00000000" w14:paraId="00000039">
      <w:pPr>
        <w:spacing w:after="0" w:line="360" w:lineRule="auto"/>
        <w:jc w:val="both"/>
        <w:rPr/>
      </w:pPr>
      <w:r w:rsidDel="00000000" w:rsidR="00000000" w:rsidRPr="00000000">
        <w:rPr>
          <w:rtl w:val="0"/>
        </w:rPr>
        <w:t xml:space="preserve">‌Bach, B. and Simonsen, S. (2024). </w:t>
      </w:r>
      <w:r w:rsidDel="00000000" w:rsidR="00000000" w:rsidRPr="00000000">
        <w:rPr>
          <w:i w:val="1"/>
          <w:rtl w:val="0"/>
        </w:rPr>
        <w:t xml:space="preserve">ICD-11 personality disorders: A clinician's guide</w:t>
      </w:r>
      <w:r w:rsidDel="00000000" w:rsidR="00000000" w:rsidRPr="00000000">
        <w:rPr>
          <w:rtl w:val="0"/>
        </w:rPr>
        <w:t xml:space="preserve">. Hogrefe Publishing.</w:t>
      </w:r>
    </w:p>
    <w:p w:rsidR="00000000" w:rsidDel="00000000" w:rsidP="00000000" w:rsidRDefault="00000000" w:rsidRPr="00000000" w14:paraId="0000003A">
      <w:pPr>
        <w:spacing w:after="0" w:line="360" w:lineRule="auto"/>
        <w:jc w:val="both"/>
        <w:rPr/>
      </w:pPr>
      <w:r w:rsidDel="00000000" w:rsidR="00000000" w:rsidRPr="00000000">
        <w:rPr>
          <w:rtl w:val="0"/>
        </w:rPr>
        <w:t xml:space="preserve">Beard, D., Cottam, C. and Painter, J. (2024). Evaluation of the perceived benefits of a peer support group for people with mental health problems. </w:t>
      </w:r>
      <w:r w:rsidDel="00000000" w:rsidR="00000000" w:rsidRPr="00000000">
        <w:rPr>
          <w:i w:val="1"/>
          <w:rtl w:val="0"/>
        </w:rPr>
        <w:t xml:space="preserve">Nursing Reports</w:t>
      </w:r>
      <w:r w:rsidDel="00000000" w:rsidR="00000000" w:rsidRPr="00000000">
        <w:rPr>
          <w:rtl w:val="0"/>
        </w:rPr>
        <w:t xml:space="preserve">, </w:t>
      </w:r>
      <w:r w:rsidDel="00000000" w:rsidR="00000000" w:rsidRPr="00000000">
        <w:rPr>
          <w:i w:val="1"/>
          <w:rtl w:val="0"/>
        </w:rPr>
        <w:t xml:space="preserve">14</w:t>
      </w:r>
      <w:r w:rsidDel="00000000" w:rsidR="00000000" w:rsidRPr="00000000">
        <w:rPr>
          <w:rtl w:val="0"/>
        </w:rPr>
        <w:t xml:space="preserve">(3), pp.1661-1675.</w:t>
      </w:r>
    </w:p>
    <w:p w:rsidR="00000000" w:rsidDel="00000000" w:rsidP="00000000" w:rsidRDefault="00000000" w:rsidRPr="00000000" w14:paraId="0000003B">
      <w:pPr>
        <w:spacing w:after="0" w:line="360" w:lineRule="auto"/>
        <w:jc w:val="both"/>
        <w:rPr/>
      </w:pPr>
      <w:r w:rsidDel="00000000" w:rsidR="00000000" w:rsidRPr="00000000">
        <w:rPr>
          <w:rtl w:val="0"/>
        </w:rPr>
        <w:t xml:space="preserve">Bertollo, A.G., Puntel, C.F., da Silva, B.V., Martins, M., Bagatini, M.D. and Ignácio, Z.M. (2025). Neurobiological Relationships Between Neurodevelopmental Disorders and Mood Disorders. </w:t>
      </w:r>
      <w:r w:rsidDel="00000000" w:rsidR="00000000" w:rsidRPr="00000000">
        <w:rPr>
          <w:i w:val="1"/>
          <w:rtl w:val="0"/>
        </w:rPr>
        <w:t xml:space="preserve">Brain Sciences</w:t>
      </w:r>
      <w:r w:rsidDel="00000000" w:rsidR="00000000" w:rsidRPr="00000000">
        <w:rPr>
          <w:rtl w:val="0"/>
        </w:rPr>
        <w:t xml:space="preserve">, </w:t>
      </w:r>
      <w:r w:rsidDel="00000000" w:rsidR="00000000" w:rsidRPr="00000000">
        <w:rPr>
          <w:i w:val="1"/>
          <w:rtl w:val="0"/>
        </w:rPr>
        <w:t xml:space="preserve">15</w:t>
      </w:r>
      <w:r w:rsidDel="00000000" w:rsidR="00000000" w:rsidRPr="00000000">
        <w:rPr>
          <w:rtl w:val="0"/>
        </w:rPr>
        <w:t xml:space="preserve">(3), p.307.</w:t>
      </w:r>
    </w:p>
    <w:p w:rsidR="00000000" w:rsidDel="00000000" w:rsidP="00000000" w:rsidRDefault="00000000" w:rsidRPr="00000000" w14:paraId="0000003C">
      <w:pPr>
        <w:spacing w:after="0" w:line="360" w:lineRule="auto"/>
        <w:jc w:val="both"/>
        <w:rPr/>
      </w:pPr>
      <w:r w:rsidDel="00000000" w:rsidR="00000000" w:rsidRPr="00000000">
        <w:rPr>
          <w:rtl w:val="0"/>
        </w:rPr>
        <w:t xml:space="preserve">Bufano, P., Laurino, M., Said, S., Tognetti, A. and Menicucci, D. (2023). Digital phenotyping for monitoring mental disorders: systematic review. </w:t>
      </w:r>
      <w:r w:rsidDel="00000000" w:rsidR="00000000" w:rsidRPr="00000000">
        <w:rPr>
          <w:i w:val="1"/>
          <w:rtl w:val="0"/>
        </w:rPr>
        <w:t xml:space="preserve">Journal of medical Internet research</w:t>
      </w:r>
      <w:r w:rsidDel="00000000" w:rsidR="00000000" w:rsidRPr="00000000">
        <w:rPr>
          <w:rtl w:val="0"/>
        </w:rPr>
        <w:t xml:space="preserve">, </w:t>
      </w:r>
      <w:r w:rsidDel="00000000" w:rsidR="00000000" w:rsidRPr="00000000">
        <w:rPr>
          <w:i w:val="1"/>
          <w:rtl w:val="0"/>
        </w:rPr>
        <w:t xml:space="preserve">25</w:t>
      </w:r>
      <w:r w:rsidDel="00000000" w:rsidR="00000000" w:rsidRPr="00000000">
        <w:rPr>
          <w:rtl w:val="0"/>
        </w:rPr>
        <w:t xml:space="preserve">, p.e46778.</w:t>
      </w:r>
    </w:p>
    <w:p w:rsidR="00000000" w:rsidDel="00000000" w:rsidP="00000000" w:rsidRDefault="00000000" w:rsidRPr="00000000" w14:paraId="0000003D">
      <w:pPr>
        <w:spacing w:after="0" w:line="360" w:lineRule="auto"/>
        <w:jc w:val="both"/>
        <w:rPr/>
      </w:pPr>
      <w:r w:rsidDel="00000000" w:rsidR="00000000" w:rsidRPr="00000000">
        <w:rPr>
          <w:rtl w:val="0"/>
        </w:rPr>
        <w:t xml:space="preserve">Dollish, H.K., Tsyglakova, M. and McClung, C.A. (2024). Circadian rhythms and mood disorders: Time to see the light. </w:t>
      </w:r>
      <w:r w:rsidDel="00000000" w:rsidR="00000000" w:rsidRPr="00000000">
        <w:rPr>
          <w:i w:val="1"/>
          <w:rtl w:val="0"/>
        </w:rPr>
        <w:t xml:space="preserve">Neuron</w:t>
      </w:r>
      <w:r w:rsidDel="00000000" w:rsidR="00000000" w:rsidRPr="00000000">
        <w:rPr>
          <w:rtl w:val="0"/>
        </w:rPr>
        <w:t xml:space="preserve">, </w:t>
      </w:r>
      <w:r w:rsidDel="00000000" w:rsidR="00000000" w:rsidRPr="00000000">
        <w:rPr>
          <w:i w:val="1"/>
          <w:rtl w:val="0"/>
        </w:rPr>
        <w:t xml:space="preserve">112</w:t>
      </w:r>
      <w:r w:rsidDel="00000000" w:rsidR="00000000" w:rsidRPr="00000000">
        <w:rPr>
          <w:rtl w:val="0"/>
        </w:rPr>
        <w:t xml:space="preserve">(1), pp.25-40.</w:t>
      </w:r>
    </w:p>
    <w:p w:rsidR="00000000" w:rsidDel="00000000" w:rsidP="00000000" w:rsidRDefault="00000000" w:rsidRPr="00000000" w14:paraId="0000003E">
      <w:pPr>
        <w:spacing w:after="0" w:line="360" w:lineRule="auto"/>
        <w:jc w:val="both"/>
        <w:rPr/>
      </w:pPr>
      <w:r w:rsidDel="00000000" w:rsidR="00000000" w:rsidRPr="00000000">
        <w:rPr>
          <w:rtl w:val="0"/>
        </w:rPr>
        <w:t xml:space="preserve">Eaton, N.R., Bringmann, L.F., Elmer, T., Fried, E.I., Forbes, M.K., Greene, A.L., Krueger, R.F., Kotov, R., McGorry, P.D., Mei, C. and Waszczuk, M.A. (2023). A review of approaches and models in psychopathology conceptualization research. </w:t>
      </w:r>
      <w:r w:rsidDel="00000000" w:rsidR="00000000" w:rsidRPr="00000000">
        <w:rPr>
          <w:i w:val="1"/>
          <w:rtl w:val="0"/>
        </w:rPr>
        <w:t xml:space="preserve">Nature Reviews Psychology</w:t>
      </w:r>
      <w:r w:rsidDel="00000000" w:rsidR="00000000" w:rsidRPr="00000000">
        <w:rPr>
          <w:rtl w:val="0"/>
        </w:rPr>
        <w:t xml:space="preserve">, </w:t>
      </w:r>
      <w:r w:rsidDel="00000000" w:rsidR="00000000" w:rsidRPr="00000000">
        <w:rPr>
          <w:i w:val="1"/>
          <w:rtl w:val="0"/>
        </w:rPr>
        <w:t xml:space="preserve">2</w:t>
      </w:r>
      <w:r w:rsidDel="00000000" w:rsidR="00000000" w:rsidRPr="00000000">
        <w:rPr>
          <w:rtl w:val="0"/>
        </w:rPr>
        <w:t xml:space="preserve">(10), pp.622-636.</w:t>
      </w:r>
    </w:p>
    <w:p w:rsidR="00000000" w:rsidDel="00000000" w:rsidP="00000000" w:rsidRDefault="00000000" w:rsidRPr="00000000" w14:paraId="0000003F">
      <w:pPr>
        <w:spacing w:after="0" w:line="360" w:lineRule="auto"/>
        <w:jc w:val="both"/>
        <w:rPr/>
      </w:pPr>
      <w:r w:rsidDel="00000000" w:rsidR="00000000" w:rsidRPr="00000000">
        <w:rPr>
          <w:rtl w:val="0"/>
        </w:rPr>
        <w:t xml:space="preserve">First, M.B., Gaebel, W., Maj, M., Stein, D.J., Kogan, C.S., Saunders, J.B., Poznyak, V.B., Gureje, O., Lewis</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Fernández, R., Maercker, A. and Brewin, C.R. (2021). An organization</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and category</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level comparison of diagnostic requirements for mental disorders in ICD</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11 and DSM</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5. </w:t>
      </w:r>
      <w:r w:rsidDel="00000000" w:rsidR="00000000" w:rsidRPr="00000000">
        <w:rPr>
          <w:i w:val="1"/>
          <w:rtl w:val="0"/>
        </w:rPr>
        <w:t xml:space="preserve">World Psychiatry</w:t>
      </w:r>
      <w:r w:rsidDel="00000000" w:rsidR="00000000" w:rsidRPr="00000000">
        <w:rPr>
          <w:rtl w:val="0"/>
        </w:rPr>
        <w:t xml:space="preserve">, </w:t>
      </w:r>
      <w:r w:rsidDel="00000000" w:rsidR="00000000" w:rsidRPr="00000000">
        <w:rPr>
          <w:i w:val="1"/>
          <w:rtl w:val="0"/>
        </w:rPr>
        <w:t xml:space="preserve">20</w:t>
      </w:r>
      <w:r w:rsidDel="00000000" w:rsidR="00000000" w:rsidRPr="00000000">
        <w:rPr>
          <w:rtl w:val="0"/>
        </w:rPr>
        <w:t xml:space="preserve">(1), pp.34-51.</w:t>
      </w:r>
    </w:p>
    <w:p w:rsidR="00000000" w:rsidDel="00000000" w:rsidP="00000000" w:rsidRDefault="00000000" w:rsidRPr="00000000" w14:paraId="00000040">
      <w:pPr>
        <w:spacing w:after="0" w:line="360" w:lineRule="auto"/>
        <w:jc w:val="both"/>
        <w:rPr/>
      </w:pPr>
      <w:r w:rsidDel="00000000" w:rsidR="00000000" w:rsidRPr="00000000">
        <w:rPr>
          <w:rtl w:val="0"/>
        </w:rPr>
        <w:t xml:space="preserve">Garzon, D.L. and Starr, N.B. (2023). Neurodivergence and Behavioral and Mental Health Disorders. </w:t>
      </w:r>
      <w:r w:rsidDel="00000000" w:rsidR="00000000" w:rsidRPr="00000000">
        <w:rPr>
          <w:i w:val="1"/>
          <w:rtl w:val="0"/>
        </w:rPr>
        <w:t xml:space="preserve">Burns' Pediatric Primary Care-E-Book: Burns' Pediatric Primary Care-E-Book</w:t>
      </w:r>
      <w:r w:rsidDel="00000000" w:rsidR="00000000" w:rsidRPr="00000000">
        <w:rPr>
          <w:rtl w:val="0"/>
        </w:rPr>
        <w:t xml:space="preserve">, p.419.</w:t>
      </w:r>
    </w:p>
    <w:p w:rsidR="00000000" w:rsidDel="00000000" w:rsidP="00000000" w:rsidRDefault="00000000" w:rsidRPr="00000000" w14:paraId="00000041">
      <w:pPr>
        <w:spacing w:after="0" w:line="360" w:lineRule="auto"/>
        <w:jc w:val="both"/>
        <w:rPr/>
      </w:pPr>
      <w:r w:rsidDel="00000000" w:rsidR="00000000" w:rsidRPr="00000000">
        <w:rPr>
          <w:rtl w:val="0"/>
        </w:rPr>
        <w:t xml:space="preserve">Gascon, A., Gamache, D., St</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Laurent, D. and Stipanicic, A. (2022). Do we over</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diagnose ADHD in North America? A critical review and clinical recommendations. </w:t>
      </w:r>
      <w:r w:rsidDel="00000000" w:rsidR="00000000" w:rsidRPr="00000000">
        <w:rPr>
          <w:i w:val="1"/>
          <w:rtl w:val="0"/>
        </w:rPr>
        <w:t xml:space="preserve">Journal of Clinical Psychology</w:t>
      </w:r>
      <w:r w:rsidDel="00000000" w:rsidR="00000000" w:rsidRPr="00000000">
        <w:rPr>
          <w:rtl w:val="0"/>
        </w:rPr>
        <w:t xml:space="preserve">, </w:t>
      </w:r>
      <w:r w:rsidDel="00000000" w:rsidR="00000000" w:rsidRPr="00000000">
        <w:rPr>
          <w:i w:val="1"/>
          <w:rtl w:val="0"/>
        </w:rPr>
        <w:t xml:space="preserve">78</w:t>
      </w:r>
      <w:r w:rsidDel="00000000" w:rsidR="00000000" w:rsidRPr="00000000">
        <w:rPr>
          <w:rtl w:val="0"/>
        </w:rPr>
        <w:t xml:space="preserve">(12), pp.2363-2380.</w:t>
      </w:r>
    </w:p>
    <w:p w:rsidR="00000000" w:rsidDel="00000000" w:rsidP="00000000" w:rsidRDefault="00000000" w:rsidRPr="00000000" w14:paraId="00000042">
      <w:pPr>
        <w:spacing w:after="0" w:line="360" w:lineRule="auto"/>
        <w:jc w:val="both"/>
        <w:rPr/>
      </w:pPr>
      <w:r w:rsidDel="00000000" w:rsidR="00000000" w:rsidRPr="00000000">
        <w:rPr>
          <w:rtl w:val="0"/>
        </w:rPr>
        <w:t xml:space="preserve">Gnielka, V., Magalhães, L.S., Anzolin, A.P.S., Machado, B.V.D., da Silva, V.M.M. and Kauer-Sant’Anna, M. (2025). Mixed Features and Rapid Cycling. In </w:t>
      </w:r>
      <w:r w:rsidDel="00000000" w:rsidR="00000000" w:rsidRPr="00000000">
        <w:rPr>
          <w:i w:val="1"/>
          <w:rtl w:val="0"/>
        </w:rPr>
        <w:t xml:space="preserve">Bipolar Disorder: An Evidence-Based Clinical Guide</w:t>
      </w:r>
      <w:r w:rsidDel="00000000" w:rsidR="00000000" w:rsidRPr="00000000">
        <w:rPr>
          <w:rtl w:val="0"/>
        </w:rPr>
        <w:t xml:space="preserve"> (pp. 415-438). Cham: Springer Nature Switzerland.</w:t>
      </w:r>
    </w:p>
    <w:p w:rsidR="00000000" w:rsidDel="00000000" w:rsidP="00000000" w:rsidRDefault="00000000" w:rsidRPr="00000000" w14:paraId="00000043">
      <w:pPr>
        <w:spacing w:after="0" w:line="360" w:lineRule="auto"/>
        <w:jc w:val="both"/>
        <w:rPr/>
      </w:pPr>
      <w:r w:rsidDel="00000000" w:rsidR="00000000" w:rsidRPr="00000000">
        <w:rPr>
          <w:rtl w:val="0"/>
        </w:rPr>
        <w:t xml:space="preserve">Goes, F. S. (2023). Diagnosis and management of bipolar disorders. </w:t>
      </w:r>
      <w:r w:rsidDel="00000000" w:rsidR="00000000" w:rsidRPr="00000000">
        <w:rPr>
          <w:i w:val="1"/>
          <w:rtl w:val="0"/>
        </w:rPr>
        <w:t xml:space="preserve">bmj</w:t>
      </w:r>
      <w:r w:rsidDel="00000000" w:rsidR="00000000" w:rsidRPr="00000000">
        <w:rPr>
          <w:rtl w:val="0"/>
        </w:rPr>
        <w:t xml:space="preserve">, </w:t>
      </w:r>
      <w:r w:rsidDel="00000000" w:rsidR="00000000" w:rsidRPr="00000000">
        <w:rPr>
          <w:i w:val="1"/>
          <w:rtl w:val="0"/>
        </w:rPr>
        <w:t xml:space="preserve">381</w:t>
      </w:r>
      <w:r w:rsidDel="00000000" w:rsidR="00000000" w:rsidRPr="00000000">
        <w:rPr>
          <w:rtl w:val="0"/>
        </w:rPr>
        <w:t xml:space="preserve">.</w:t>
      </w:r>
    </w:p>
    <w:p w:rsidR="00000000" w:rsidDel="00000000" w:rsidP="00000000" w:rsidRDefault="00000000" w:rsidRPr="00000000" w14:paraId="00000044">
      <w:pPr>
        <w:spacing w:after="0" w:line="360" w:lineRule="auto"/>
        <w:jc w:val="both"/>
        <w:rPr/>
      </w:pPr>
      <w:r w:rsidDel="00000000" w:rsidR="00000000" w:rsidRPr="00000000">
        <w:rPr>
          <w:rtl w:val="0"/>
        </w:rPr>
        <w:t xml:space="preserve">Hualparuca-Olivera, L., Caycho-Rodríguez, T., Torales, J., Ramos-Vera, C., Ramos-Campos, D., Córdova-Gónzales, L. and Vigo-Ayasta, E. (2025). Culture and ICD-11 personality disorder: Implications for clinical practice across diverse ethnic groups. </w:t>
      </w:r>
      <w:r w:rsidDel="00000000" w:rsidR="00000000" w:rsidRPr="00000000">
        <w:rPr>
          <w:i w:val="1"/>
          <w:rtl w:val="0"/>
        </w:rPr>
        <w:t xml:space="preserve">International Journal of Social Psychiatry</w:t>
      </w:r>
      <w:r w:rsidDel="00000000" w:rsidR="00000000" w:rsidRPr="00000000">
        <w:rPr>
          <w:rtl w:val="0"/>
        </w:rPr>
        <w:t xml:space="preserve">, </w:t>
      </w:r>
      <w:r w:rsidDel="00000000" w:rsidR="00000000" w:rsidRPr="00000000">
        <w:rPr>
          <w:i w:val="1"/>
          <w:rtl w:val="0"/>
        </w:rPr>
        <w:t xml:space="preserve">71</w:t>
      </w:r>
      <w:r w:rsidDel="00000000" w:rsidR="00000000" w:rsidRPr="00000000">
        <w:rPr>
          <w:rtl w:val="0"/>
        </w:rPr>
        <w:t xml:space="preserve">(1), pp.25-54.</w:t>
      </w:r>
    </w:p>
    <w:p w:rsidR="00000000" w:rsidDel="00000000" w:rsidP="00000000" w:rsidRDefault="00000000" w:rsidRPr="00000000" w14:paraId="00000045">
      <w:pPr>
        <w:spacing w:after="0" w:line="360" w:lineRule="auto"/>
        <w:jc w:val="both"/>
        <w:rPr/>
      </w:pPr>
      <w:r w:rsidDel="00000000" w:rsidR="00000000" w:rsidRPr="00000000">
        <w:rPr>
          <w:rtl w:val="0"/>
        </w:rPr>
        <w:t xml:space="preserve">Jadav, N. and Bal, V.H. (2022). Associations between co</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occurring conditions and age of autism diagnosis: Implications for mental health training and adult autism research. </w:t>
      </w:r>
      <w:r w:rsidDel="00000000" w:rsidR="00000000" w:rsidRPr="00000000">
        <w:rPr>
          <w:i w:val="1"/>
          <w:rtl w:val="0"/>
        </w:rPr>
        <w:t xml:space="preserve">Autism Research</w:t>
      </w:r>
      <w:r w:rsidDel="00000000" w:rsidR="00000000" w:rsidRPr="00000000">
        <w:rPr>
          <w:rtl w:val="0"/>
        </w:rPr>
        <w:t xml:space="preserve">, </w:t>
      </w:r>
      <w:r w:rsidDel="00000000" w:rsidR="00000000" w:rsidRPr="00000000">
        <w:rPr>
          <w:i w:val="1"/>
          <w:rtl w:val="0"/>
        </w:rPr>
        <w:t xml:space="preserve">15</w:t>
      </w:r>
      <w:r w:rsidDel="00000000" w:rsidR="00000000" w:rsidRPr="00000000">
        <w:rPr>
          <w:rtl w:val="0"/>
        </w:rPr>
        <w:t xml:space="preserve">(11), pp.2112-2125.</w:t>
      </w:r>
    </w:p>
    <w:p w:rsidR="00000000" w:rsidDel="00000000" w:rsidP="00000000" w:rsidRDefault="00000000" w:rsidRPr="00000000" w14:paraId="00000046">
      <w:pPr>
        <w:spacing w:after="0" w:line="360" w:lineRule="auto"/>
        <w:jc w:val="both"/>
        <w:rPr/>
      </w:pPr>
      <w:r w:rsidDel="00000000" w:rsidR="00000000" w:rsidRPr="00000000">
        <w:rPr>
          <w:rtl w:val="0"/>
        </w:rPr>
        <w:t xml:space="preserve">Karhausen, L. (2025). Mental Disorder. In </w:t>
      </w:r>
      <w:r w:rsidDel="00000000" w:rsidR="00000000" w:rsidRPr="00000000">
        <w:rPr>
          <w:i w:val="1"/>
          <w:rtl w:val="0"/>
        </w:rPr>
        <w:t xml:space="preserve">Analytical Philosophy of Medicine: Scientific Philosophy and Philosophy of Medicine</w:t>
      </w:r>
      <w:r w:rsidDel="00000000" w:rsidR="00000000" w:rsidRPr="00000000">
        <w:rPr>
          <w:rtl w:val="0"/>
        </w:rPr>
        <w:t xml:space="preserve"> (pp. 209-281). Cham: Springer Nature Switzerland.</w:t>
      </w:r>
    </w:p>
    <w:p w:rsidR="00000000" w:rsidDel="00000000" w:rsidP="00000000" w:rsidRDefault="00000000" w:rsidRPr="00000000" w14:paraId="00000047">
      <w:pPr>
        <w:spacing w:after="0" w:line="360" w:lineRule="auto"/>
        <w:jc w:val="both"/>
        <w:rPr/>
      </w:pPr>
      <w:r w:rsidDel="00000000" w:rsidR="00000000" w:rsidRPr="00000000">
        <w:rPr>
          <w:rtl w:val="0"/>
        </w:rPr>
        <w:t xml:space="preserve">Langholm, C., Breitinger, S., Gray, L., Goes, F., Walker, A., Xiong, A., Stopel, C., Zandi, P., Frye, M.A. and Torous, J. (2023). Classifying and clustering mood disorder patients using smartphone data from a feasibility study. </w:t>
      </w:r>
      <w:r w:rsidDel="00000000" w:rsidR="00000000" w:rsidRPr="00000000">
        <w:rPr>
          <w:i w:val="1"/>
          <w:rtl w:val="0"/>
        </w:rPr>
        <w:t xml:space="preserve">npj Digital Medicine</w:t>
      </w:r>
      <w:r w:rsidDel="00000000" w:rsidR="00000000" w:rsidRPr="00000000">
        <w:rPr>
          <w:rtl w:val="0"/>
        </w:rPr>
        <w:t xml:space="preserve">, </w:t>
      </w:r>
      <w:r w:rsidDel="00000000" w:rsidR="00000000" w:rsidRPr="00000000">
        <w:rPr>
          <w:i w:val="1"/>
          <w:rtl w:val="0"/>
        </w:rPr>
        <w:t xml:space="preserve">6</w:t>
      </w:r>
      <w:r w:rsidDel="00000000" w:rsidR="00000000" w:rsidRPr="00000000">
        <w:rPr>
          <w:rtl w:val="0"/>
        </w:rPr>
        <w:t xml:space="preserve">(1), p.238.</w:t>
      </w:r>
    </w:p>
    <w:p w:rsidR="00000000" w:rsidDel="00000000" w:rsidP="00000000" w:rsidRDefault="00000000" w:rsidRPr="00000000" w14:paraId="00000048">
      <w:pPr>
        <w:spacing w:after="0" w:line="360" w:lineRule="auto"/>
        <w:jc w:val="both"/>
        <w:rPr/>
      </w:pPr>
      <w:r w:rsidDel="00000000" w:rsidR="00000000" w:rsidRPr="00000000">
        <w:rPr>
          <w:rtl w:val="0"/>
        </w:rPr>
        <w:t xml:space="preserve">Le, G.H., Wong, S., Lu, A., Vasudeva, S., Gill, H., Badulescu, S., Portelles, D.R., Zheng, Y.J., Teopiz, K.M., Meshkat, S. and Kwan, A.T. (2025). Electroencephalography (EEG) spectral signatures of selective serotonin reuptake inhibitors (SSRIs), selective norepinephrine reuptake inhibitors (SNRIs) and vortioxetine in major depressive disorder: A systematic review. </w:t>
      </w:r>
      <w:r w:rsidDel="00000000" w:rsidR="00000000" w:rsidRPr="00000000">
        <w:rPr>
          <w:i w:val="1"/>
          <w:rtl w:val="0"/>
        </w:rPr>
        <w:t xml:space="preserve">Journal of Affective Disorders</w:t>
      </w:r>
      <w:r w:rsidDel="00000000" w:rsidR="00000000" w:rsidRPr="00000000">
        <w:rPr>
          <w:rtl w:val="0"/>
        </w:rPr>
        <w:t xml:space="preserve">, </w:t>
      </w:r>
      <w:r w:rsidDel="00000000" w:rsidR="00000000" w:rsidRPr="00000000">
        <w:rPr>
          <w:i w:val="1"/>
          <w:rtl w:val="0"/>
        </w:rPr>
        <w:t xml:space="preserve">368</w:t>
      </w:r>
      <w:r w:rsidDel="00000000" w:rsidR="00000000" w:rsidRPr="00000000">
        <w:rPr>
          <w:rtl w:val="0"/>
        </w:rPr>
        <w:t xml:space="preserve">, pp.798-819.</w:t>
      </w:r>
    </w:p>
    <w:p w:rsidR="00000000" w:rsidDel="00000000" w:rsidP="00000000" w:rsidRDefault="00000000" w:rsidRPr="00000000" w14:paraId="00000049">
      <w:pPr>
        <w:spacing w:after="0" w:line="360" w:lineRule="auto"/>
        <w:jc w:val="both"/>
        <w:rPr/>
      </w:pPr>
      <w:r w:rsidDel="00000000" w:rsidR="00000000" w:rsidRPr="00000000">
        <w:rPr>
          <w:rtl w:val="0"/>
        </w:rPr>
        <w:t xml:space="preserve">Ma, S., Yang, J., Yang, B., Kang, L., Wang, P., Zhang, N., Wang, W., Zong, X., Wang, Y., Bai, H. and Guo, Q. (2021). The patient health questionnaire-9 vs. the hamilton rating scale for depression in assessing major depressive disorder. </w:t>
      </w:r>
      <w:r w:rsidDel="00000000" w:rsidR="00000000" w:rsidRPr="00000000">
        <w:rPr>
          <w:i w:val="1"/>
          <w:rtl w:val="0"/>
        </w:rPr>
        <w:t xml:space="preserve">Frontiers in psychiatry</w:t>
      </w:r>
      <w:r w:rsidDel="00000000" w:rsidR="00000000" w:rsidRPr="00000000">
        <w:rPr>
          <w:rtl w:val="0"/>
        </w:rPr>
        <w:t xml:space="preserve">, </w:t>
      </w:r>
      <w:r w:rsidDel="00000000" w:rsidR="00000000" w:rsidRPr="00000000">
        <w:rPr>
          <w:i w:val="1"/>
          <w:rtl w:val="0"/>
        </w:rPr>
        <w:t xml:space="preserve">12</w:t>
      </w:r>
      <w:r w:rsidDel="00000000" w:rsidR="00000000" w:rsidRPr="00000000">
        <w:rPr>
          <w:rtl w:val="0"/>
        </w:rPr>
        <w:t xml:space="preserve">, p.747139.</w:t>
      </w:r>
    </w:p>
    <w:p w:rsidR="00000000" w:rsidDel="00000000" w:rsidP="00000000" w:rsidRDefault="00000000" w:rsidRPr="00000000" w14:paraId="0000004A">
      <w:pPr>
        <w:spacing w:after="0" w:line="360" w:lineRule="auto"/>
        <w:jc w:val="both"/>
        <w:rPr/>
      </w:pPr>
      <w:r w:rsidDel="00000000" w:rsidR="00000000" w:rsidRPr="00000000">
        <w:rPr>
          <w:rtl w:val="0"/>
        </w:rPr>
        <w:t xml:space="preserve">Malhi, G.S., Bell, E., Boyce, P., Mulder, R., Bassett, D., Hamilton, A., Morris, G., Bryant, R., Hazell, P., Hopwood, M. and Lyndon, B. (2022). NICE guideline for depression ranks short</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term psychodynamic psychotherapy (STTP). </w:t>
      </w:r>
      <w:r w:rsidDel="00000000" w:rsidR="00000000" w:rsidRPr="00000000">
        <w:rPr>
          <w:i w:val="1"/>
          <w:rtl w:val="0"/>
        </w:rPr>
        <w:t xml:space="preserve">Bipolar Disorders</w:t>
      </w:r>
      <w:r w:rsidDel="00000000" w:rsidR="00000000" w:rsidRPr="00000000">
        <w:rPr>
          <w:rtl w:val="0"/>
        </w:rPr>
        <w:t xml:space="preserve">, </w:t>
      </w:r>
      <w:r w:rsidDel="00000000" w:rsidR="00000000" w:rsidRPr="00000000">
        <w:rPr>
          <w:i w:val="1"/>
          <w:rtl w:val="0"/>
        </w:rPr>
        <w:t xml:space="preserve">24</w:t>
      </w:r>
      <w:r w:rsidDel="00000000" w:rsidR="00000000" w:rsidRPr="00000000">
        <w:rPr>
          <w:rtl w:val="0"/>
        </w:rPr>
        <w:t xml:space="preserve">(5), pp.467-471.</w:t>
      </w:r>
    </w:p>
    <w:p w:rsidR="00000000" w:rsidDel="00000000" w:rsidP="00000000" w:rsidRDefault="00000000" w:rsidRPr="00000000" w14:paraId="0000004B">
      <w:pPr>
        <w:spacing w:after="0" w:line="360" w:lineRule="auto"/>
        <w:jc w:val="both"/>
        <w:rPr/>
      </w:pPr>
      <w:r w:rsidDel="00000000" w:rsidR="00000000" w:rsidRPr="00000000">
        <w:rPr>
          <w:rtl w:val="0"/>
        </w:rPr>
        <w:t xml:space="preserve">Martin, C., Iqbal, Z., Airey, N.D. and Marks, L. (2022). Improving Access to Psychological Therapies (IAPT) has potential but is not sufficient: How can it better meet the range of primary care mental health needs?. </w:t>
      </w:r>
      <w:r w:rsidDel="00000000" w:rsidR="00000000" w:rsidRPr="00000000">
        <w:rPr>
          <w:i w:val="1"/>
          <w:rtl w:val="0"/>
        </w:rPr>
        <w:t xml:space="preserve">British Journal of Clinical Psychology</w:t>
      </w:r>
      <w:r w:rsidDel="00000000" w:rsidR="00000000" w:rsidRPr="00000000">
        <w:rPr>
          <w:rtl w:val="0"/>
        </w:rPr>
        <w:t xml:space="preserve">, </w:t>
      </w:r>
      <w:r w:rsidDel="00000000" w:rsidR="00000000" w:rsidRPr="00000000">
        <w:rPr>
          <w:i w:val="1"/>
          <w:rtl w:val="0"/>
        </w:rPr>
        <w:t xml:space="preserve">61</w:t>
      </w:r>
      <w:r w:rsidDel="00000000" w:rsidR="00000000" w:rsidRPr="00000000">
        <w:rPr>
          <w:rtl w:val="0"/>
        </w:rPr>
        <w:t xml:space="preserve">(1), pp.157-174.</w:t>
      </w:r>
    </w:p>
    <w:p w:rsidR="00000000" w:rsidDel="00000000" w:rsidP="00000000" w:rsidRDefault="00000000" w:rsidRPr="00000000" w14:paraId="0000004C">
      <w:pPr>
        <w:spacing w:after="0" w:line="360" w:lineRule="auto"/>
        <w:jc w:val="both"/>
        <w:rPr/>
      </w:pPr>
      <w:r w:rsidDel="00000000" w:rsidR="00000000" w:rsidRPr="00000000">
        <w:rPr>
          <w:rtl w:val="0"/>
        </w:rPr>
        <w:t xml:space="preserve">Mental Health Foundation (2022). </w:t>
      </w:r>
      <w:r w:rsidDel="00000000" w:rsidR="00000000" w:rsidRPr="00000000">
        <w:rPr>
          <w:i w:val="1"/>
          <w:rtl w:val="0"/>
        </w:rPr>
        <w:t xml:space="preserve">Peer support</w:t>
      </w:r>
      <w:r w:rsidDel="00000000" w:rsidR="00000000" w:rsidRPr="00000000">
        <w:rPr>
          <w:rtl w:val="0"/>
        </w:rPr>
        <w:t xml:space="preserve">. [online] www.mentalhealth.org.uk. Available at: </w:t>
      </w:r>
      <w:hyperlink r:id="rId8">
        <w:r w:rsidDel="00000000" w:rsidR="00000000" w:rsidRPr="00000000">
          <w:rPr>
            <w:color w:val="0563c1"/>
            <w:u w:val="single"/>
            <w:rtl w:val="0"/>
          </w:rPr>
          <w:t xml:space="preserve">https://www.mentalhealth.org.uk/explore-mental-health/a-z-topics/peer-support</w:t>
        </w:r>
      </w:hyperlink>
      <w:r w:rsidDel="00000000" w:rsidR="00000000" w:rsidRPr="00000000">
        <w:rPr>
          <w:rtl w:val="0"/>
        </w:rPr>
        <w:t xml:space="preserve"> [Accessed 13 Oct. 2025].</w:t>
      </w:r>
    </w:p>
    <w:p w:rsidR="00000000" w:rsidDel="00000000" w:rsidP="00000000" w:rsidRDefault="00000000" w:rsidRPr="00000000" w14:paraId="0000004D">
      <w:pPr>
        <w:spacing w:after="0" w:line="360" w:lineRule="auto"/>
        <w:jc w:val="both"/>
        <w:rPr/>
      </w:pPr>
      <w:r w:rsidDel="00000000" w:rsidR="00000000" w:rsidRPr="00000000">
        <w:rPr>
          <w:rtl w:val="0"/>
        </w:rPr>
        <w:t xml:space="preserve">Mısır, E., Özel, B., Altıntaş, E., Özbek, M.M., Alıcı, Y.H. and Cengisiz, C. (2025). Longitudinal Relationship Between Affective Personality Traits and Atypical and Melancholic Features in Major Depressive Disorder. </w:t>
      </w:r>
      <w:r w:rsidDel="00000000" w:rsidR="00000000" w:rsidRPr="00000000">
        <w:rPr>
          <w:i w:val="1"/>
          <w:rtl w:val="0"/>
        </w:rPr>
        <w:t xml:space="preserve">Psychiatry and Behavioral Sciences</w:t>
      </w:r>
      <w:r w:rsidDel="00000000" w:rsidR="00000000" w:rsidRPr="00000000">
        <w:rPr>
          <w:rtl w:val="0"/>
        </w:rPr>
        <w:t xml:space="preserve">, </w:t>
      </w:r>
      <w:r w:rsidDel="00000000" w:rsidR="00000000" w:rsidRPr="00000000">
        <w:rPr>
          <w:i w:val="1"/>
          <w:rtl w:val="0"/>
        </w:rPr>
        <w:t xml:space="preserve">15</w:t>
      </w:r>
      <w:r w:rsidDel="00000000" w:rsidR="00000000" w:rsidRPr="00000000">
        <w:rPr>
          <w:rtl w:val="0"/>
        </w:rPr>
        <w:t xml:space="preserve">(3), pp.136-47.</w:t>
      </w:r>
    </w:p>
    <w:p w:rsidR="00000000" w:rsidDel="00000000" w:rsidP="00000000" w:rsidRDefault="00000000" w:rsidRPr="00000000" w14:paraId="0000004E">
      <w:pPr>
        <w:spacing w:after="0" w:line="360" w:lineRule="auto"/>
        <w:jc w:val="both"/>
        <w:rPr/>
      </w:pPr>
      <w:r w:rsidDel="00000000" w:rsidR="00000000" w:rsidRPr="00000000">
        <w:rPr>
          <w:rtl w:val="0"/>
        </w:rPr>
        <w:t xml:space="preserve">Naeem, N. and Farooqi, R. (2024). Treatment-Resistant Mood Disorders. </w:t>
      </w:r>
      <w:r w:rsidDel="00000000" w:rsidR="00000000" w:rsidRPr="00000000">
        <w:rPr>
          <w:i w:val="1"/>
          <w:rtl w:val="0"/>
        </w:rPr>
        <w:t xml:space="preserve">Pakistan Journal of Medical Sciences</w:t>
      </w:r>
      <w:r w:rsidDel="00000000" w:rsidR="00000000" w:rsidRPr="00000000">
        <w:rPr>
          <w:rtl w:val="0"/>
        </w:rPr>
        <w:t xml:space="preserve">, </w:t>
      </w:r>
      <w:r w:rsidDel="00000000" w:rsidR="00000000" w:rsidRPr="00000000">
        <w:rPr>
          <w:i w:val="1"/>
          <w:rtl w:val="0"/>
        </w:rPr>
        <w:t xml:space="preserve">40</w:t>
      </w:r>
      <w:r w:rsidDel="00000000" w:rsidR="00000000" w:rsidRPr="00000000">
        <w:rPr>
          <w:rtl w:val="0"/>
        </w:rPr>
        <w:t xml:space="preserve">(9), p.2141.</w:t>
      </w:r>
    </w:p>
    <w:p w:rsidR="00000000" w:rsidDel="00000000" w:rsidP="00000000" w:rsidRDefault="00000000" w:rsidRPr="00000000" w14:paraId="0000004F">
      <w:pPr>
        <w:spacing w:after="0" w:line="360" w:lineRule="auto"/>
        <w:jc w:val="both"/>
        <w:rPr/>
      </w:pPr>
      <w:r w:rsidDel="00000000" w:rsidR="00000000" w:rsidRPr="00000000">
        <w:rPr>
          <w:rtl w:val="0"/>
        </w:rPr>
        <w:t xml:space="preserve">Nemeroff, C.B., Schatzberg, A.F., Rasgon, N. and Strakowski, S.M. eds. (2022). </w:t>
      </w:r>
      <w:r w:rsidDel="00000000" w:rsidR="00000000" w:rsidRPr="00000000">
        <w:rPr>
          <w:i w:val="1"/>
          <w:rtl w:val="0"/>
        </w:rPr>
        <w:t xml:space="preserve">The American Psychiatric Association publishing textbook of mood disorders</w:t>
      </w:r>
      <w:r w:rsidDel="00000000" w:rsidR="00000000" w:rsidRPr="00000000">
        <w:rPr>
          <w:rtl w:val="0"/>
        </w:rPr>
        <w:t xml:space="preserve">. American Psychiatric Pub.</w:t>
      </w:r>
    </w:p>
    <w:p w:rsidR="00000000" w:rsidDel="00000000" w:rsidP="00000000" w:rsidRDefault="00000000" w:rsidRPr="00000000" w14:paraId="00000050">
      <w:pPr>
        <w:spacing w:after="0" w:line="360" w:lineRule="auto"/>
        <w:jc w:val="both"/>
        <w:rPr/>
      </w:pPr>
      <w:r w:rsidDel="00000000" w:rsidR="00000000" w:rsidRPr="00000000">
        <w:rPr>
          <w:rtl w:val="0"/>
        </w:rPr>
        <w:t xml:space="preserve">NHS (2024). </w:t>
      </w:r>
      <w:r w:rsidDel="00000000" w:rsidR="00000000" w:rsidRPr="00000000">
        <w:rPr>
          <w:i w:val="1"/>
          <w:rtl w:val="0"/>
        </w:rPr>
        <w:t xml:space="preserve">Bipolar disorder</w:t>
      </w:r>
      <w:r w:rsidDel="00000000" w:rsidR="00000000" w:rsidRPr="00000000">
        <w:rPr>
          <w:rtl w:val="0"/>
        </w:rPr>
        <w:t xml:space="preserve">. [online] nhs.uk. Available at: </w:t>
      </w:r>
      <w:hyperlink r:id="rId9">
        <w:r w:rsidDel="00000000" w:rsidR="00000000" w:rsidRPr="00000000">
          <w:rPr>
            <w:color w:val="0563c1"/>
            <w:u w:val="single"/>
            <w:rtl w:val="0"/>
          </w:rPr>
          <w:t xml:space="preserve">https://www.nhs.uk/mental-health/conditions/bipolar-disorder/</w:t>
        </w:r>
      </w:hyperlink>
      <w:r w:rsidDel="00000000" w:rsidR="00000000" w:rsidRPr="00000000">
        <w:rPr>
          <w:rtl w:val="0"/>
        </w:rPr>
        <w:t xml:space="preserve"> [Accessed 13 Oct. 2025].</w:t>
      </w:r>
    </w:p>
    <w:p w:rsidR="00000000" w:rsidDel="00000000" w:rsidP="00000000" w:rsidRDefault="00000000" w:rsidRPr="00000000" w14:paraId="00000051">
      <w:pPr>
        <w:spacing w:after="0" w:line="360" w:lineRule="auto"/>
        <w:jc w:val="both"/>
        <w:rPr/>
      </w:pPr>
      <w:r w:rsidDel="00000000" w:rsidR="00000000" w:rsidRPr="00000000">
        <w:rPr>
          <w:rtl w:val="0"/>
        </w:rPr>
        <w:t xml:space="preserve">Qureshi, M.M. and Young, A. (2024). The and Classification the Unipolar/Bipolar of Mood Dichotomy Disorders. </w:t>
      </w:r>
      <w:r w:rsidDel="00000000" w:rsidR="00000000" w:rsidRPr="00000000">
        <w:rPr>
          <w:i w:val="1"/>
          <w:rtl w:val="0"/>
        </w:rPr>
        <w:t xml:space="preserve">Clinical Textbook of Mood Disorders</w:t>
      </w:r>
      <w:r w:rsidDel="00000000" w:rsidR="00000000" w:rsidRPr="00000000">
        <w:rPr>
          <w:rtl w:val="0"/>
        </w:rPr>
        <w:t xml:space="preserve">, </w:t>
      </w:r>
      <w:r w:rsidDel="00000000" w:rsidR="00000000" w:rsidRPr="00000000">
        <w:rPr>
          <w:i w:val="1"/>
          <w:rtl w:val="0"/>
        </w:rPr>
        <w:t xml:space="preserve">34</w:t>
      </w:r>
      <w:r w:rsidDel="00000000" w:rsidR="00000000" w:rsidRPr="00000000">
        <w:rPr>
          <w:rtl w:val="0"/>
        </w:rPr>
        <w:t xml:space="preserve">, p.10.</w:t>
      </w:r>
    </w:p>
    <w:p w:rsidR="00000000" w:rsidDel="00000000" w:rsidP="00000000" w:rsidRDefault="00000000" w:rsidRPr="00000000" w14:paraId="00000052">
      <w:pPr>
        <w:spacing w:after="0" w:line="360" w:lineRule="auto"/>
        <w:jc w:val="both"/>
        <w:rPr/>
      </w:pPr>
      <w:r w:rsidDel="00000000" w:rsidR="00000000" w:rsidRPr="00000000">
        <w:rPr>
          <w:rtl w:val="0"/>
        </w:rPr>
        <w:t xml:space="preserve">Rybakowski, J. K. (2023). Application of antipsychotic drugs in mood disorders. </w:t>
      </w:r>
      <w:r w:rsidDel="00000000" w:rsidR="00000000" w:rsidRPr="00000000">
        <w:rPr>
          <w:i w:val="1"/>
          <w:rtl w:val="0"/>
        </w:rPr>
        <w:t xml:space="preserve">Brain Sciences</w:t>
      </w:r>
      <w:r w:rsidDel="00000000" w:rsidR="00000000" w:rsidRPr="00000000">
        <w:rPr>
          <w:rtl w:val="0"/>
        </w:rPr>
        <w:t xml:space="preserve">, </w:t>
      </w:r>
      <w:r w:rsidDel="00000000" w:rsidR="00000000" w:rsidRPr="00000000">
        <w:rPr>
          <w:i w:val="1"/>
          <w:rtl w:val="0"/>
        </w:rPr>
        <w:t xml:space="preserve">13</w:t>
      </w:r>
      <w:r w:rsidDel="00000000" w:rsidR="00000000" w:rsidRPr="00000000">
        <w:rPr>
          <w:rtl w:val="0"/>
        </w:rPr>
        <w:t xml:space="preserve">(3), p.414.</w:t>
      </w:r>
    </w:p>
    <w:p w:rsidR="00000000" w:rsidDel="00000000" w:rsidP="00000000" w:rsidRDefault="00000000" w:rsidRPr="00000000" w14:paraId="00000053">
      <w:pPr>
        <w:spacing w:after="0" w:line="360" w:lineRule="auto"/>
        <w:jc w:val="both"/>
        <w:rPr/>
      </w:pPr>
      <w:r w:rsidDel="00000000" w:rsidR="00000000" w:rsidRPr="00000000">
        <w:rPr>
          <w:rtl w:val="0"/>
        </w:rPr>
        <w:t xml:space="preserve">Schaeuffele, C., Meine, L.E., Schulz, A., Weber, M.C., Moser, A., Paersch, C., Recher, D., Boettcher, J., Renneberg, B., Flückiger, C. and Kleim, B. (2024). A systematic review and meta-analysis of transdiagnostic cognitive behavioural therapies for emotional disorders. </w:t>
      </w:r>
      <w:r w:rsidDel="00000000" w:rsidR="00000000" w:rsidRPr="00000000">
        <w:rPr>
          <w:i w:val="1"/>
          <w:rtl w:val="0"/>
        </w:rPr>
        <w:t xml:space="preserve">Nature Human Behaviour</w:t>
      </w:r>
      <w:r w:rsidDel="00000000" w:rsidR="00000000" w:rsidRPr="00000000">
        <w:rPr>
          <w:rtl w:val="0"/>
        </w:rPr>
        <w:t xml:space="preserve">, </w:t>
      </w:r>
      <w:r w:rsidDel="00000000" w:rsidR="00000000" w:rsidRPr="00000000">
        <w:rPr>
          <w:i w:val="1"/>
          <w:rtl w:val="0"/>
        </w:rPr>
        <w:t xml:space="preserve">8</w:t>
      </w:r>
      <w:r w:rsidDel="00000000" w:rsidR="00000000" w:rsidRPr="00000000">
        <w:rPr>
          <w:rtl w:val="0"/>
        </w:rPr>
        <w:t xml:space="preserve">(3), pp.493-509.</w:t>
      </w:r>
    </w:p>
    <w:p w:rsidR="00000000" w:rsidDel="00000000" w:rsidP="00000000" w:rsidRDefault="00000000" w:rsidRPr="00000000" w14:paraId="00000054">
      <w:pPr>
        <w:spacing w:after="0" w:line="360" w:lineRule="auto"/>
        <w:jc w:val="both"/>
        <w:rPr/>
      </w:pPr>
      <w:r w:rsidDel="00000000" w:rsidR="00000000" w:rsidRPr="00000000">
        <w:rPr>
          <w:rtl w:val="0"/>
        </w:rPr>
        <w:t xml:space="preserve">Shabani, A., Masoumian, S., Zamirinejad, S., Hejri, M., Pirmorad, T. and Yaghmaeezadeh, H. (2021). Psychometric properties of structured clinical interview for DSM</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5 disorders</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clinician version (SCID</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5</w:t>
      </w:r>
      <w:r w:rsidDel="00000000" w:rsidR="00000000" w:rsidRPr="00000000">
        <w:rPr>
          <w:rFonts w:ascii="Cambria Math" w:cs="Cambria Math" w:eastAsia="Cambria Math" w:hAnsi="Cambria Math"/>
          <w:rtl w:val="0"/>
        </w:rPr>
        <w:t xml:space="preserve">‐</w:t>
      </w:r>
      <w:r w:rsidDel="00000000" w:rsidR="00000000" w:rsidRPr="00000000">
        <w:rPr>
          <w:rtl w:val="0"/>
        </w:rPr>
        <w:t xml:space="preserve">CV). </w:t>
      </w:r>
      <w:r w:rsidDel="00000000" w:rsidR="00000000" w:rsidRPr="00000000">
        <w:rPr>
          <w:i w:val="1"/>
          <w:rtl w:val="0"/>
        </w:rPr>
        <w:t xml:space="preserve">Brain and Behavior</w:t>
      </w:r>
      <w:r w:rsidDel="00000000" w:rsidR="00000000" w:rsidRPr="00000000">
        <w:rPr>
          <w:rtl w:val="0"/>
        </w:rPr>
        <w:t xml:space="preserve">, </w:t>
      </w:r>
      <w:r w:rsidDel="00000000" w:rsidR="00000000" w:rsidRPr="00000000">
        <w:rPr>
          <w:i w:val="1"/>
          <w:rtl w:val="0"/>
        </w:rPr>
        <w:t xml:space="preserve">11</w:t>
      </w:r>
      <w:r w:rsidDel="00000000" w:rsidR="00000000" w:rsidRPr="00000000">
        <w:rPr>
          <w:rtl w:val="0"/>
        </w:rPr>
        <w:t xml:space="preserve">(5), p.e01894.</w:t>
      </w:r>
    </w:p>
    <w:p w:rsidR="00000000" w:rsidDel="00000000" w:rsidP="00000000" w:rsidRDefault="00000000" w:rsidRPr="00000000" w14:paraId="00000055">
      <w:pPr>
        <w:spacing w:after="0" w:line="360" w:lineRule="auto"/>
        <w:jc w:val="both"/>
        <w:rPr/>
      </w:pPr>
      <w:r w:rsidDel="00000000" w:rsidR="00000000" w:rsidRPr="00000000">
        <w:rPr>
          <w:rtl w:val="0"/>
        </w:rPr>
        <w:t xml:space="preserve">Țenea-Cojan, Ș.T., Dinescu, V.C., Gheorman, V., Dragne, I.G., Gheorman, V., Forțofoiu, M.C., Fortofoiu, M. and Dobrinescu, A.G. (2025). Exploring multidisciplinary approaches to comorbid psychiatric and medical disorders: A scoping review. </w:t>
      </w:r>
      <w:r w:rsidDel="00000000" w:rsidR="00000000" w:rsidRPr="00000000">
        <w:rPr>
          <w:i w:val="1"/>
          <w:rtl w:val="0"/>
        </w:rPr>
        <w:t xml:space="preserve">Life</w:t>
      </w:r>
      <w:r w:rsidDel="00000000" w:rsidR="00000000" w:rsidRPr="00000000">
        <w:rPr>
          <w:rtl w:val="0"/>
        </w:rPr>
        <w:t xml:space="preserve">, </w:t>
      </w:r>
      <w:r w:rsidDel="00000000" w:rsidR="00000000" w:rsidRPr="00000000">
        <w:rPr>
          <w:i w:val="1"/>
          <w:rtl w:val="0"/>
        </w:rPr>
        <w:t xml:space="preserve">15</w:t>
      </w:r>
      <w:r w:rsidDel="00000000" w:rsidR="00000000" w:rsidRPr="00000000">
        <w:rPr>
          <w:rtl w:val="0"/>
        </w:rPr>
        <w:t xml:space="preserve">(2), p.251.</w:t>
      </w:r>
    </w:p>
    <w:p w:rsidR="00000000" w:rsidDel="00000000" w:rsidP="00000000" w:rsidRDefault="00000000" w:rsidRPr="00000000" w14:paraId="00000056">
      <w:pPr>
        <w:spacing w:after="0" w:line="360" w:lineRule="auto"/>
        <w:jc w:val="both"/>
        <w:rPr/>
      </w:pPr>
      <w:r w:rsidDel="00000000" w:rsidR="00000000" w:rsidRPr="00000000">
        <w:rPr>
          <w:rtl w:val="0"/>
        </w:rPr>
        <w:t xml:space="preserve">Weintraub, M.J., Schneck, C.D., Posta, F., Merranko, J.A., Singh, M.K., Chang, K.D. and Miklowitz, D.J. (2022). Effects of family intervention on psychosocial functioning and mood symptoms of youth at high risk for bipolar disorder. </w:t>
      </w:r>
      <w:r w:rsidDel="00000000" w:rsidR="00000000" w:rsidRPr="00000000">
        <w:rPr>
          <w:i w:val="1"/>
          <w:rtl w:val="0"/>
        </w:rPr>
        <w:t xml:space="preserve">Journal of Consulting and Clinical Psychology</w:t>
      </w:r>
      <w:r w:rsidDel="00000000" w:rsidR="00000000" w:rsidRPr="00000000">
        <w:rPr>
          <w:rtl w:val="0"/>
        </w:rPr>
        <w:t xml:space="preserve">, </w:t>
      </w:r>
      <w:r w:rsidDel="00000000" w:rsidR="00000000" w:rsidRPr="00000000">
        <w:rPr>
          <w:i w:val="1"/>
          <w:rtl w:val="0"/>
        </w:rPr>
        <w:t xml:space="preserve">90</w:t>
      </w:r>
      <w:r w:rsidDel="00000000" w:rsidR="00000000" w:rsidRPr="00000000">
        <w:rPr>
          <w:rtl w:val="0"/>
        </w:rPr>
        <w:t xml:space="preserve">(2), p.161.</w:t>
      </w:r>
    </w:p>
    <w:p w:rsidR="00000000" w:rsidDel="00000000" w:rsidP="00000000" w:rsidRDefault="00000000" w:rsidRPr="00000000" w14:paraId="00000057">
      <w:pPr>
        <w:spacing w:after="0" w:line="360" w:lineRule="auto"/>
        <w:jc w:val="both"/>
        <w:rPr/>
      </w:pPr>
      <w:r w:rsidDel="00000000" w:rsidR="00000000" w:rsidRPr="00000000">
        <w:rPr>
          <w:rtl w:val="0"/>
        </w:rPr>
        <w:t xml:space="preserve">WHO (2024). </w:t>
      </w:r>
      <w:r w:rsidDel="00000000" w:rsidR="00000000" w:rsidRPr="00000000">
        <w:rPr>
          <w:i w:val="1"/>
          <w:rtl w:val="0"/>
        </w:rPr>
        <w:t xml:space="preserve">ICD-11 for Mortality and Morbidity Statistics- 6A80 Symptomatic and course presentations for mood episodes in mood disorders</w:t>
      </w:r>
      <w:r w:rsidDel="00000000" w:rsidR="00000000" w:rsidRPr="00000000">
        <w:rPr>
          <w:rtl w:val="0"/>
        </w:rPr>
        <w:t xml:space="preserve">. [online] Available at: </w:t>
      </w:r>
      <w:hyperlink r:id="rId10">
        <w:r w:rsidDel="00000000" w:rsidR="00000000" w:rsidRPr="00000000">
          <w:rPr>
            <w:color w:val="0563c1"/>
            <w:u w:val="single"/>
            <w:rtl w:val="0"/>
          </w:rPr>
          <w:t xml:space="preserve">https://icd.who.int/browse/2024-01/mms/en#496273089</w:t>
        </w:r>
      </w:hyperlink>
      <w:r w:rsidDel="00000000" w:rsidR="00000000" w:rsidRPr="00000000">
        <w:rPr>
          <w:rtl w:val="0"/>
        </w:rPr>
        <w:t xml:space="preserve"> [Accessed 13 Oct. 2025].</w:t>
      </w:r>
    </w:p>
    <w:p w:rsidR="00000000" w:rsidDel="00000000" w:rsidP="00000000" w:rsidRDefault="00000000" w:rsidRPr="00000000" w14:paraId="00000058">
      <w:pPr>
        <w:spacing w:after="0" w:line="360" w:lineRule="auto"/>
        <w:jc w:val="both"/>
        <w:rPr/>
      </w:pPr>
      <w:r w:rsidDel="00000000" w:rsidR="00000000" w:rsidRPr="00000000">
        <w:rPr>
          <w:rtl w:val="0"/>
        </w:rPr>
        <w:t xml:space="preserve">World Health Organization. (2024). </w:t>
      </w:r>
      <w:r w:rsidDel="00000000" w:rsidR="00000000" w:rsidRPr="00000000">
        <w:rPr>
          <w:i w:val="1"/>
          <w:rtl w:val="0"/>
        </w:rPr>
        <w:t xml:space="preserve">Clinical descriptions and diagnostic requirements for ICD-11 mental, behavioural and neurodevelopmental disorders</w:t>
      </w:r>
      <w:r w:rsidDel="00000000" w:rsidR="00000000" w:rsidRPr="00000000">
        <w:rPr>
          <w:rtl w:val="0"/>
        </w:rPr>
        <w:t xml:space="preserve">. World Health Organization.</w:t>
      </w:r>
    </w:p>
    <w:p w:rsidR="00000000" w:rsidDel="00000000" w:rsidP="00000000" w:rsidRDefault="00000000" w:rsidRPr="00000000" w14:paraId="00000059">
      <w:pPr>
        <w:spacing w:after="0" w:line="360" w:lineRule="auto"/>
        <w:jc w:val="both"/>
        <w:rPr/>
      </w:pPr>
      <w:r w:rsidDel="00000000" w:rsidR="00000000" w:rsidRPr="00000000">
        <w:rPr>
          <w:rtl w:val="0"/>
        </w:rPr>
        <w:t xml:space="preserve">Yee, C.S., Vazquez, G.H., Hawken, E.R., Biorac, A., Tondo, L. and Baldessarini, R.J. (2021). Long-term treatment of bipolar disorder with valproate: updated systematic review and meta-analyses. </w:t>
      </w:r>
      <w:r w:rsidDel="00000000" w:rsidR="00000000" w:rsidRPr="00000000">
        <w:rPr>
          <w:i w:val="1"/>
          <w:rtl w:val="0"/>
        </w:rPr>
        <w:t xml:space="preserve">Harvard review of psychiatry</w:t>
      </w:r>
      <w:r w:rsidDel="00000000" w:rsidR="00000000" w:rsidRPr="00000000">
        <w:rPr>
          <w:rtl w:val="0"/>
        </w:rPr>
        <w:t xml:space="preserve">, </w:t>
      </w:r>
      <w:r w:rsidDel="00000000" w:rsidR="00000000" w:rsidRPr="00000000">
        <w:rPr>
          <w:i w:val="1"/>
          <w:rtl w:val="0"/>
        </w:rPr>
        <w:t xml:space="preserve">29</w:t>
      </w:r>
      <w:r w:rsidDel="00000000" w:rsidR="00000000" w:rsidRPr="00000000">
        <w:rPr>
          <w:rtl w:val="0"/>
        </w:rPr>
        <w:t xml:space="preserve">(3), pp.188-195.</w:t>
      </w:r>
    </w:p>
    <w:p w:rsidR="00000000" w:rsidDel="00000000" w:rsidP="00000000" w:rsidRDefault="00000000" w:rsidRPr="00000000" w14:paraId="0000005A">
      <w:pPr>
        <w:spacing w:after="0" w:line="360" w:lineRule="auto"/>
        <w:jc w:val="both"/>
        <w:rPr/>
      </w:pPr>
      <w:r w:rsidDel="00000000" w:rsidR="00000000" w:rsidRPr="00000000">
        <w:rPr>
          <w:rtl w:val="0"/>
        </w:rPr>
        <w:t xml:space="preserve">Yoon, S. and Kim, Y.K. (2022). Possible oxytocin-related biomarkers in anxiety and mood disorders. </w:t>
      </w:r>
      <w:r w:rsidDel="00000000" w:rsidR="00000000" w:rsidRPr="00000000">
        <w:rPr>
          <w:i w:val="1"/>
          <w:rtl w:val="0"/>
        </w:rPr>
        <w:t xml:space="preserve">Progress in Neuro-Psychopharmacology and Biological Psychiatry</w:t>
      </w:r>
      <w:r w:rsidDel="00000000" w:rsidR="00000000" w:rsidRPr="00000000">
        <w:rPr>
          <w:rtl w:val="0"/>
        </w:rPr>
        <w:t xml:space="preserve">, </w:t>
      </w:r>
      <w:r w:rsidDel="00000000" w:rsidR="00000000" w:rsidRPr="00000000">
        <w:rPr>
          <w:i w:val="1"/>
          <w:rtl w:val="0"/>
        </w:rPr>
        <w:t xml:space="preserve">116</w:t>
      </w:r>
      <w:r w:rsidDel="00000000" w:rsidR="00000000" w:rsidRPr="00000000">
        <w:rPr>
          <w:rtl w:val="0"/>
        </w:rPr>
        <w:t xml:space="preserve">, p.110531.</w:t>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b w:val="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5D">
      <w:pPr>
        <w:pStyle w:val="Heading1"/>
        <w:spacing w:line="360" w:lineRule="auto"/>
        <w:rPr>
          <w:rFonts w:ascii="Arial" w:cs="Arial" w:eastAsia="Arial" w:hAnsi="Arial"/>
          <w:b w:val="1"/>
          <w:color w:val="000000"/>
          <w:sz w:val="32"/>
          <w:szCs w:val="32"/>
        </w:rPr>
      </w:pPr>
      <w:bookmarkStart w:colFirst="0" w:colLast="0" w:name="_heading=h.t0dgicrbkdhg" w:id="7"/>
      <w:bookmarkEnd w:id="7"/>
      <w:r w:rsidDel="00000000" w:rsidR="00000000" w:rsidRPr="00000000">
        <w:rPr>
          <w:rFonts w:ascii="Arial" w:cs="Arial" w:eastAsia="Arial" w:hAnsi="Arial"/>
          <w:b w:val="1"/>
          <w:color w:val="000000"/>
          <w:sz w:val="32"/>
          <w:szCs w:val="32"/>
          <w:rtl w:val="0"/>
        </w:rPr>
        <w:t xml:space="preserve">Appendix</w:t>
      </w:r>
    </w:p>
    <w:p w:rsidR="00000000" w:rsidDel="00000000" w:rsidP="00000000" w:rsidRDefault="00000000" w:rsidRPr="00000000" w14:paraId="0000005E">
      <w:pPr>
        <w:keepNext w:val="1"/>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Arial" w:cs="Arial" w:eastAsia="Arial" w:hAnsi="Arial"/>
          <w:b w:val="1"/>
          <w:i w:val="0"/>
          <w:smallCaps w:val="0"/>
          <w:strike w:val="0"/>
          <w:color w:val="000000"/>
          <w:sz w:val="18"/>
          <w:szCs w:val="18"/>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Table 1: Comparison of ICD-10 and ICD-11 Approaches to Mood Disorder Classification</w:t>
      </w:r>
    </w:p>
    <w:tbl>
      <w:tblPr>
        <w:tblStyle w:val="Table2"/>
        <w:tblW w:w="935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673"/>
        <w:gridCol w:w="3627"/>
        <w:gridCol w:w="4050"/>
        <w:tblGridChange w:id="0">
          <w:tblGrid>
            <w:gridCol w:w="1673"/>
            <w:gridCol w:w="3627"/>
            <w:gridCol w:w="4050"/>
          </w:tblGrid>
        </w:tblGridChange>
      </w:tblGrid>
      <w:tr>
        <w:trPr>
          <w:cantSplit w:val="0"/>
          <w:tblHeader w:val="0"/>
        </w:trPr>
        <w:tc>
          <w:tcPr>
            <w:shd w:fill="e7e6e6" w:val="clear"/>
            <w:vAlign w:val="center"/>
          </w:tcPr>
          <w:p w:rsidR="00000000" w:rsidDel="00000000" w:rsidP="00000000" w:rsidRDefault="00000000" w:rsidRPr="00000000" w14:paraId="0000005F">
            <w:pPr>
              <w:spacing w:after="160" w:line="278.00000000000006" w:lineRule="auto"/>
              <w:jc w:val="center"/>
              <w:rPr>
                <w:b w:val="1"/>
                <w:sz w:val="20"/>
                <w:szCs w:val="20"/>
              </w:rPr>
            </w:pPr>
            <w:r w:rsidDel="00000000" w:rsidR="00000000" w:rsidRPr="00000000">
              <w:rPr>
                <w:b w:val="1"/>
                <w:sz w:val="20"/>
                <w:szCs w:val="20"/>
                <w:rtl w:val="0"/>
              </w:rPr>
              <w:t xml:space="preserve">Aspect</w:t>
            </w:r>
          </w:p>
        </w:tc>
        <w:tc>
          <w:tcPr>
            <w:shd w:fill="e7e6e6" w:val="clear"/>
            <w:vAlign w:val="center"/>
          </w:tcPr>
          <w:p w:rsidR="00000000" w:rsidDel="00000000" w:rsidP="00000000" w:rsidRDefault="00000000" w:rsidRPr="00000000" w14:paraId="00000060">
            <w:pPr>
              <w:spacing w:after="160" w:line="278.00000000000006" w:lineRule="auto"/>
              <w:jc w:val="center"/>
              <w:rPr>
                <w:b w:val="1"/>
                <w:sz w:val="20"/>
                <w:szCs w:val="20"/>
              </w:rPr>
            </w:pPr>
            <w:r w:rsidDel="00000000" w:rsidR="00000000" w:rsidRPr="00000000">
              <w:rPr>
                <w:b w:val="1"/>
                <w:sz w:val="20"/>
                <w:szCs w:val="20"/>
                <w:rtl w:val="0"/>
              </w:rPr>
              <w:t xml:space="preserve">ICD-10 Approach</w:t>
            </w:r>
          </w:p>
        </w:tc>
        <w:tc>
          <w:tcPr>
            <w:shd w:fill="e7e6e6" w:val="clear"/>
            <w:vAlign w:val="center"/>
          </w:tcPr>
          <w:p w:rsidR="00000000" w:rsidDel="00000000" w:rsidP="00000000" w:rsidRDefault="00000000" w:rsidRPr="00000000" w14:paraId="00000061">
            <w:pPr>
              <w:spacing w:after="160" w:line="278.00000000000006" w:lineRule="auto"/>
              <w:jc w:val="center"/>
              <w:rPr>
                <w:b w:val="1"/>
                <w:sz w:val="20"/>
                <w:szCs w:val="20"/>
              </w:rPr>
            </w:pPr>
            <w:r w:rsidDel="00000000" w:rsidR="00000000" w:rsidRPr="00000000">
              <w:rPr>
                <w:b w:val="1"/>
                <w:sz w:val="20"/>
                <w:szCs w:val="20"/>
                <w:rtl w:val="0"/>
              </w:rPr>
              <w:t xml:space="preserve">ICD-11 Approach</w:t>
            </w:r>
          </w:p>
        </w:tc>
      </w:tr>
      <w:tr>
        <w:trPr>
          <w:cantSplit w:val="0"/>
          <w:tblHeader w:val="0"/>
        </w:trPr>
        <w:tc>
          <w:tcPr>
            <w:shd w:fill="e7e6e6" w:val="clear"/>
            <w:vAlign w:val="center"/>
          </w:tcPr>
          <w:p w:rsidR="00000000" w:rsidDel="00000000" w:rsidP="00000000" w:rsidRDefault="00000000" w:rsidRPr="00000000" w14:paraId="00000062">
            <w:pPr>
              <w:spacing w:after="160" w:line="278.00000000000006" w:lineRule="auto"/>
              <w:jc w:val="center"/>
              <w:rPr>
                <w:b w:val="1"/>
                <w:sz w:val="20"/>
                <w:szCs w:val="20"/>
              </w:rPr>
            </w:pPr>
            <w:r w:rsidDel="00000000" w:rsidR="00000000" w:rsidRPr="00000000">
              <w:rPr>
                <w:b w:val="1"/>
                <w:sz w:val="20"/>
                <w:szCs w:val="20"/>
                <w:rtl w:val="0"/>
              </w:rPr>
              <w:t xml:space="preserve">Diagnostic Model</w:t>
            </w:r>
          </w:p>
        </w:tc>
        <w:tc>
          <w:tcPr>
            <w:shd w:fill="e7e6e6" w:val="clear"/>
            <w:vAlign w:val="center"/>
          </w:tcPr>
          <w:p w:rsidR="00000000" w:rsidDel="00000000" w:rsidP="00000000" w:rsidRDefault="00000000" w:rsidRPr="00000000" w14:paraId="00000063">
            <w:pPr>
              <w:spacing w:after="160" w:line="278.00000000000006" w:lineRule="auto"/>
              <w:rPr>
                <w:sz w:val="20"/>
                <w:szCs w:val="20"/>
              </w:rPr>
            </w:pPr>
            <w:r w:rsidDel="00000000" w:rsidR="00000000" w:rsidRPr="00000000">
              <w:rPr>
                <w:sz w:val="20"/>
                <w:szCs w:val="20"/>
                <w:rtl w:val="0"/>
              </w:rPr>
              <w:t xml:space="preserve">Categorical—distinct disorders defined by symptom lists</w:t>
            </w:r>
          </w:p>
        </w:tc>
        <w:tc>
          <w:tcPr>
            <w:shd w:fill="e7e6e6" w:val="clear"/>
            <w:vAlign w:val="center"/>
          </w:tcPr>
          <w:p w:rsidR="00000000" w:rsidDel="00000000" w:rsidP="00000000" w:rsidRDefault="00000000" w:rsidRPr="00000000" w14:paraId="00000064">
            <w:pPr>
              <w:spacing w:after="160" w:line="278.00000000000006" w:lineRule="auto"/>
              <w:rPr>
                <w:sz w:val="20"/>
                <w:szCs w:val="20"/>
              </w:rPr>
            </w:pPr>
            <w:r w:rsidDel="00000000" w:rsidR="00000000" w:rsidRPr="00000000">
              <w:rPr>
                <w:sz w:val="20"/>
                <w:szCs w:val="20"/>
                <w:rtl w:val="0"/>
              </w:rPr>
              <w:t xml:space="preserve">Dimensional—focus on severity and symptom overlap</w:t>
            </w:r>
          </w:p>
        </w:tc>
      </w:tr>
      <w:tr>
        <w:trPr>
          <w:cantSplit w:val="0"/>
          <w:tblHeader w:val="0"/>
        </w:trPr>
        <w:tc>
          <w:tcPr>
            <w:shd w:fill="e7e6e6" w:val="clear"/>
            <w:vAlign w:val="center"/>
          </w:tcPr>
          <w:p w:rsidR="00000000" w:rsidDel="00000000" w:rsidP="00000000" w:rsidRDefault="00000000" w:rsidRPr="00000000" w14:paraId="00000065">
            <w:pPr>
              <w:spacing w:after="160" w:line="278.00000000000006" w:lineRule="auto"/>
              <w:jc w:val="center"/>
              <w:rPr>
                <w:b w:val="1"/>
                <w:sz w:val="20"/>
                <w:szCs w:val="20"/>
              </w:rPr>
            </w:pPr>
            <w:r w:rsidDel="00000000" w:rsidR="00000000" w:rsidRPr="00000000">
              <w:rPr>
                <w:b w:val="1"/>
                <w:sz w:val="20"/>
                <w:szCs w:val="20"/>
                <w:rtl w:val="0"/>
              </w:rPr>
              <w:t xml:space="preserve">Role of Specifiers</w:t>
            </w:r>
          </w:p>
        </w:tc>
        <w:tc>
          <w:tcPr>
            <w:shd w:fill="e7e6e6" w:val="clear"/>
            <w:vAlign w:val="center"/>
          </w:tcPr>
          <w:p w:rsidR="00000000" w:rsidDel="00000000" w:rsidP="00000000" w:rsidRDefault="00000000" w:rsidRPr="00000000" w14:paraId="00000066">
            <w:pPr>
              <w:spacing w:after="160" w:line="278.00000000000006" w:lineRule="auto"/>
              <w:rPr>
                <w:sz w:val="20"/>
                <w:szCs w:val="20"/>
              </w:rPr>
            </w:pPr>
            <w:r w:rsidDel="00000000" w:rsidR="00000000" w:rsidRPr="00000000">
              <w:rPr>
                <w:sz w:val="20"/>
                <w:szCs w:val="20"/>
                <w:rtl w:val="0"/>
              </w:rPr>
              <w:t xml:space="preserve">Limited use, mainly for episode type</w:t>
            </w:r>
          </w:p>
        </w:tc>
        <w:tc>
          <w:tcPr>
            <w:shd w:fill="e7e6e6" w:val="clear"/>
            <w:vAlign w:val="center"/>
          </w:tcPr>
          <w:p w:rsidR="00000000" w:rsidDel="00000000" w:rsidP="00000000" w:rsidRDefault="00000000" w:rsidRPr="00000000" w14:paraId="00000067">
            <w:pPr>
              <w:spacing w:after="160" w:line="278.00000000000006" w:lineRule="auto"/>
              <w:rPr>
                <w:sz w:val="20"/>
                <w:szCs w:val="20"/>
              </w:rPr>
            </w:pPr>
            <w:r w:rsidDel="00000000" w:rsidR="00000000" w:rsidRPr="00000000">
              <w:rPr>
                <w:sz w:val="20"/>
                <w:szCs w:val="20"/>
                <w:rtl w:val="0"/>
              </w:rPr>
              <w:t xml:space="preserve">Extensive use (e.g., 6A80) to describe mood episode characteristics</w:t>
            </w:r>
          </w:p>
        </w:tc>
      </w:tr>
      <w:tr>
        <w:trPr>
          <w:cantSplit w:val="0"/>
          <w:tblHeader w:val="0"/>
        </w:trPr>
        <w:tc>
          <w:tcPr>
            <w:shd w:fill="e7e6e6" w:val="clear"/>
            <w:vAlign w:val="center"/>
          </w:tcPr>
          <w:p w:rsidR="00000000" w:rsidDel="00000000" w:rsidP="00000000" w:rsidRDefault="00000000" w:rsidRPr="00000000" w14:paraId="00000068">
            <w:pPr>
              <w:spacing w:after="160" w:line="278.00000000000006" w:lineRule="auto"/>
              <w:jc w:val="center"/>
              <w:rPr>
                <w:b w:val="1"/>
                <w:sz w:val="20"/>
                <w:szCs w:val="20"/>
              </w:rPr>
            </w:pPr>
            <w:r w:rsidDel="00000000" w:rsidR="00000000" w:rsidRPr="00000000">
              <w:rPr>
                <w:b w:val="1"/>
                <w:sz w:val="20"/>
                <w:szCs w:val="20"/>
                <w:rtl w:val="0"/>
              </w:rPr>
              <w:t xml:space="preserve">Flexibility</w:t>
            </w:r>
          </w:p>
        </w:tc>
        <w:tc>
          <w:tcPr>
            <w:shd w:fill="e7e6e6" w:val="clear"/>
            <w:vAlign w:val="center"/>
          </w:tcPr>
          <w:p w:rsidR="00000000" w:rsidDel="00000000" w:rsidP="00000000" w:rsidRDefault="00000000" w:rsidRPr="00000000" w14:paraId="00000069">
            <w:pPr>
              <w:spacing w:after="160" w:line="278.00000000000006" w:lineRule="auto"/>
              <w:rPr>
                <w:sz w:val="20"/>
                <w:szCs w:val="20"/>
              </w:rPr>
            </w:pPr>
            <w:r w:rsidDel="00000000" w:rsidR="00000000" w:rsidRPr="00000000">
              <w:rPr>
                <w:sz w:val="20"/>
                <w:szCs w:val="20"/>
                <w:rtl w:val="0"/>
              </w:rPr>
              <w:t xml:space="preserve">Fixed categories (e.g., depressive episode, bipolar disorder)</w:t>
            </w:r>
          </w:p>
        </w:tc>
        <w:tc>
          <w:tcPr>
            <w:shd w:fill="e7e6e6" w:val="clear"/>
            <w:vAlign w:val="center"/>
          </w:tcPr>
          <w:p w:rsidR="00000000" w:rsidDel="00000000" w:rsidP="00000000" w:rsidRDefault="00000000" w:rsidRPr="00000000" w14:paraId="0000006A">
            <w:pPr>
              <w:spacing w:after="160" w:line="278.00000000000006" w:lineRule="auto"/>
              <w:rPr>
                <w:sz w:val="20"/>
                <w:szCs w:val="20"/>
              </w:rPr>
            </w:pPr>
            <w:r w:rsidDel="00000000" w:rsidR="00000000" w:rsidRPr="00000000">
              <w:rPr>
                <w:sz w:val="20"/>
                <w:szCs w:val="20"/>
                <w:rtl w:val="0"/>
              </w:rPr>
              <w:t xml:space="preserve">Flexible coding combining core disorder and specifiers</w:t>
            </w:r>
          </w:p>
        </w:tc>
      </w:tr>
      <w:tr>
        <w:trPr>
          <w:cantSplit w:val="0"/>
          <w:tblHeader w:val="0"/>
        </w:trPr>
        <w:tc>
          <w:tcPr>
            <w:shd w:fill="e7e6e6" w:val="clear"/>
            <w:vAlign w:val="center"/>
          </w:tcPr>
          <w:p w:rsidR="00000000" w:rsidDel="00000000" w:rsidP="00000000" w:rsidRDefault="00000000" w:rsidRPr="00000000" w14:paraId="0000006B">
            <w:pPr>
              <w:spacing w:after="160" w:line="278.00000000000006" w:lineRule="auto"/>
              <w:jc w:val="center"/>
              <w:rPr>
                <w:b w:val="1"/>
                <w:sz w:val="20"/>
                <w:szCs w:val="20"/>
              </w:rPr>
            </w:pPr>
            <w:r w:rsidDel="00000000" w:rsidR="00000000" w:rsidRPr="00000000">
              <w:rPr>
                <w:b w:val="1"/>
                <w:sz w:val="20"/>
                <w:szCs w:val="20"/>
                <w:rtl w:val="0"/>
              </w:rPr>
              <w:t xml:space="preserve">Clinical Focus</w:t>
            </w:r>
          </w:p>
        </w:tc>
        <w:tc>
          <w:tcPr>
            <w:shd w:fill="e7e6e6" w:val="clear"/>
            <w:vAlign w:val="center"/>
          </w:tcPr>
          <w:p w:rsidR="00000000" w:rsidDel="00000000" w:rsidP="00000000" w:rsidRDefault="00000000" w:rsidRPr="00000000" w14:paraId="0000006C">
            <w:pPr>
              <w:spacing w:after="160" w:line="278.00000000000006" w:lineRule="auto"/>
              <w:rPr>
                <w:sz w:val="20"/>
                <w:szCs w:val="20"/>
              </w:rPr>
            </w:pPr>
            <w:r w:rsidDel="00000000" w:rsidR="00000000" w:rsidRPr="00000000">
              <w:rPr>
                <w:sz w:val="20"/>
                <w:szCs w:val="20"/>
                <w:rtl w:val="0"/>
              </w:rPr>
              <w:t xml:space="preserve">Symptom count and duration</w:t>
            </w:r>
          </w:p>
        </w:tc>
        <w:tc>
          <w:tcPr>
            <w:shd w:fill="e7e6e6" w:val="clear"/>
            <w:vAlign w:val="center"/>
          </w:tcPr>
          <w:p w:rsidR="00000000" w:rsidDel="00000000" w:rsidP="00000000" w:rsidRDefault="00000000" w:rsidRPr="00000000" w14:paraId="0000006D">
            <w:pPr>
              <w:spacing w:after="160" w:line="278.00000000000006" w:lineRule="auto"/>
              <w:rPr>
                <w:sz w:val="20"/>
                <w:szCs w:val="20"/>
              </w:rPr>
            </w:pPr>
            <w:r w:rsidDel="00000000" w:rsidR="00000000" w:rsidRPr="00000000">
              <w:rPr>
                <w:sz w:val="20"/>
                <w:szCs w:val="20"/>
                <w:rtl w:val="0"/>
              </w:rPr>
              <w:t xml:space="preserve">Functional impact, course, and clinical presentation</w:t>
            </w:r>
          </w:p>
        </w:tc>
      </w:tr>
      <w:tr>
        <w:trPr>
          <w:cantSplit w:val="0"/>
          <w:tblHeader w:val="0"/>
        </w:trPr>
        <w:tc>
          <w:tcPr>
            <w:shd w:fill="e7e6e6" w:val="clear"/>
            <w:vAlign w:val="center"/>
          </w:tcPr>
          <w:p w:rsidR="00000000" w:rsidDel="00000000" w:rsidP="00000000" w:rsidRDefault="00000000" w:rsidRPr="00000000" w14:paraId="0000006E">
            <w:pPr>
              <w:spacing w:after="160" w:line="278.00000000000006" w:lineRule="auto"/>
              <w:jc w:val="center"/>
              <w:rPr>
                <w:b w:val="1"/>
                <w:sz w:val="20"/>
                <w:szCs w:val="20"/>
              </w:rPr>
            </w:pPr>
            <w:r w:rsidDel="00000000" w:rsidR="00000000" w:rsidRPr="00000000">
              <w:rPr>
                <w:b w:val="1"/>
                <w:sz w:val="20"/>
                <w:szCs w:val="20"/>
                <w:rtl w:val="0"/>
              </w:rPr>
              <w:t xml:space="preserve">Terminology</w:t>
            </w:r>
          </w:p>
        </w:tc>
        <w:tc>
          <w:tcPr>
            <w:shd w:fill="e7e6e6" w:val="clear"/>
            <w:vAlign w:val="center"/>
          </w:tcPr>
          <w:p w:rsidR="00000000" w:rsidDel="00000000" w:rsidP="00000000" w:rsidRDefault="00000000" w:rsidRPr="00000000" w14:paraId="0000006F">
            <w:pPr>
              <w:spacing w:after="160" w:line="278.00000000000006" w:lineRule="auto"/>
              <w:rPr>
                <w:sz w:val="20"/>
                <w:szCs w:val="20"/>
              </w:rPr>
            </w:pPr>
            <w:r w:rsidDel="00000000" w:rsidR="00000000" w:rsidRPr="00000000">
              <w:rPr>
                <w:sz w:val="20"/>
                <w:szCs w:val="20"/>
                <w:rtl w:val="0"/>
              </w:rPr>
              <w:t xml:space="preserve">“Disorder” dominates</w:t>
            </w:r>
          </w:p>
        </w:tc>
        <w:tc>
          <w:tcPr>
            <w:shd w:fill="e7e6e6" w:val="clear"/>
            <w:vAlign w:val="center"/>
          </w:tcPr>
          <w:p w:rsidR="00000000" w:rsidDel="00000000" w:rsidP="00000000" w:rsidRDefault="00000000" w:rsidRPr="00000000" w14:paraId="00000070">
            <w:pPr>
              <w:spacing w:after="160" w:line="278.00000000000006" w:lineRule="auto"/>
              <w:rPr>
                <w:sz w:val="20"/>
                <w:szCs w:val="20"/>
              </w:rPr>
            </w:pPr>
            <w:r w:rsidDel="00000000" w:rsidR="00000000" w:rsidRPr="00000000">
              <w:rPr>
                <w:sz w:val="20"/>
                <w:szCs w:val="20"/>
                <w:rtl w:val="0"/>
              </w:rPr>
              <w:t xml:space="preserve">Mix of “disorder,” “episode,” and “presentation” to reflect variability</w:t>
            </w:r>
          </w:p>
        </w:tc>
      </w:tr>
    </w:tbl>
    <w:p w:rsidR="00000000" w:rsidDel="00000000" w:rsidP="00000000" w:rsidRDefault="00000000" w:rsidRPr="00000000" w14:paraId="00000071">
      <w:pPr>
        <w:rPr/>
      </w:pPr>
      <w:r w:rsidDel="00000000" w:rsidR="00000000" w:rsidRPr="00000000">
        <w:rPr>
          <w:rtl w:val="0"/>
        </w:rPr>
      </w:r>
    </w:p>
    <w:sectPr>
      <w:footerReference r:id="rId11" w:type="default"/>
      <w:type w:val="continuous"/>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Cambria Math">
    <w:embedRegular w:fontKey="{00000000-0000-0000-0000-000000000000}" r:id="rId1"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Calibri" w:cs="Calibri" w:eastAsia="Calibri" w:hAnsi="Calibri"/>
      <w:color w:val="2f5496"/>
      <w:sz w:val="40"/>
      <w:szCs w:val="40"/>
    </w:rPr>
  </w:style>
  <w:style w:type="paragraph" w:styleId="Heading2">
    <w:name w:val="heading 2"/>
    <w:basedOn w:val="Normal"/>
    <w:next w:val="Normal"/>
    <w:pPr>
      <w:keepNext w:val="1"/>
      <w:keepLines w:val="1"/>
      <w:spacing w:after="80" w:before="160" w:lineRule="auto"/>
    </w:pPr>
    <w:rPr>
      <w:rFonts w:ascii="Calibri" w:cs="Calibri" w:eastAsia="Calibri" w:hAnsi="Calibri"/>
      <w:color w:val="2f5496"/>
      <w:sz w:val="32"/>
      <w:szCs w:val="32"/>
    </w:rPr>
  </w:style>
  <w:style w:type="paragraph" w:styleId="Heading3">
    <w:name w:val="heading 3"/>
    <w:basedOn w:val="Normal"/>
    <w:next w:val="Normal"/>
    <w:pPr>
      <w:keepNext w:val="1"/>
      <w:keepLines w:val="1"/>
      <w:spacing w:after="80" w:before="160" w:lineRule="auto"/>
    </w:pPr>
    <w:rPr>
      <w:rFonts w:ascii="Calibri" w:cs="Calibri" w:eastAsia="Calibri" w:hAnsi="Calibri"/>
      <w:color w:val="2f5496"/>
      <w:sz w:val="28"/>
      <w:szCs w:val="28"/>
    </w:rPr>
  </w:style>
  <w:style w:type="paragraph" w:styleId="Heading4">
    <w:name w:val="heading 4"/>
    <w:basedOn w:val="Normal"/>
    <w:next w:val="Normal"/>
    <w:pPr>
      <w:keepNext w:val="1"/>
      <w:keepLines w:val="1"/>
      <w:spacing w:after="40" w:before="80" w:lineRule="auto"/>
    </w:pPr>
    <w:rPr>
      <w:rFonts w:ascii="Calibri" w:cs="Calibri" w:eastAsia="Calibri" w:hAnsi="Calibri"/>
      <w:i w:val="1"/>
      <w:color w:val="2f5496"/>
    </w:rPr>
  </w:style>
  <w:style w:type="paragraph" w:styleId="Heading5">
    <w:name w:val="heading 5"/>
    <w:basedOn w:val="Normal"/>
    <w:next w:val="Normal"/>
    <w:pPr>
      <w:keepNext w:val="1"/>
      <w:keepLines w:val="1"/>
      <w:spacing w:after="40" w:before="80" w:lineRule="auto"/>
    </w:pPr>
    <w:rPr>
      <w:rFonts w:ascii="Calibri" w:cs="Calibri" w:eastAsia="Calibri" w:hAnsi="Calibri"/>
      <w:color w:val="2f5496"/>
    </w:rPr>
  </w:style>
  <w:style w:type="paragraph" w:styleId="Heading6">
    <w:name w:val="heading 6"/>
    <w:basedOn w:val="Normal"/>
    <w:next w:val="Normal"/>
    <w:pPr>
      <w:keepNext w:val="1"/>
      <w:keepLines w:val="1"/>
      <w:spacing w:after="0" w:before="40" w:lineRule="auto"/>
    </w:pPr>
    <w:rPr>
      <w:rFonts w:ascii="Calibri" w:cs="Calibri" w:eastAsia="Calibri" w:hAnsi="Calibri"/>
      <w:i w:val="1"/>
      <w:color w:val="595959"/>
    </w:rPr>
  </w:style>
  <w:style w:type="paragraph" w:styleId="Title">
    <w:name w:val="Title"/>
    <w:basedOn w:val="Normal"/>
    <w:next w:val="Normal"/>
    <w:pPr>
      <w:spacing w:after="80" w:line="240" w:lineRule="auto"/>
    </w:pPr>
    <w:rPr>
      <w:rFonts w:ascii="Calibri" w:cs="Calibri" w:eastAsia="Calibri" w:hAnsi="Calibri"/>
      <w:sz w:val="56"/>
      <w:szCs w:val="56"/>
    </w:rPr>
  </w:style>
  <w:style w:type="paragraph" w:styleId="Heading7">
    <w:name w:val="heading 7"/>
    <w:basedOn w:val="Normal"/>
    <w:next w:val="Normal"/>
    <w:link w:val="Heading7Char"/>
    <w:uiPriority w:val="9"/>
    <w:semiHidden w:val="1"/>
    <w:unhideWhenUsed w:val="1"/>
    <w:qFormat w:val="1"/>
    <w:rsid w:val="00BA1188"/>
    <w:pPr>
      <w:keepNext w:val="1"/>
      <w:keepLines w:val="1"/>
      <w:spacing w:after="0" w:before="40"/>
      <w:outlineLvl w:val="6"/>
    </w:pPr>
    <w:rPr>
      <w:rFonts w:asciiTheme="minorHAnsi" w:cstheme="majorBidi" w:hAnsiTheme="minorHAnsi"/>
      <w:color w:val="595959" w:themeColor="text1" w:themeTint="0000A6"/>
    </w:rPr>
  </w:style>
  <w:style w:type="paragraph" w:styleId="Heading8">
    <w:name w:val="heading 8"/>
    <w:basedOn w:val="Normal"/>
    <w:next w:val="Normal"/>
    <w:link w:val="Heading8Char"/>
    <w:uiPriority w:val="9"/>
    <w:semiHidden w:val="1"/>
    <w:unhideWhenUsed w:val="1"/>
    <w:qFormat w:val="1"/>
    <w:rsid w:val="00BA1188"/>
    <w:pPr>
      <w:keepNext w:val="1"/>
      <w:keepLines w:val="1"/>
      <w:spacing w:after="0"/>
      <w:outlineLvl w:val="7"/>
    </w:pPr>
    <w:rPr>
      <w:rFonts w:asciiTheme="minorHAnsi" w:cstheme="majorBidi" w:hAnsiTheme="minorHAnsi"/>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BA1188"/>
    <w:pPr>
      <w:keepNext w:val="1"/>
      <w:keepLines w:val="1"/>
      <w:spacing w:after="0"/>
      <w:outlineLvl w:val="8"/>
    </w:pPr>
    <w:rPr>
      <w:rFonts w:asciiTheme="minorHAnsi" w:cstheme="majorBidi" w:hAnsiTheme="minorHAnsi"/>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BA1188"/>
    <w:rPr>
      <w:rFonts w:asciiTheme="majorHAnsi" w:cstheme="majorBidi" w:hAnsiTheme="majorHAnsi"/>
      <w:color w:val="2f5496" w:themeColor="accent1" w:themeShade="0000BF"/>
      <w:sz w:val="40"/>
      <w:szCs w:val="40"/>
      <w:lang w:val="en-GB"/>
    </w:rPr>
  </w:style>
  <w:style w:type="character" w:styleId="Heading2Char" w:customStyle="1">
    <w:name w:val="Heading 2 Char"/>
    <w:basedOn w:val="DefaultParagraphFont"/>
    <w:link w:val="Heading2"/>
    <w:uiPriority w:val="9"/>
    <w:semiHidden w:val="1"/>
    <w:rsid w:val="00BA1188"/>
    <w:rPr>
      <w:rFonts w:asciiTheme="majorHAnsi" w:cstheme="majorBidi" w:hAnsiTheme="majorHAnsi"/>
      <w:color w:val="2f5496" w:themeColor="accent1" w:themeShade="0000BF"/>
      <w:sz w:val="32"/>
      <w:szCs w:val="32"/>
      <w:lang w:val="en-GB"/>
    </w:rPr>
  </w:style>
  <w:style w:type="character" w:styleId="Heading3Char" w:customStyle="1">
    <w:name w:val="Heading 3 Char"/>
    <w:basedOn w:val="DefaultParagraphFont"/>
    <w:link w:val="Heading3"/>
    <w:uiPriority w:val="9"/>
    <w:semiHidden w:val="1"/>
    <w:rsid w:val="00BA1188"/>
    <w:rPr>
      <w:rFonts w:asciiTheme="minorHAnsi" w:cstheme="majorBidi" w:hAnsiTheme="minorHAnsi"/>
      <w:color w:val="2f5496" w:themeColor="accent1" w:themeShade="0000BF"/>
      <w:sz w:val="28"/>
      <w:szCs w:val="28"/>
      <w:lang w:val="en-GB"/>
    </w:rPr>
  </w:style>
  <w:style w:type="character" w:styleId="Heading4Char" w:customStyle="1">
    <w:name w:val="Heading 4 Char"/>
    <w:basedOn w:val="DefaultParagraphFont"/>
    <w:link w:val="Heading4"/>
    <w:uiPriority w:val="9"/>
    <w:semiHidden w:val="1"/>
    <w:rsid w:val="00BA1188"/>
    <w:rPr>
      <w:rFonts w:asciiTheme="minorHAnsi" w:cstheme="majorBidi" w:hAnsiTheme="minorHAnsi"/>
      <w:i w:val="1"/>
      <w:iCs w:val="1"/>
      <w:color w:val="2f5496" w:themeColor="accent1" w:themeShade="0000BF"/>
      <w:lang w:val="en-GB"/>
    </w:rPr>
  </w:style>
  <w:style w:type="character" w:styleId="Heading5Char" w:customStyle="1">
    <w:name w:val="Heading 5 Char"/>
    <w:basedOn w:val="DefaultParagraphFont"/>
    <w:link w:val="Heading5"/>
    <w:uiPriority w:val="9"/>
    <w:semiHidden w:val="1"/>
    <w:rsid w:val="00BA1188"/>
    <w:rPr>
      <w:rFonts w:asciiTheme="minorHAnsi" w:cstheme="majorBidi" w:hAnsiTheme="minorHAnsi"/>
      <w:color w:val="2f5496" w:themeColor="accent1" w:themeShade="0000BF"/>
      <w:lang w:val="en-GB"/>
    </w:rPr>
  </w:style>
  <w:style w:type="character" w:styleId="Heading6Char" w:customStyle="1">
    <w:name w:val="Heading 6 Char"/>
    <w:basedOn w:val="DefaultParagraphFont"/>
    <w:link w:val="Heading6"/>
    <w:uiPriority w:val="9"/>
    <w:semiHidden w:val="1"/>
    <w:rsid w:val="00BA1188"/>
    <w:rPr>
      <w:rFonts w:asciiTheme="minorHAnsi" w:cstheme="majorBidi" w:hAnsiTheme="minorHAnsi"/>
      <w:i w:val="1"/>
      <w:iCs w:val="1"/>
      <w:color w:val="595959" w:themeColor="text1" w:themeTint="0000A6"/>
      <w:lang w:val="en-GB"/>
    </w:rPr>
  </w:style>
  <w:style w:type="character" w:styleId="Heading7Char" w:customStyle="1">
    <w:name w:val="Heading 7 Char"/>
    <w:basedOn w:val="DefaultParagraphFont"/>
    <w:link w:val="Heading7"/>
    <w:uiPriority w:val="9"/>
    <w:semiHidden w:val="1"/>
    <w:rsid w:val="00BA1188"/>
    <w:rPr>
      <w:rFonts w:asciiTheme="minorHAnsi" w:cstheme="majorBidi" w:hAnsiTheme="minorHAnsi"/>
      <w:color w:val="595959" w:themeColor="text1" w:themeTint="0000A6"/>
      <w:lang w:val="en-GB"/>
    </w:rPr>
  </w:style>
  <w:style w:type="character" w:styleId="Heading8Char" w:customStyle="1">
    <w:name w:val="Heading 8 Char"/>
    <w:basedOn w:val="DefaultParagraphFont"/>
    <w:link w:val="Heading8"/>
    <w:uiPriority w:val="9"/>
    <w:semiHidden w:val="1"/>
    <w:rsid w:val="00BA1188"/>
    <w:rPr>
      <w:rFonts w:asciiTheme="minorHAnsi" w:cstheme="majorBidi" w:hAnsiTheme="minorHAnsi"/>
      <w:i w:val="1"/>
      <w:iCs w:val="1"/>
      <w:color w:val="272727" w:themeColor="text1" w:themeTint="0000D8"/>
      <w:lang w:val="en-GB"/>
    </w:rPr>
  </w:style>
  <w:style w:type="character" w:styleId="Heading9Char" w:customStyle="1">
    <w:name w:val="Heading 9 Char"/>
    <w:basedOn w:val="DefaultParagraphFont"/>
    <w:link w:val="Heading9"/>
    <w:uiPriority w:val="9"/>
    <w:semiHidden w:val="1"/>
    <w:rsid w:val="00BA1188"/>
    <w:rPr>
      <w:rFonts w:asciiTheme="minorHAnsi" w:cstheme="majorBidi" w:hAnsiTheme="minorHAnsi"/>
      <w:color w:val="272727" w:themeColor="text1" w:themeTint="0000D8"/>
      <w:lang w:val="en-GB"/>
    </w:rPr>
  </w:style>
  <w:style w:type="character" w:styleId="TitleChar" w:customStyle="1">
    <w:name w:val="Title Char"/>
    <w:basedOn w:val="DefaultParagraphFont"/>
    <w:link w:val="Title"/>
    <w:uiPriority w:val="10"/>
    <w:rsid w:val="00BA1188"/>
    <w:rPr>
      <w:rFonts w:asciiTheme="majorHAnsi" w:cstheme="majorBidi" w:hAnsiTheme="majorHAnsi"/>
      <w:spacing w:val="-10"/>
      <w:kern w:val="28"/>
      <w:sz w:val="56"/>
      <w:szCs w:val="56"/>
      <w:lang w:val="en-GB"/>
    </w:rPr>
  </w:style>
  <w:style w:type="character" w:styleId="SubtitleChar" w:customStyle="1">
    <w:name w:val="Subtitle Char"/>
    <w:basedOn w:val="DefaultParagraphFont"/>
    <w:link w:val="Subtitle"/>
    <w:uiPriority w:val="11"/>
    <w:rsid w:val="00BA1188"/>
    <w:rPr>
      <w:rFonts w:asciiTheme="minorHAnsi" w:cstheme="majorBidi" w:hAnsiTheme="minorHAnsi"/>
      <w:color w:val="595959" w:themeColor="text1" w:themeTint="0000A6"/>
      <w:spacing w:val="15"/>
      <w:sz w:val="28"/>
      <w:szCs w:val="28"/>
      <w:lang w:val="en-GB"/>
    </w:rPr>
  </w:style>
  <w:style w:type="paragraph" w:styleId="Quote">
    <w:name w:val="Quote"/>
    <w:basedOn w:val="Normal"/>
    <w:next w:val="Normal"/>
    <w:link w:val="QuoteChar"/>
    <w:uiPriority w:val="29"/>
    <w:qFormat w:val="1"/>
    <w:rsid w:val="00BA1188"/>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BA1188"/>
    <w:rPr>
      <w:i w:val="1"/>
      <w:iCs w:val="1"/>
      <w:color w:val="404040" w:themeColor="text1" w:themeTint="0000BF"/>
      <w:lang w:val="en-GB"/>
    </w:rPr>
  </w:style>
  <w:style w:type="paragraph" w:styleId="ListParagraph">
    <w:name w:val="List Paragraph"/>
    <w:basedOn w:val="Normal"/>
    <w:uiPriority w:val="34"/>
    <w:qFormat w:val="1"/>
    <w:rsid w:val="00BA1188"/>
    <w:pPr>
      <w:ind w:left="720"/>
      <w:contextualSpacing w:val="1"/>
    </w:pPr>
  </w:style>
  <w:style w:type="character" w:styleId="IntenseEmphasis">
    <w:name w:val="Intense Emphasis"/>
    <w:basedOn w:val="DefaultParagraphFont"/>
    <w:uiPriority w:val="21"/>
    <w:qFormat w:val="1"/>
    <w:rsid w:val="00BA1188"/>
    <w:rPr>
      <w:i w:val="1"/>
      <w:iCs w:val="1"/>
      <w:color w:val="2f5496" w:themeColor="accent1" w:themeShade="0000BF"/>
    </w:rPr>
  </w:style>
  <w:style w:type="paragraph" w:styleId="IntenseQuote">
    <w:name w:val="Intense Quote"/>
    <w:basedOn w:val="Normal"/>
    <w:next w:val="Normal"/>
    <w:link w:val="IntenseQuoteChar"/>
    <w:uiPriority w:val="30"/>
    <w:qFormat w:val="1"/>
    <w:rsid w:val="00BA1188"/>
    <w:pPr>
      <w:pBdr>
        <w:top w:color="2f5496" w:space="10" w:sz="4" w:themeColor="accent1" w:themeShade="0000BF" w:val="single"/>
        <w:bottom w:color="2f5496" w:space="10" w:sz="4" w:themeColor="accent1" w:themeShade="0000BF" w:val="single"/>
      </w:pBdr>
      <w:spacing w:after="360" w:before="360"/>
      <w:ind w:left="864" w:right="864"/>
      <w:jc w:val="center"/>
    </w:pPr>
    <w:rPr>
      <w:i w:val="1"/>
      <w:iCs w:val="1"/>
      <w:color w:val="2f5496" w:themeColor="accent1" w:themeShade="0000BF"/>
    </w:rPr>
  </w:style>
  <w:style w:type="character" w:styleId="IntenseQuoteChar" w:customStyle="1">
    <w:name w:val="Intense Quote Char"/>
    <w:basedOn w:val="DefaultParagraphFont"/>
    <w:link w:val="IntenseQuote"/>
    <w:uiPriority w:val="30"/>
    <w:rsid w:val="00BA1188"/>
    <w:rPr>
      <w:i w:val="1"/>
      <w:iCs w:val="1"/>
      <w:color w:val="2f5496" w:themeColor="accent1" w:themeShade="0000BF"/>
      <w:lang w:val="en-GB"/>
    </w:rPr>
  </w:style>
  <w:style w:type="character" w:styleId="IntenseReference">
    <w:name w:val="Intense Reference"/>
    <w:basedOn w:val="DefaultParagraphFont"/>
    <w:uiPriority w:val="32"/>
    <w:qFormat w:val="1"/>
    <w:rsid w:val="00BA1188"/>
    <w:rPr>
      <w:b w:val="1"/>
      <w:bCs w:val="1"/>
      <w:smallCaps w:val="1"/>
      <w:color w:val="2f5496" w:themeColor="accent1" w:themeShade="0000BF"/>
      <w:spacing w:val="5"/>
    </w:rPr>
  </w:style>
  <w:style w:type="table" w:styleId="TableGrid">
    <w:name w:val="Table Grid"/>
    <w:basedOn w:val="TableNormal"/>
    <w:uiPriority w:val="39"/>
    <w:rsid w:val="0066511C"/>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NoSpacing">
    <w:name w:val="No Spacing"/>
    <w:uiPriority w:val="1"/>
    <w:qFormat w:val="1"/>
    <w:rsid w:val="00E229E6"/>
    <w:pPr>
      <w:spacing w:after="0" w:line="240" w:lineRule="auto"/>
    </w:pPr>
  </w:style>
  <w:style w:type="paragraph" w:styleId="TOCHeading">
    <w:name w:val="TOC Heading"/>
    <w:basedOn w:val="Heading1"/>
    <w:next w:val="Normal"/>
    <w:uiPriority w:val="39"/>
    <w:unhideWhenUsed w:val="1"/>
    <w:qFormat w:val="1"/>
    <w:rsid w:val="00E229E6"/>
    <w:pPr>
      <w:spacing w:after="0" w:before="240" w:line="259" w:lineRule="auto"/>
      <w:outlineLvl w:val="9"/>
    </w:pPr>
    <w:rPr>
      <w:kern w:val="0"/>
      <w:sz w:val="32"/>
      <w:szCs w:val="32"/>
      <w:lang w:eastAsia="en-US"/>
    </w:rPr>
  </w:style>
  <w:style w:type="paragraph" w:styleId="TOC1">
    <w:name w:val="toc 1"/>
    <w:basedOn w:val="Normal"/>
    <w:next w:val="Normal"/>
    <w:autoRedefine w:val="1"/>
    <w:uiPriority w:val="39"/>
    <w:unhideWhenUsed w:val="1"/>
    <w:rsid w:val="00E229E6"/>
    <w:pPr>
      <w:spacing w:after="100"/>
    </w:pPr>
  </w:style>
  <w:style w:type="character" w:styleId="Hyperlink">
    <w:name w:val="Hyperlink"/>
    <w:basedOn w:val="DefaultParagraphFont"/>
    <w:uiPriority w:val="99"/>
    <w:unhideWhenUsed w:val="1"/>
    <w:rsid w:val="00E229E6"/>
    <w:rPr>
      <w:color w:val="0563c1" w:themeColor="hyperlink"/>
      <w:u w:val="single"/>
    </w:rPr>
  </w:style>
  <w:style w:type="paragraph" w:styleId="Header">
    <w:name w:val="header"/>
    <w:basedOn w:val="Normal"/>
    <w:link w:val="HeaderChar"/>
    <w:uiPriority w:val="99"/>
    <w:unhideWhenUsed w:val="1"/>
    <w:rsid w:val="00E229E6"/>
    <w:pPr>
      <w:tabs>
        <w:tab w:val="center" w:pos="4680"/>
        <w:tab w:val="right" w:pos="9360"/>
      </w:tabs>
      <w:spacing w:after="0" w:line="240" w:lineRule="auto"/>
    </w:pPr>
  </w:style>
  <w:style w:type="character" w:styleId="HeaderChar" w:customStyle="1">
    <w:name w:val="Header Char"/>
    <w:basedOn w:val="DefaultParagraphFont"/>
    <w:link w:val="Header"/>
    <w:uiPriority w:val="99"/>
    <w:rsid w:val="00E229E6"/>
  </w:style>
  <w:style w:type="paragraph" w:styleId="Footer">
    <w:name w:val="footer"/>
    <w:basedOn w:val="Normal"/>
    <w:link w:val="FooterChar"/>
    <w:uiPriority w:val="99"/>
    <w:unhideWhenUsed w:val="1"/>
    <w:rsid w:val="00E229E6"/>
    <w:pPr>
      <w:tabs>
        <w:tab w:val="center" w:pos="4680"/>
        <w:tab w:val="right" w:pos="9360"/>
      </w:tabs>
      <w:spacing w:after="0" w:line="240" w:lineRule="auto"/>
    </w:pPr>
  </w:style>
  <w:style w:type="character" w:styleId="FooterChar" w:customStyle="1">
    <w:name w:val="Footer Char"/>
    <w:basedOn w:val="DefaultParagraphFont"/>
    <w:link w:val="Footer"/>
    <w:uiPriority w:val="99"/>
    <w:rsid w:val="00E229E6"/>
  </w:style>
  <w:style w:type="paragraph" w:styleId="NormalWeb">
    <w:name w:val="Normal (Web)"/>
    <w:basedOn w:val="Normal"/>
    <w:uiPriority w:val="99"/>
    <w:semiHidden w:val="1"/>
    <w:unhideWhenUsed w:val="1"/>
    <w:rsid w:val="00FA38CB"/>
    <w:rPr>
      <w:rFonts w:ascii="Times New Roman" w:cs="Times New Roman" w:hAnsi="Times New Roman"/>
      <w:sz w:val="24"/>
    </w:rPr>
  </w:style>
  <w:style w:type="paragraph" w:styleId="Caption">
    <w:name w:val="caption"/>
    <w:basedOn w:val="Normal"/>
    <w:next w:val="Normal"/>
    <w:uiPriority w:val="35"/>
    <w:unhideWhenUsed w:val="1"/>
    <w:qFormat w:val="1"/>
    <w:rsid w:val="006D6839"/>
    <w:pPr>
      <w:spacing w:after="200" w:line="240" w:lineRule="auto"/>
    </w:pPr>
    <w:rPr>
      <w:i w:val="1"/>
      <w:iCs w:val="1"/>
      <w:color w:val="44546a" w:themeColor="text2"/>
      <w:sz w:val="18"/>
      <w:szCs w:val="18"/>
    </w:rPr>
  </w:style>
  <w:style w:type="paragraph" w:styleId="Subtitle">
    <w:name w:val="Subtitle"/>
    <w:basedOn w:val="Normal"/>
    <w:next w:val="Normal"/>
    <w:pPr/>
    <w:rPr>
      <w:rFonts w:ascii="Calibri" w:cs="Calibri" w:eastAsia="Calibri" w:hAnsi="Calibri"/>
      <w:color w:val="595959"/>
      <w:sz w:val="28"/>
      <w:szCs w:val="2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yperlink" Target="https://icd.who.int/browse/2024-01/mms/en#496273089" TargetMode="External"/><Relationship Id="rId9" Type="http://schemas.openxmlformats.org/officeDocument/2006/relationships/hyperlink" Target="https://www.nhs.uk/mental-health/conditions/bipolar-disorder/"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www.mentalhealth.org.uk/explore-mental-health/a-z-topics/peer-support"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CambriaMath-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e/WlZVDTkqAyS8h3JwTDKnisWcw==">CgMxLjAyDWgubWxhOHB3aDE1YXkyDmguangyNm54eHJ6aGFtMg5oLm53YTd1aGZkOTh4cjIOaC5uemJ4b2MzYmFjM2gyDmgub2hzajdyeDN3NHF6Mg5oLjJsNXp5ODV6anU2cjIOaC5iam4yNWpwb3d5eTgyDmgudDBkZ2ljcmJrZGhnOAByITFlNmU2d18xS2xVYVpDQ3Y4dmluemZLVXMtZEFuZk9MZw==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2025-10-13T11:05:00Z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06085ca2-3787-40c3-b3d9-c623f3f92bfc</vt:lpwstr>
  </property>
</Properties>
</file>