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210EA" w14:textId="77777777" w:rsidR="002F1CD7" w:rsidRDefault="00886D18">
      <w:bookmarkStart w:id="0" w:name="_GoBack"/>
      <w:bookmarkEnd w:id="0"/>
      <w:r>
        <w:rPr>
          <w:rFonts w:ascii="Arial" w:hAnsi="Arial"/>
          <w:sz w:val="20"/>
          <w:szCs w:val="20"/>
          <w:shd w:val="clear" w:color="auto" w:fill="FFFFFF"/>
        </w:rPr>
        <w:t>Gilroy, Paul, </w:t>
      </w:r>
      <w:r>
        <w:rPr>
          <w:rFonts w:ascii="Arial" w:hAnsi="Arial"/>
          <w:i/>
          <w:iCs/>
          <w:sz w:val="20"/>
          <w:szCs w:val="20"/>
          <w:shd w:val="clear" w:color="auto" w:fill="FFFFFF"/>
        </w:rPr>
        <w:t>The Black Atlantic</w:t>
      </w:r>
      <w:r>
        <w:rPr>
          <w:rFonts w:ascii="Arial" w:hAnsi="Arial"/>
          <w:sz w:val="20"/>
          <w:szCs w:val="20"/>
          <w:shd w:val="clear" w:color="auto" w:fill="FFFFFF"/>
        </w:rPr>
        <w:t> (Cambridge: Harvard University Press, 1993), pp. 1-40</w:t>
      </w:r>
    </w:p>
    <w:p w14:paraId="013FA559" w14:textId="77777777" w:rsidR="002F1CD7" w:rsidRDefault="002F1CD7">
      <w:pPr>
        <w:rPr>
          <w:rFonts w:ascii="Arial" w:hAnsi="Arial"/>
          <w:sz w:val="20"/>
          <w:szCs w:val="20"/>
          <w:shd w:val="clear" w:color="auto" w:fill="FFFFFF"/>
        </w:rPr>
      </w:pPr>
    </w:p>
    <w:p w14:paraId="01B6EDA0" w14:textId="77777777" w:rsidR="002F1CD7" w:rsidRDefault="00886D18">
      <w:pPr>
        <w:spacing w:line="480" w:lineRule="auto"/>
        <w:jc w:val="both"/>
      </w:pPr>
      <w:r>
        <w:rPr>
          <w:rFonts w:ascii="Arial" w:hAnsi="Arial"/>
          <w:sz w:val="20"/>
          <w:szCs w:val="20"/>
          <w:shd w:val="clear" w:color="auto" w:fill="FFFFFF"/>
        </w:rPr>
        <w:t>The first chapter of Paul Gilroy’s ‘</w:t>
      </w:r>
      <w:r>
        <w:rPr>
          <w:rFonts w:ascii="Arial" w:hAnsi="Arial"/>
          <w:i/>
          <w:iCs/>
          <w:sz w:val="20"/>
          <w:szCs w:val="20"/>
          <w:shd w:val="clear" w:color="auto" w:fill="FFFFFF"/>
        </w:rPr>
        <w:t>Black Atlantic: Modernity and Double Consciousness</w:t>
      </w:r>
      <w:r>
        <w:rPr>
          <w:rFonts w:ascii="Arial" w:hAnsi="Arial"/>
          <w:sz w:val="20"/>
          <w:szCs w:val="20"/>
          <w:shd w:val="clear" w:color="auto" w:fill="FFFFFF"/>
        </w:rPr>
        <w:t>’ titled ‘</w:t>
      </w:r>
      <w:r>
        <w:rPr>
          <w:rFonts w:ascii="Arial" w:hAnsi="Arial"/>
          <w:i/>
          <w:iCs/>
          <w:sz w:val="20"/>
          <w:szCs w:val="20"/>
          <w:shd w:val="clear" w:color="auto" w:fill="FFFFFF"/>
        </w:rPr>
        <w:t xml:space="preserve">The Black Atlantic: Counterculture of </w:t>
      </w:r>
      <w:r>
        <w:rPr>
          <w:rFonts w:ascii="Arial" w:hAnsi="Arial"/>
          <w:i/>
          <w:iCs/>
          <w:sz w:val="20"/>
          <w:szCs w:val="20"/>
          <w:shd w:val="clear" w:color="auto" w:fill="FFFFFF"/>
        </w:rPr>
        <w:t>Modernity</w:t>
      </w:r>
      <w:r>
        <w:rPr>
          <w:rFonts w:ascii="Arial" w:hAnsi="Arial"/>
          <w:sz w:val="20"/>
          <w:szCs w:val="20"/>
          <w:shd w:val="clear" w:color="auto" w:fill="FFFFFF"/>
        </w:rPr>
        <w:t xml:space="preserve">’ explores the problems with ethnic and cultural studies and how the effect of nationalism has caused variation in cultural studies in Britain and the Afro-Caribbean. This chapter is also used by Gilroy to explore the idea of a “counterculture of </w:t>
      </w:r>
      <w:r>
        <w:rPr>
          <w:rFonts w:ascii="Arial" w:hAnsi="Arial"/>
          <w:sz w:val="20"/>
          <w:szCs w:val="20"/>
          <w:shd w:val="clear" w:color="auto" w:fill="FFFFFF"/>
        </w:rPr>
        <w:t>modernity”, a notion based on the works of Zygmunt Bauman</w:t>
      </w:r>
      <w:r>
        <w:rPr>
          <w:rStyle w:val="FootnoteReference"/>
          <w:rFonts w:ascii="Arial" w:hAnsi="Arial"/>
          <w:sz w:val="20"/>
          <w:szCs w:val="20"/>
          <w:shd w:val="clear" w:color="auto" w:fill="FFFFFF"/>
        </w:rPr>
        <w:footnoteReference w:id="1"/>
      </w:r>
      <w:r>
        <w:rPr>
          <w:rFonts w:ascii="Arial" w:hAnsi="Arial"/>
          <w:sz w:val="20"/>
          <w:szCs w:val="20"/>
          <w:shd w:val="clear" w:color="auto" w:fill="FFFFFF"/>
        </w:rPr>
        <w:t>. Gilroy uses the works of black contemporary intellectuals and writers, notably Martin Robinson D</w:t>
      </w:r>
      <w:r>
        <w:rPr>
          <w:rFonts w:ascii="Arial" w:hAnsi="Arial"/>
          <w:sz w:val="20"/>
          <w:szCs w:val="20"/>
          <w:shd w:val="clear" w:color="auto" w:fill="FFFFFF"/>
        </w:rPr>
        <w:t>elaney, to explore the effects and consequences of black nationalism. Any analysis of this chapter must consider the clear accommodation of Gilroy’s language to an academic audience as it places the work higher up in the echelons of historical writings, re</w:t>
      </w:r>
      <w:r>
        <w:rPr>
          <w:rFonts w:ascii="Arial" w:hAnsi="Arial"/>
          <w:sz w:val="20"/>
          <w:szCs w:val="20"/>
          <w:shd w:val="clear" w:color="auto" w:fill="FFFFFF"/>
        </w:rPr>
        <w:t>sulting in a complex vocabulary and terminology that only those versed in the subject would understand upon first reading. To analyse this chapter, one must first assess Gilroy’s definition of the ‘</w:t>
      </w:r>
      <w:r>
        <w:rPr>
          <w:rFonts w:ascii="Arial" w:hAnsi="Arial"/>
          <w:i/>
          <w:iCs/>
          <w:sz w:val="20"/>
          <w:szCs w:val="20"/>
          <w:shd w:val="clear" w:color="auto" w:fill="FFFFFF"/>
        </w:rPr>
        <w:t>Black Atlantic</w:t>
      </w:r>
      <w:r>
        <w:rPr>
          <w:rFonts w:ascii="Arial" w:hAnsi="Arial"/>
          <w:sz w:val="20"/>
          <w:szCs w:val="20"/>
          <w:shd w:val="clear" w:color="auto" w:fill="FFFFFF"/>
        </w:rPr>
        <w:t>’ and the importance that he places upon shi</w:t>
      </w:r>
      <w:r>
        <w:rPr>
          <w:rFonts w:ascii="Arial" w:hAnsi="Arial"/>
          <w:sz w:val="20"/>
          <w:szCs w:val="20"/>
          <w:shd w:val="clear" w:color="auto" w:fill="FFFFFF"/>
        </w:rPr>
        <w:t>ps and their imagery. National particularities are also brought up by Gilroy, and suggestions for their transcendence are also noted.</w:t>
      </w:r>
    </w:p>
    <w:p w14:paraId="61C6BFA2" w14:textId="77777777" w:rsidR="002F1CD7" w:rsidRDefault="002F1CD7">
      <w:pPr>
        <w:spacing w:line="480" w:lineRule="auto"/>
        <w:jc w:val="both"/>
        <w:rPr>
          <w:rFonts w:ascii="Arial" w:hAnsi="Arial"/>
          <w:sz w:val="20"/>
          <w:szCs w:val="20"/>
          <w:shd w:val="clear" w:color="auto" w:fill="FFFFFF"/>
        </w:rPr>
      </w:pPr>
    </w:p>
    <w:p w14:paraId="20B28B25" w14:textId="77777777" w:rsidR="002F1CD7" w:rsidRDefault="00886D18">
      <w:pPr>
        <w:spacing w:line="480" w:lineRule="auto"/>
        <w:jc w:val="both"/>
      </w:pPr>
      <w:r>
        <w:rPr>
          <w:rFonts w:ascii="Arial" w:hAnsi="Arial"/>
          <w:sz w:val="20"/>
          <w:szCs w:val="20"/>
          <w:shd w:val="clear" w:color="auto" w:fill="FFFFFF"/>
        </w:rPr>
        <w:t>Gilroy defines his notion of the ‘</w:t>
      </w:r>
      <w:r>
        <w:rPr>
          <w:rFonts w:ascii="Arial" w:hAnsi="Arial"/>
          <w:i/>
          <w:iCs/>
          <w:sz w:val="20"/>
          <w:szCs w:val="20"/>
          <w:shd w:val="clear" w:color="auto" w:fill="FFFFFF"/>
        </w:rPr>
        <w:t>Black Atlantic</w:t>
      </w:r>
      <w:r>
        <w:rPr>
          <w:rFonts w:ascii="Arial" w:hAnsi="Arial"/>
          <w:sz w:val="20"/>
          <w:szCs w:val="20"/>
          <w:shd w:val="clear" w:color="auto" w:fill="FFFFFF"/>
        </w:rPr>
        <w:t>’ as a “rhizomorphic, fractal structure of the transcultural, internation</w:t>
      </w:r>
      <w:r>
        <w:rPr>
          <w:rFonts w:ascii="Arial" w:hAnsi="Arial"/>
          <w:sz w:val="20"/>
          <w:szCs w:val="20"/>
          <w:shd w:val="clear" w:color="auto" w:fill="FFFFFF"/>
        </w:rPr>
        <w:t>al formation”</w:t>
      </w:r>
      <w:r>
        <w:rPr>
          <w:rStyle w:val="FootnoteReference"/>
          <w:rFonts w:ascii="Arial" w:hAnsi="Arial"/>
          <w:sz w:val="20"/>
          <w:szCs w:val="20"/>
          <w:shd w:val="clear" w:color="auto" w:fill="FFFFFF"/>
        </w:rPr>
        <w:footnoteReference w:id="2"/>
      </w:r>
      <w:r>
        <w:rPr>
          <w:rFonts w:ascii="Arial" w:hAnsi="Arial"/>
          <w:sz w:val="20"/>
          <w:szCs w:val="20"/>
          <w:shd w:val="clear" w:color="auto" w:fill="FFFFFF"/>
        </w:rPr>
        <w:t>. This basic definition of the ‘</w:t>
      </w:r>
      <w:r>
        <w:rPr>
          <w:rFonts w:ascii="Arial" w:hAnsi="Arial"/>
          <w:i/>
          <w:iCs/>
          <w:sz w:val="20"/>
          <w:szCs w:val="20"/>
          <w:shd w:val="clear" w:color="auto" w:fill="FFFFFF"/>
        </w:rPr>
        <w:t xml:space="preserve">Black Atlantic’, </w:t>
      </w:r>
      <w:r>
        <w:rPr>
          <w:rFonts w:ascii="Arial" w:hAnsi="Arial"/>
          <w:sz w:val="20"/>
          <w:szCs w:val="20"/>
          <w:shd w:val="clear" w:color="auto" w:fill="FFFFFF"/>
        </w:rPr>
        <w:t xml:space="preserve">which Gilroy does go on to more accurately define, is accurate in its intertwining nature and </w:t>
      </w:r>
      <w:r>
        <w:rPr>
          <w:rFonts w:ascii="Arial" w:hAnsi="Arial"/>
          <w:sz w:val="20"/>
          <w:szCs w:val="20"/>
          <w:shd w:val="clear" w:color="auto" w:fill="FFFFFF"/>
        </w:rPr>
        <w:t>complexity of the issue. His further definitions include the conjunction of cultural forms with national politics originating from the dispersed African population, creating a culture no longer their own exclusive property. In defining the ‘</w:t>
      </w:r>
      <w:r>
        <w:rPr>
          <w:rFonts w:ascii="Arial" w:hAnsi="Arial"/>
          <w:i/>
          <w:iCs/>
          <w:sz w:val="20"/>
          <w:szCs w:val="20"/>
          <w:shd w:val="clear" w:color="auto" w:fill="FFFFFF"/>
        </w:rPr>
        <w:t>Black Atlantic</w:t>
      </w:r>
      <w:r>
        <w:rPr>
          <w:rFonts w:ascii="Arial" w:hAnsi="Arial"/>
          <w:sz w:val="20"/>
          <w:szCs w:val="20"/>
          <w:shd w:val="clear" w:color="auto" w:fill="FFFFFF"/>
        </w:rPr>
        <w:t>’</w:t>
      </w:r>
      <w:r>
        <w:rPr>
          <w:rFonts w:ascii="Arial" w:hAnsi="Arial"/>
          <w:sz w:val="20"/>
          <w:szCs w:val="20"/>
          <w:shd w:val="clear" w:color="auto" w:fill="FFFFFF"/>
        </w:rPr>
        <w:t>, Gilroy makes an exaggerated point that the separation of “ethics and aesthetics, culture and politics” in regard to the counterculture had led to a lack of political discourse within the black population. Gilroy suggests that nationalist focus has domina</w:t>
      </w:r>
      <w:r>
        <w:rPr>
          <w:rFonts w:ascii="Arial" w:hAnsi="Arial"/>
          <w:sz w:val="20"/>
          <w:szCs w:val="20"/>
          <w:shd w:val="clear" w:color="auto" w:fill="FFFFFF"/>
        </w:rPr>
        <w:t>ted focus and study of cultural history and its removal from the equation would have a positive effect and add “wider applicability</w:t>
      </w:r>
      <w:r>
        <w:rPr>
          <w:rStyle w:val="FootnoteReference"/>
          <w:rFonts w:ascii="Arial" w:hAnsi="Arial"/>
          <w:sz w:val="20"/>
          <w:szCs w:val="20"/>
          <w:shd w:val="clear" w:color="auto" w:fill="FFFFFF"/>
        </w:rPr>
        <w:footnoteReference w:id="3"/>
      </w:r>
      <w:r>
        <w:rPr>
          <w:rFonts w:ascii="Arial" w:hAnsi="Arial"/>
          <w:sz w:val="20"/>
          <w:szCs w:val="20"/>
          <w:shd w:val="clear" w:color="auto" w:fill="FFFFFF"/>
        </w:rPr>
        <w:t>”. This, according to Gilroy is required as it has become an obligation to reconsider the economic, politica</w:t>
      </w:r>
      <w:r>
        <w:rPr>
          <w:rFonts w:ascii="Arial" w:hAnsi="Arial"/>
          <w:sz w:val="20"/>
          <w:szCs w:val="20"/>
          <w:shd w:val="clear" w:color="auto" w:fill="FFFFFF"/>
        </w:rPr>
        <w:t>l and cultural effects on nations as a unit.</w:t>
      </w:r>
    </w:p>
    <w:p w14:paraId="7C90DB23" w14:textId="77777777" w:rsidR="002F1CD7" w:rsidRDefault="002F1CD7">
      <w:pPr>
        <w:spacing w:line="480" w:lineRule="auto"/>
        <w:jc w:val="both"/>
        <w:rPr>
          <w:rFonts w:ascii="Arial" w:hAnsi="Arial"/>
          <w:sz w:val="20"/>
          <w:szCs w:val="20"/>
          <w:shd w:val="clear" w:color="auto" w:fill="FFFFFF"/>
        </w:rPr>
      </w:pPr>
    </w:p>
    <w:p w14:paraId="5C33BF9B" w14:textId="77777777" w:rsidR="002F1CD7" w:rsidRDefault="00886D18">
      <w:pPr>
        <w:spacing w:line="480" w:lineRule="auto"/>
        <w:jc w:val="both"/>
      </w:pPr>
      <w:r>
        <w:rPr>
          <w:rFonts w:ascii="Arial" w:hAnsi="Arial"/>
          <w:sz w:val="20"/>
          <w:szCs w:val="20"/>
          <w:shd w:val="clear" w:color="auto" w:fill="FFFFFF"/>
        </w:rPr>
        <w:lastRenderedPageBreak/>
        <w:t xml:space="preserve">Gilroy uses the imagery of ships and believes that they are important in any analysis as </w:t>
      </w:r>
      <w:proofErr w:type="spellStart"/>
      <w:r>
        <w:rPr>
          <w:rFonts w:ascii="Arial" w:hAnsi="Arial"/>
          <w:sz w:val="20"/>
          <w:szCs w:val="20"/>
          <w:shd w:val="clear" w:color="auto" w:fill="FFFFFF"/>
        </w:rPr>
        <w:t>the</w:t>
      </w:r>
      <w:proofErr w:type="spellEnd"/>
      <w:r>
        <w:rPr>
          <w:rFonts w:ascii="Arial" w:hAnsi="Arial"/>
          <w:sz w:val="20"/>
          <w:szCs w:val="20"/>
          <w:shd w:val="clear" w:color="auto" w:fill="FFFFFF"/>
        </w:rPr>
        <w:t xml:space="preserve"> were “the living means by which the points within that Atlantic world were joined”</w:t>
      </w:r>
      <w:r>
        <w:rPr>
          <w:rStyle w:val="FootnoteReference"/>
          <w:rFonts w:ascii="Arial" w:hAnsi="Arial"/>
          <w:sz w:val="20"/>
          <w:szCs w:val="20"/>
          <w:shd w:val="clear" w:color="auto" w:fill="FFFFFF"/>
        </w:rPr>
        <w:footnoteReference w:id="4"/>
      </w:r>
      <w:r>
        <w:rPr>
          <w:rFonts w:ascii="Arial" w:hAnsi="Arial"/>
          <w:sz w:val="20"/>
          <w:szCs w:val="20"/>
          <w:shd w:val="clear" w:color="auto" w:fill="FFFFFF"/>
        </w:rPr>
        <w:t xml:space="preserve">.  The importance </w:t>
      </w:r>
      <w:r>
        <w:rPr>
          <w:rFonts w:ascii="Arial" w:hAnsi="Arial"/>
          <w:sz w:val="20"/>
          <w:szCs w:val="20"/>
          <w:shd w:val="clear" w:color="auto" w:fill="FFFFFF"/>
        </w:rPr>
        <w:t>of ship imagery is established when a rethinking of the concept of ships, from trade vessels to cultural and political concepts is requested by Gilroy. Gilroy articulates that these vessels should be considered a catalyst for cultural dissent, or even take</w:t>
      </w:r>
      <w:r>
        <w:rPr>
          <w:rFonts w:ascii="Arial" w:hAnsi="Arial"/>
          <w:sz w:val="20"/>
          <w:szCs w:val="20"/>
          <w:shd w:val="clear" w:color="auto" w:fill="FFFFFF"/>
        </w:rPr>
        <w:t>n further and be considered to be producers of culture. The imagery of ships had already made its contemporary cultural impact with slavery, being depicted in poems, writings and art</w:t>
      </w:r>
      <w:r>
        <w:rPr>
          <w:rStyle w:val="FootnoteReference"/>
          <w:rFonts w:ascii="Arial" w:hAnsi="Arial"/>
          <w:sz w:val="20"/>
          <w:szCs w:val="20"/>
          <w:shd w:val="clear" w:color="auto" w:fill="FFFFFF"/>
        </w:rPr>
        <w:footnoteReference w:id="5"/>
      </w:r>
      <w:r>
        <w:rPr>
          <w:rFonts w:ascii="Arial" w:hAnsi="Arial"/>
          <w:sz w:val="20"/>
          <w:szCs w:val="20"/>
          <w:shd w:val="clear" w:color="auto" w:fill="FFFFFF"/>
        </w:rPr>
        <w:t xml:space="preserve">. There are also cultural connections that can be made between slave vessels and industrialisation and the conception of modernisation on the back of the slave trade. </w:t>
      </w:r>
    </w:p>
    <w:p w14:paraId="484A7ABE" w14:textId="77777777" w:rsidR="002F1CD7" w:rsidRDefault="002F1CD7">
      <w:pPr>
        <w:spacing w:line="480" w:lineRule="auto"/>
        <w:jc w:val="both"/>
        <w:rPr>
          <w:rFonts w:ascii="Arial" w:hAnsi="Arial"/>
          <w:sz w:val="20"/>
          <w:szCs w:val="20"/>
          <w:shd w:val="clear" w:color="auto" w:fill="FFFFFF"/>
        </w:rPr>
      </w:pPr>
    </w:p>
    <w:p w14:paraId="6C53B844" w14:textId="77777777" w:rsidR="002F1CD7" w:rsidRDefault="00886D18">
      <w:pPr>
        <w:spacing w:line="480" w:lineRule="auto"/>
        <w:jc w:val="both"/>
      </w:pPr>
      <w:r>
        <w:rPr>
          <w:rFonts w:ascii="Arial" w:hAnsi="Arial"/>
          <w:sz w:val="20"/>
          <w:szCs w:val="20"/>
          <w:shd w:val="clear" w:color="auto" w:fill="FFFFFF"/>
        </w:rPr>
        <w:t>Gilroy believes that the idea of the ‘</w:t>
      </w:r>
      <w:r>
        <w:rPr>
          <w:rFonts w:ascii="Arial" w:hAnsi="Arial"/>
          <w:i/>
          <w:iCs/>
          <w:sz w:val="20"/>
          <w:szCs w:val="20"/>
          <w:shd w:val="clear" w:color="auto" w:fill="FFFFFF"/>
        </w:rPr>
        <w:t xml:space="preserve">Black Atlantic’ </w:t>
      </w:r>
      <w:r>
        <w:rPr>
          <w:rFonts w:ascii="Arial" w:hAnsi="Arial"/>
          <w:sz w:val="20"/>
          <w:szCs w:val="20"/>
          <w:shd w:val="clear" w:color="auto" w:fill="FFFFFF"/>
        </w:rPr>
        <w:t xml:space="preserve">helps the black population </w:t>
      </w:r>
      <w:r>
        <w:rPr>
          <w:rFonts w:ascii="Arial" w:hAnsi="Arial"/>
          <w:sz w:val="20"/>
          <w:szCs w:val="20"/>
          <w:shd w:val="clear" w:color="auto" w:fill="FFFFFF"/>
        </w:rPr>
        <w:t>overcome their national particularity, as he explains in the latter sections of this chapter, that the black diasporic peoples have been politically and socially restricted by the mystification of the black constituency which often contained wide spread di</w:t>
      </w:r>
      <w:r>
        <w:rPr>
          <w:rFonts w:ascii="Arial" w:hAnsi="Arial"/>
          <w:sz w:val="20"/>
          <w:szCs w:val="20"/>
          <w:shd w:val="clear" w:color="auto" w:fill="FFFFFF"/>
        </w:rPr>
        <w:t>visions and led to disunification of the black movements</w:t>
      </w:r>
      <w:r>
        <w:rPr>
          <w:rStyle w:val="FootnoteReference"/>
          <w:rFonts w:ascii="Arial" w:hAnsi="Arial"/>
          <w:sz w:val="20"/>
          <w:szCs w:val="20"/>
          <w:shd w:val="clear" w:color="auto" w:fill="FFFFFF"/>
        </w:rPr>
        <w:footnoteReference w:id="6"/>
      </w:r>
      <w:r>
        <w:rPr>
          <w:rFonts w:ascii="Arial" w:hAnsi="Arial"/>
          <w:sz w:val="20"/>
          <w:szCs w:val="20"/>
          <w:shd w:val="clear" w:color="auto" w:fill="FFFFFF"/>
        </w:rPr>
        <w:t>. Gilroy claims the cause of these divisions and mystification of the black communities are due to professional c</w:t>
      </w:r>
      <w:r>
        <w:rPr>
          <w:rFonts w:ascii="Arial" w:hAnsi="Arial"/>
          <w:sz w:val="20"/>
          <w:szCs w:val="20"/>
          <w:shd w:val="clear" w:color="auto" w:fill="FFFFFF"/>
        </w:rPr>
        <w:t>ommentators such as writers and artists focusing too much on nationality rather than looking ahead for the greater good of the black people,  having “fabricated a volkish outlook as an expression of their own contradictory position</w:t>
      </w:r>
      <w:r>
        <w:rPr>
          <w:rStyle w:val="FootnoteReference"/>
          <w:rFonts w:ascii="Arial" w:hAnsi="Arial"/>
          <w:sz w:val="20"/>
          <w:szCs w:val="20"/>
          <w:shd w:val="clear" w:color="auto" w:fill="FFFFFF"/>
        </w:rPr>
        <w:footnoteReference w:id="7"/>
      </w:r>
      <w:r>
        <w:rPr>
          <w:rFonts w:ascii="Arial" w:hAnsi="Arial"/>
          <w:sz w:val="20"/>
          <w:szCs w:val="20"/>
          <w:shd w:val="clear" w:color="auto" w:fill="FFFFFF"/>
        </w:rPr>
        <w:t xml:space="preserve">”. </w:t>
      </w:r>
      <w:r>
        <w:rPr>
          <w:rFonts w:ascii="Arial" w:hAnsi="Arial"/>
          <w:sz w:val="20"/>
          <w:szCs w:val="20"/>
          <w:shd w:val="clear" w:color="auto" w:fill="FFFFFF"/>
        </w:rPr>
        <w:t>Gilroy accuses these privileged castes within black communities of looking only after their own interests while muddying the waters for the black poor.</w:t>
      </w:r>
    </w:p>
    <w:p w14:paraId="62D10276" w14:textId="77777777" w:rsidR="002F1CD7" w:rsidRDefault="002F1CD7">
      <w:pPr>
        <w:spacing w:line="480" w:lineRule="auto"/>
        <w:jc w:val="both"/>
        <w:rPr>
          <w:rFonts w:ascii="Arial" w:hAnsi="Arial"/>
          <w:sz w:val="20"/>
          <w:szCs w:val="20"/>
          <w:shd w:val="clear" w:color="auto" w:fill="FFFFFF"/>
        </w:rPr>
      </w:pPr>
    </w:p>
    <w:p w14:paraId="07584927" w14:textId="77777777" w:rsidR="002F1CD7" w:rsidRDefault="00886D18">
      <w:pPr>
        <w:spacing w:line="480" w:lineRule="auto"/>
        <w:jc w:val="both"/>
      </w:pPr>
      <w:r>
        <w:rPr>
          <w:rFonts w:ascii="Arial" w:hAnsi="Arial"/>
          <w:sz w:val="20"/>
          <w:szCs w:val="20"/>
          <w:shd w:val="clear" w:color="auto" w:fill="FFFFFF"/>
        </w:rPr>
        <w:t>In conclusion, Gilroy’s incipient chapter is used as a foundation to carry and develop his notion of th</w:t>
      </w:r>
      <w:r>
        <w:rPr>
          <w:rFonts w:ascii="Arial" w:hAnsi="Arial"/>
          <w:sz w:val="20"/>
          <w:szCs w:val="20"/>
          <w:shd w:val="clear" w:color="auto" w:fill="FFFFFF"/>
        </w:rPr>
        <w:t>e ‘</w:t>
      </w:r>
      <w:r>
        <w:rPr>
          <w:rFonts w:ascii="Arial" w:hAnsi="Arial"/>
          <w:i/>
          <w:iCs/>
          <w:sz w:val="20"/>
          <w:szCs w:val="20"/>
          <w:shd w:val="clear" w:color="auto" w:fill="FFFFFF"/>
        </w:rPr>
        <w:t>Black Atlantic’</w:t>
      </w:r>
      <w:r>
        <w:rPr>
          <w:rFonts w:ascii="Arial" w:hAnsi="Arial"/>
          <w:sz w:val="20"/>
          <w:szCs w:val="20"/>
          <w:shd w:val="clear" w:color="auto" w:fill="FFFFFF"/>
        </w:rPr>
        <w:t xml:space="preserve">. Gilroy’s complex and sagacious analysis of the interactions and symbiosis between culture and nationality allow an understanding of the black diaspora that one would not apprehend without taking this course of thought. Gilroy’s premise </w:t>
      </w:r>
      <w:r>
        <w:rPr>
          <w:rFonts w:ascii="Arial" w:hAnsi="Arial"/>
          <w:sz w:val="20"/>
          <w:szCs w:val="20"/>
          <w:shd w:val="clear" w:color="auto" w:fill="FFFFFF"/>
        </w:rPr>
        <w:t>for this rest of the book based on this chapter, envisages a complete rethinking of the black diaspora both in terms of the relationship between working class black people and black intellectuals and the very idea of black culture. The language and vocabul</w:t>
      </w:r>
      <w:r>
        <w:rPr>
          <w:rFonts w:ascii="Arial" w:hAnsi="Arial"/>
          <w:sz w:val="20"/>
          <w:szCs w:val="20"/>
          <w:shd w:val="clear" w:color="auto" w:fill="FFFFFF"/>
        </w:rPr>
        <w:t xml:space="preserve">ary deployed by Gilroy, is one of high complexity and intensity. Many phrases and keywords </w:t>
      </w:r>
      <w:r>
        <w:rPr>
          <w:rFonts w:ascii="Arial" w:hAnsi="Arial"/>
          <w:sz w:val="20"/>
          <w:szCs w:val="20"/>
          <w:shd w:val="clear" w:color="auto" w:fill="FFFFFF"/>
        </w:rPr>
        <w:lastRenderedPageBreak/>
        <w:t xml:space="preserve">that are fundamental to Gilroy’s argument are clouded, making this work a require an advanced reading level, and not suggested for an introduction to the subject. </w:t>
      </w:r>
    </w:p>
    <w:p w14:paraId="60FB204D" w14:textId="77777777" w:rsidR="002F1CD7" w:rsidRDefault="002F1CD7">
      <w:pPr>
        <w:jc w:val="both"/>
        <w:rPr>
          <w:rFonts w:ascii="Arial" w:hAnsi="Arial"/>
          <w:sz w:val="20"/>
          <w:szCs w:val="20"/>
          <w:shd w:val="clear" w:color="auto" w:fill="FFFFFF"/>
        </w:rPr>
      </w:pPr>
    </w:p>
    <w:p w14:paraId="1D132096" w14:textId="77777777" w:rsidR="002F1CD7" w:rsidRDefault="002F1CD7">
      <w:pPr>
        <w:rPr>
          <w:rFonts w:ascii="Arial" w:hAnsi="Arial"/>
          <w:sz w:val="20"/>
          <w:szCs w:val="20"/>
          <w:shd w:val="clear" w:color="auto" w:fill="FFFFFF"/>
        </w:rPr>
      </w:pPr>
    </w:p>
    <w:p w14:paraId="01D5E294" w14:textId="77777777" w:rsidR="002F1CD7" w:rsidRDefault="002F1CD7">
      <w:pPr>
        <w:rPr>
          <w:rFonts w:ascii="Arial" w:hAnsi="Arial"/>
          <w:sz w:val="20"/>
          <w:szCs w:val="20"/>
          <w:shd w:val="clear" w:color="auto" w:fill="FFFFFF"/>
        </w:rPr>
      </w:pPr>
    </w:p>
    <w:p w14:paraId="0561F134" w14:textId="77777777" w:rsidR="002F1CD7" w:rsidRDefault="002F1CD7">
      <w:pPr>
        <w:rPr>
          <w:rFonts w:ascii="Arial" w:hAnsi="Arial"/>
          <w:sz w:val="20"/>
          <w:szCs w:val="20"/>
          <w:shd w:val="clear" w:color="auto" w:fill="FFFFFF"/>
        </w:rPr>
      </w:pPr>
    </w:p>
    <w:p w14:paraId="196F1C88" w14:textId="77777777" w:rsidR="002F1CD7" w:rsidRDefault="002F1CD7">
      <w:pPr>
        <w:rPr>
          <w:rFonts w:ascii="Arial" w:hAnsi="Arial"/>
          <w:sz w:val="20"/>
          <w:szCs w:val="20"/>
          <w:shd w:val="clear" w:color="auto" w:fill="FFFFFF"/>
        </w:rPr>
      </w:pPr>
    </w:p>
    <w:p w14:paraId="56A64032" w14:textId="77777777" w:rsidR="002F1CD7" w:rsidRDefault="002F1CD7">
      <w:pPr>
        <w:rPr>
          <w:rFonts w:ascii="Arial" w:hAnsi="Arial"/>
          <w:sz w:val="20"/>
          <w:szCs w:val="20"/>
          <w:shd w:val="clear" w:color="auto" w:fill="FFFFFF"/>
        </w:rPr>
      </w:pPr>
    </w:p>
    <w:p w14:paraId="42F9B4F7" w14:textId="77777777" w:rsidR="002F1CD7" w:rsidRDefault="002F1CD7">
      <w:pPr>
        <w:rPr>
          <w:rFonts w:ascii="Arial" w:hAnsi="Arial"/>
          <w:sz w:val="20"/>
          <w:szCs w:val="20"/>
          <w:shd w:val="clear" w:color="auto" w:fill="FFFFFF"/>
        </w:rPr>
      </w:pPr>
    </w:p>
    <w:p w14:paraId="00A02E04" w14:textId="77777777" w:rsidR="002F1CD7" w:rsidRDefault="002F1CD7">
      <w:pPr>
        <w:rPr>
          <w:rFonts w:ascii="Arial" w:hAnsi="Arial"/>
          <w:sz w:val="20"/>
          <w:szCs w:val="20"/>
          <w:shd w:val="clear" w:color="auto" w:fill="FFFFFF"/>
        </w:rPr>
      </w:pPr>
    </w:p>
    <w:p w14:paraId="1C121178" w14:textId="77777777" w:rsidR="002F1CD7" w:rsidRDefault="002F1CD7">
      <w:pPr>
        <w:rPr>
          <w:rFonts w:ascii="Arial" w:hAnsi="Arial"/>
          <w:sz w:val="20"/>
          <w:szCs w:val="20"/>
          <w:shd w:val="clear" w:color="auto" w:fill="FFFFFF"/>
        </w:rPr>
      </w:pPr>
    </w:p>
    <w:p w14:paraId="7C34DD0B" w14:textId="77777777" w:rsidR="002F1CD7" w:rsidRDefault="002F1CD7">
      <w:pPr>
        <w:rPr>
          <w:rFonts w:ascii="Arial" w:hAnsi="Arial"/>
          <w:sz w:val="20"/>
          <w:szCs w:val="20"/>
          <w:shd w:val="clear" w:color="auto" w:fill="FFFFFF"/>
        </w:rPr>
      </w:pPr>
    </w:p>
    <w:p w14:paraId="1310DA09" w14:textId="77777777" w:rsidR="002F1CD7" w:rsidRDefault="002F1CD7">
      <w:pPr>
        <w:rPr>
          <w:rFonts w:ascii="Arial" w:hAnsi="Arial"/>
          <w:sz w:val="20"/>
          <w:szCs w:val="20"/>
          <w:shd w:val="clear" w:color="auto" w:fill="FFFFFF"/>
        </w:rPr>
      </w:pPr>
    </w:p>
    <w:p w14:paraId="08893DDA" w14:textId="77777777" w:rsidR="002F1CD7" w:rsidRDefault="002F1CD7">
      <w:pPr>
        <w:rPr>
          <w:rFonts w:ascii="Arial" w:hAnsi="Arial"/>
          <w:sz w:val="20"/>
          <w:szCs w:val="20"/>
          <w:shd w:val="clear" w:color="auto" w:fill="FFFFFF"/>
        </w:rPr>
      </w:pPr>
    </w:p>
    <w:p w14:paraId="1416789D" w14:textId="77777777" w:rsidR="002F1CD7" w:rsidRDefault="002F1CD7">
      <w:pPr>
        <w:rPr>
          <w:rFonts w:ascii="Arial" w:hAnsi="Arial"/>
          <w:sz w:val="20"/>
          <w:szCs w:val="20"/>
          <w:shd w:val="clear" w:color="auto" w:fill="FFFFFF"/>
        </w:rPr>
      </w:pPr>
    </w:p>
    <w:p w14:paraId="3D1DDD27" w14:textId="77777777" w:rsidR="002F1CD7" w:rsidRDefault="002F1CD7">
      <w:pPr>
        <w:rPr>
          <w:rFonts w:ascii="Arial" w:hAnsi="Arial"/>
          <w:sz w:val="20"/>
          <w:szCs w:val="20"/>
          <w:shd w:val="clear" w:color="auto" w:fill="FFFFFF"/>
        </w:rPr>
      </w:pPr>
    </w:p>
    <w:p w14:paraId="3DB9EAE6" w14:textId="77777777" w:rsidR="002F1CD7" w:rsidRDefault="002F1CD7">
      <w:pPr>
        <w:rPr>
          <w:rFonts w:ascii="Arial" w:hAnsi="Arial"/>
          <w:sz w:val="20"/>
          <w:szCs w:val="20"/>
          <w:shd w:val="clear" w:color="auto" w:fill="FFFFFF"/>
        </w:rPr>
      </w:pPr>
    </w:p>
    <w:p w14:paraId="20754935" w14:textId="77777777" w:rsidR="002F1CD7" w:rsidRDefault="002F1CD7">
      <w:pPr>
        <w:rPr>
          <w:rFonts w:ascii="Arial" w:hAnsi="Arial"/>
          <w:sz w:val="20"/>
          <w:szCs w:val="20"/>
          <w:shd w:val="clear" w:color="auto" w:fill="FFFFFF"/>
        </w:rPr>
      </w:pPr>
    </w:p>
    <w:p w14:paraId="4E862CF3" w14:textId="77777777" w:rsidR="002F1CD7" w:rsidRDefault="002F1CD7">
      <w:pPr>
        <w:rPr>
          <w:rFonts w:ascii="Arial" w:hAnsi="Arial"/>
          <w:sz w:val="20"/>
          <w:szCs w:val="20"/>
          <w:shd w:val="clear" w:color="auto" w:fill="FFFFFF"/>
        </w:rPr>
      </w:pPr>
    </w:p>
    <w:p w14:paraId="0C77570C" w14:textId="77777777" w:rsidR="002F1CD7" w:rsidRDefault="002F1CD7">
      <w:pPr>
        <w:rPr>
          <w:rFonts w:ascii="Arial" w:hAnsi="Arial"/>
          <w:sz w:val="20"/>
          <w:szCs w:val="20"/>
          <w:shd w:val="clear" w:color="auto" w:fill="FFFFFF"/>
        </w:rPr>
      </w:pPr>
    </w:p>
    <w:p w14:paraId="595328FF" w14:textId="77777777" w:rsidR="002F1CD7" w:rsidRDefault="002F1CD7">
      <w:pPr>
        <w:rPr>
          <w:rFonts w:ascii="Arial" w:hAnsi="Arial"/>
          <w:sz w:val="20"/>
          <w:szCs w:val="20"/>
          <w:shd w:val="clear" w:color="auto" w:fill="FFFFFF"/>
        </w:rPr>
      </w:pPr>
    </w:p>
    <w:p w14:paraId="66589CF8" w14:textId="77777777" w:rsidR="002F1CD7" w:rsidRDefault="002F1CD7">
      <w:pPr>
        <w:rPr>
          <w:rFonts w:ascii="Arial" w:hAnsi="Arial"/>
          <w:sz w:val="20"/>
          <w:szCs w:val="20"/>
          <w:shd w:val="clear" w:color="auto" w:fill="FFFFFF"/>
        </w:rPr>
      </w:pPr>
    </w:p>
    <w:p w14:paraId="708ACA3B" w14:textId="77777777" w:rsidR="002F1CD7" w:rsidRDefault="002F1CD7">
      <w:pPr>
        <w:rPr>
          <w:rFonts w:ascii="Arial" w:hAnsi="Arial"/>
          <w:sz w:val="20"/>
          <w:szCs w:val="20"/>
          <w:shd w:val="clear" w:color="auto" w:fill="FFFFFF"/>
        </w:rPr>
      </w:pPr>
    </w:p>
    <w:p w14:paraId="177D281B" w14:textId="77777777" w:rsidR="002F1CD7" w:rsidRDefault="00886D18">
      <w:pPr>
        <w:pStyle w:val="Heading1"/>
      </w:pPr>
      <w:r>
        <w:t>Bibliography</w:t>
      </w:r>
    </w:p>
    <w:p w14:paraId="3778523A" w14:textId="77777777" w:rsidR="002F1CD7" w:rsidRDefault="002F1CD7"/>
    <w:p w14:paraId="1DF73A50" w14:textId="77777777" w:rsidR="002F1CD7" w:rsidRDefault="00886D18">
      <w:r>
        <w:rPr>
          <w:rFonts w:ascii="Arial" w:hAnsi="Arial"/>
          <w:sz w:val="20"/>
          <w:szCs w:val="20"/>
          <w:shd w:val="clear" w:color="auto" w:fill="FFFFFF"/>
        </w:rPr>
        <w:t>Bauman, Zygmunt, "The Left As The Counter-Culture Of Modernity", </w:t>
      </w:r>
      <w:r>
        <w:rPr>
          <w:rFonts w:ascii="Arial" w:hAnsi="Arial"/>
          <w:i/>
          <w:iCs/>
          <w:sz w:val="20"/>
          <w:szCs w:val="20"/>
          <w:shd w:val="clear" w:color="auto" w:fill="FFFFFF"/>
        </w:rPr>
        <w:t>Telos</w:t>
      </w:r>
      <w:r>
        <w:rPr>
          <w:rFonts w:ascii="Arial" w:hAnsi="Arial"/>
          <w:sz w:val="20"/>
          <w:szCs w:val="20"/>
          <w:shd w:val="clear" w:color="auto" w:fill="FFFFFF"/>
        </w:rPr>
        <w:t>, 1986 (1986), 81-93</w:t>
      </w:r>
      <w:r>
        <w:t xml:space="preserve"> </w:t>
      </w:r>
    </w:p>
    <w:p w14:paraId="3084CE3A" w14:textId="77777777" w:rsidR="002F1CD7" w:rsidRDefault="00886D18">
      <w:r>
        <w:rPr>
          <w:rFonts w:ascii="Arial" w:hAnsi="Arial"/>
          <w:sz w:val="20"/>
          <w:szCs w:val="20"/>
          <w:shd w:val="clear" w:color="auto" w:fill="FFFFFF"/>
        </w:rPr>
        <w:t>Gilroy, Paul, </w:t>
      </w:r>
      <w:r>
        <w:rPr>
          <w:rFonts w:ascii="Arial" w:hAnsi="Arial"/>
          <w:i/>
          <w:iCs/>
          <w:sz w:val="20"/>
          <w:szCs w:val="20"/>
          <w:shd w:val="clear" w:color="auto" w:fill="FFFFFF"/>
        </w:rPr>
        <w:t>The Black Atlantic</w:t>
      </w:r>
      <w:r>
        <w:rPr>
          <w:rFonts w:ascii="Arial" w:hAnsi="Arial"/>
          <w:sz w:val="20"/>
          <w:szCs w:val="20"/>
          <w:shd w:val="clear" w:color="auto" w:fill="FFFFFF"/>
        </w:rPr>
        <w:t> (Cambridge: Harvard University Press, 1993), pp. 1-40</w:t>
      </w:r>
    </w:p>
    <w:p w14:paraId="71E865A1" w14:textId="77777777" w:rsidR="002F1CD7" w:rsidRDefault="00886D18">
      <w:r>
        <w:rPr>
          <w:rFonts w:ascii="Arial" w:hAnsi="Arial"/>
          <w:sz w:val="20"/>
          <w:szCs w:val="20"/>
          <w:shd w:val="clear" w:color="auto" w:fill="FFFFFF"/>
        </w:rPr>
        <w:t>Turner, J. M. W., </w:t>
      </w:r>
      <w:r>
        <w:rPr>
          <w:rFonts w:ascii="Arial" w:hAnsi="Arial"/>
          <w:i/>
          <w:iCs/>
          <w:sz w:val="20"/>
          <w:szCs w:val="20"/>
          <w:shd w:val="clear" w:color="auto" w:fill="FFFFFF"/>
        </w:rPr>
        <w:t>The Slave Ship</w:t>
      </w:r>
      <w:r>
        <w:rPr>
          <w:rFonts w:ascii="Arial" w:hAnsi="Arial"/>
          <w:sz w:val="20"/>
          <w:szCs w:val="20"/>
          <w:shd w:val="clear" w:color="auto" w:fill="FFFFFF"/>
        </w:rPr>
        <w:t> (Boston: Museum of Fine Arts, 1840)</w:t>
      </w:r>
    </w:p>
    <w:p w14:paraId="7B8FB42A" w14:textId="77777777" w:rsidR="002F1CD7" w:rsidRDefault="002F1CD7"/>
    <w:p w14:paraId="52FFB800" w14:textId="77777777" w:rsidR="002F1CD7" w:rsidRDefault="002F1CD7">
      <w:pPr>
        <w:rPr>
          <w:rFonts w:ascii="Arial" w:hAnsi="Arial"/>
          <w:sz w:val="20"/>
          <w:szCs w:val="20"/>
          <w:shd w:val="clear" w:color="auto" w:fill="FFFFFF"/>
        </w:rPr>
      </w:pPr>
    </w:p>
    <w:sectPr w:rsidR="002F1C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041A5" w14:textId="77777777" w:rsidR="00886D18" w:rsidRDefault="00886D18">
      <w:pPr>
        <w:spacing w:after="0" w:line="240" w:lineRule="auto"/>
      </w:pPr>
      <w:r>
        <w:separator/>
      </w:r>
    </w:p>
  </w:endnote>
  <w:endnote w:type="continuationSeparator" w:id="0">
    <w:p w14:paraId="63DE68F1" w14:textId="77777777" w:rsidR="00886D18" w:rsidRDefault="00886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peak Pro">
    <w:altName w:val="Speak Pro"/>
    <w:charset w:val="00"/>
    <w:family w:val="swiss"/>
    <w:pitch w:val="variable"/>
    <w:sig w:usb0="8000002F" w:usb1="0000000A"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468DB" w14:textId="77777777" w:rsidR="00886D18" w:rsidRDefault="00886D18">
      <w:pPr>
        <w:spacing w:after="0" w:line="240" w:lineRule="auto"/>
      </w:pPr>
      <w:r>
        <w:separator/>
      </w:r>
    </w:p>
  </w:footnote>
  <w:footnote w:type="continuationSeparator" w:id="0">
    <w:p w14:paraId="7ECB5193" w14:textId="77777777" w:rsidR="00886D18" w:rsidRDefault="00886D18">
      <w:pPr>
        <w:spacing w:after="0" w:line="240" w:lineRule="auto"/>
      </w:pPr>
      <w:r>
        <w:continuationSeparator/>
      </w:r>
    </w:p>
  </w:footnote>
  <w:footnote w:id="1">
    <w:p w14:paraId="45C5DAFB" w14:textId="77777777" w:rsidR="002F1CD7" w:rsidRDefault="00886D18">
      <w:pPr>
        <w:pStyle w:val="FootnoteText"/>
      </w:pPr>
      <w:r>
        <w:rPr>
          <w:rStyle w:val="FootnoteReference"/>
        </w:rPr>
        <w:footnoteRef/>
      </w:r>
      <w:r>
        <w:t xml:space="preserve"> </w:t>
      </w:r>
      <w:r>
        <w:rPr>
          <w:rFonts w:ascii="Arial" w:hAnsi="Arial"/>
          <w:sz w:val="18"/>
          <w:szCs w:val="18"/>
          <w:shd w:val="clear" w:color="auto" w:fill="FFFFFF"/>
        </w:rPr>
        <w:t>Zygmunt Bauman, "The Left As The Counter-Culture Of Modernity", </w:t>
      </w:r>
      <w:r>
        <w:rPr>
          <w:rFonts w:ascii="Arial" w:hAnsi="Arial"/>
          <w:i/>
          <w:iCs/>
          <w:sz w:val="18"/>
          <w:szCs w:val="18"/>
          <w:shd w:val="clear" w:color="auto" w:fill="FFFFFF"/>
        </w:rPr>
        <w:t>Telos</w:t>
      </w:r>
      <w:r>
        <w:rPr>
          <w:rFonts w:ascii="Arial" w:hAnsi="Arial"/>
          <w:sz w:val="18"/>
          <w:szCs w:val="18"/>
          <w:shd w:val="clear" w:color="auto" w:fill="FFFFFF"/>
        </w:rPr>
        <w:t>, 1986.70 (1986), pp. 81-93</w:t>
      </w:r>
    </w:p>
  </w:footnote>
  <w:footnote w:id="2">
    <w:p w14:paraId="526EBB01" w14:textId="77777777" w:rsidR="002F1CD7" w:rsidRDefault="00886D18">
      <w:pPr>
        <w:pStyle w:val="FootnoteText"/>
      </w:pPr>
      <w:r>
        <w:rPr>
          <w:rStyle w:val="FootnoteReference"/>
        </w:rPr>
        <w:footnoteRef/>
      </w:r>
      <w:r>
        <w:t xml:space="preserve"> </w:t>
      </w:r>
      <w:r>
        <w:rPr>
          <w:rFonts w:ascii="Arial" w:hAnsi="Arial"/>
          <w:shd w:val="clear" w:color="auto" w:fill="FFFFFF"/>
        </w:rPr>
        <w:t>Paul Gilroy, </w:t>
      </w:r>
      <w:r>
        <w:rPr>
          <w:rFonts w:ascii="Arial" w:hAnsi="Arial"/>
          <w:i/>
          <w:iCs/>
          <w:shd w:val="clear" w:color="auto" w:fill="FFFFFF"/>
        </w:rPr>
        <w:t>The Black Atlantic</w:t>
      </w:r>
      <w:r>
        <w:rPr>
          <w:rFonts w:ascii="Arial" w:hAnsi="Arial"/>
          <w:shd w:val="clear" w:color="auto" w:fill="FFFFFF"/>
        </w:rPr>
        <w:t> (Cambridge: Harvard University Press, 1993), p. 4</w:t>
      </w:r>
    </w:p>
  </w:footnote>
  <w:footnote w:id="3">
    <w:p w14:paraId="7D08FDCF" w14:textId="77777777" w:rsidR="002F1CD7" w:rsidRDefault="00886D18">
      <w:pPr>
        <w:pStyle w:val="FootnoteText"/>
      </w:pPr>
      <w:r>
        <w:rPr>
          <w:rStyle w:val="FootnoteReference"/>
        </w:rPr>
        <w:footnoteRef/>
      </w:r>
      <w:r>
        <w:t xml:space="preserve"> </w:t>
      </w:r>
      <w:r>
        <w:rPr>
          <w:rFonts w:ascii="Arial" w:hAnsi="Arial"/>
          <w:i/>
          <w:iCs/>
          <w:shd w:val="clear" w:color="auto" w:fill="FFFFFF"/>
        </w:rPr>
        <w:t xml:space="preserve">Ibid., </w:t>
      </w:r>
      <w:r>
        <w:rPr>
          <w:rFonts w:ascii="Arial" w:hAnsi="Arial"/>
          <w:shd w:val="clear" w:color="auto" w:fill="FFFFFF"/>
        </w:rPr>
        <w:t>p. 6.</w:t>
      </w:r>
    </w:p>
  </w:footnote>
  <w:footnote w:id="4">
    <w:p w14:paraId="5CFDF658" w14:textId="77777777" w:rsidR="002F1CD7" w:rsidRDefault="00886D18">
      <w:pPr>
        <w:pStyle w:val="FootnoteText"/>
      </w:pPr>
      <w:r>
        <w:rPr>
          <w:rStyle w:val="FootnoteReference"/>
        </w:rPr>
        <w:footnoteRef/>
      </w:r>
      <w:r>
        <w:t xml:space="preserve"> </w:t>
      </w:r>
      <w:r>
        <w:rPr>
          <w:rFonts w:ascii="Arial" w:hAnsi="Arial"/>
          <w:i/>
          <w:shd w:val="clear" w:color="auto" w:fill="FFFFFF"/>
        </w:rPr>
        <w:t xml:space="preserve">Ibid., </w:t>
      </w:r>
      <w:r>
        <w:rPr>
          <w:rFonts w:ascii="Arial" w:hAnsi="Arial"/>
          <w:shd w:val="clear" w:color="auto" w:fill="FFFFFF"/>
        </w:rPr>
        <w:t>p. 16</w:t>
      </w:r>
    </w:p>
  </w:footnote>
  <w:footnote w:id="5">
    <w:p w14:paraId="15E06976" w14:textId="77777777" w:rsidR="002F1CD7" w:rsidRDefault="00886D18">
      <w:pPr>
        <w:pStyle w:val="FootnoteText"/>
      </w:pPr>
      <w:r>
        <w:rPr>
          <w:rStyle w:val="FootnoteReference"/>
        </w:rPr>
        <w:footnoteRef/>
      </w:r>
      <w:r>
        <w:t xml:space="preserve"> </w:t>
      </w:r>
      <w:r>
        <w:rPr>
          <w:rFonts w:ascii="Arial" w:hAnsi="Arial"/>
          <w:shd w:val="clear" w:color="auto" w:fill="FFFFFF"/>
        </w:rPr>
        <w:t>J. M. W. Turner, </w:t>
      </w:r>
      <w:r>
        <w:rPr>
          <w:rFonts w:ascii="Arial" w:hAnsi="Arial"/>
          <w:i/>
          <w:iCs/>
          <w:shd w:val="clear" w:color="auto" w:fill="FFFFFF"/>
        </w:rPr>
        <w:t>The Slave Ship</w:t>
      </w:r>
      <w:r>
        <w:rPr>
          <w:rFonts w:ascii="Arial" w:hAnsi="Arial"/>
          <w:shd w:val="clear" w:color="auto" w:fill="FFFFFF"/>
        </w:rPr>
        <w:t xml:space="preserve"> (Boston: Museum of Fine Arts, </w:t>
      </w:r>
      <w:r>
        <w:rPr>
          <w:rFonts w:ascii="Arial" w:hAnsi="Arial"/>
          <w:shd w:val="clear" w:color="auto" w:fill="FFFFFF"/>
        </w:rPr>
        <w:t>1840).</w:t>
      </w:r>
    </w:p>
  </w:footnote>
  <w:footnote w:id="6">
    <w:p w14:paraId="5D3A7F06" w14:textId="77777777" w:rsidR="002F1CD7" w:rsidRDefault="00886D18">
      <w:pPr>
        <w:pStyle w:val="FootnoteText"/>
      </w:pPr>
      <w:r>
        <w:rPr>
          <w:rStyle w:val="FootnoteReference"/>
        </w:rPr>
        <w:footnoteRef/>
      </w:r>
      <w:r>
        <w:t xml:space="preserve"> </w:t>
      </w:r>
      <w:r>
        <w:rPr>
          <w:rFonts w:ascii="Arial" w:hAnsi="Arial"/>
          <w:shd w:val="clear" w:color="auto" w:fill="FFFFFF"/>
        </w:rPr>
        <w:t>Paul Gilroy, </w:t>
      </w:r>
      <w:r>
        <w:rPr>
          <w:rFonts w:ascii="Arial" w:hAnsi="Arial"/>
          <w:i/>
          <w:iCs/>
          <w:shd w:val="clear" w:color="auto" w:fill="FFFFFF"/>
        </w:rPr>
        <w:t>The Black Atlantic</w:t>
      </w:r>
      <w:r>
        <w:rPr>
          <w:rFonts w:ascii="Arial" w:hAnsi="Arial"/>
          <w:shd w:val="clear" w:color="auto" w:fill="FFFFFF"/>
        </w:rPr>
        <w:t> (Cambridge: Harvard University Press, 1993), p. 31</w:t>
      </w:r>
    </w:p>
  </w:footnote>
  <w:footnote w:id="7">
    <w:p w14:paraId="2827FAFF" w14:textId="77777777" w:rsidR="002F1CD7" w:rsidRDefault="00886D18">
      <w:pPr>
        <w:pStyle w:val="FootnoteText"/>
      </w:pPr>
      <w:r>
        <w:rPr>
          <w:rStyle w:val="FootnoteReference"/>
        </w:rPr>
        <w:footnoteRef/>
      </w:r>
      <w:r>
        <w:t xml:space="preserve"> </w:t>
      </w:r>
      <w:r>
        <w:rPr>
          <w:rFonts w:ascii="Arial" w:hAnsi="Arial"/>
          <w:i/>
          <w:iCs/>
          <w:shd w:val="clear" w:color="auto" w:fill="FFFFFF"/>
        </w:rPr>
        <w:t xml:space="preserve">Ibid., </w:t>
      </w:r>
      <w:r>
        <w:rPr>
          <w:rFonts w:ascii="Arial" w:hAnsi="Arial"/>
          <w:shd w:val="clear" w:color="auto" w:fill="FFFFFF"/>
        </w:rPr>
        <w:t>p. 33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F1CD7"/>
    <w:rsid w:val="002F1CD7"/>
    <w:rsid w:val="00886D18"/>
    <w:rsid w:val="00F00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3D395"/>
  <w15:docId w15:val="{4DF9835B-B6EC-4152-96DB-69B894BF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peak Pro" w:eastAsia="Calibri" w:hAnsi="Speak Pro" w:cs="Arial"/>
        <w:color w:val="000000"/>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s="Times New Roman"/>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rPr>
      <w:lang w:eastAsia="en-GB"/>
    </w:rPr>
  </w:style>
  <w:style w:type="paragraph" w:styleId="ListParagraph">
    <w:name w:val="List Paragraph"/>
    <w:basedOn w:val="Normal"/>
    <w:pPr>
      <w:spacing w:after="0" w:line="240" w:lineRule="auto"/>
      <w:ind w:left="720"/>
    </w:pPr>
    <w:rPr>
      <w:lang w:eastAsia="en-GB"/>
    </w:r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777</Words>
  <Characters>4432</Characters>
  <Application>Microsoft Office Word</Application>
  <DocSecurity>0</DocSecurity>
  <Lines>36</Lines>
  <Paragraphs>10</Paragraphs>
  <ScaleCrop>false</ScaleCrop>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Smith</dc:creator>
  <dc:description/>
  <cp:lastModifiedBy>Scott Smith</cp:lastModifiedBy>
  <cp:revision>2</cp:revision>
  <dcterms:created xsi:type="dcterms:W3CDTF">2020-01-19T20:42:00Z</dcterms:created>
  <dcterms:modified xsi:type="dcterms:W3CDTF">2020-01-19T20:42:00Z</dcterms:modified>
</cp:coreProperties>
</file>