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9AF20B" w14:textId="77777777" w:rsidR="00CD34D6" w:rsidRDefault="00CD34D6">
      <w:pPr>
        <w:spacing w:after="160"/>
        <w:jc w:val="center"/>
        <w:rPr>
          <w:b/>
          <w:sz w:val="36"/>
        </w:rPr>
      </w:pPr>
    </w:p>
    <w:p w14:paraId="2357C0C3" w14:textId="0ACA30A3" w:rsidR="00CD34D6" w:rsidRDefault="00CD34D6" w:rsidP="00CD34D6">
      <w:pPr>
        <w:spacing w:after="160"/>
        <w:jc w:val="center"/>
        <w:rPr>
          <w:b/>
          <w:sz w:val="36"/>
        </w:rPr>
      </w:pPr>
      <w:r>
        <w:rPr>
          <w:noProof/>
        </w:rPr>
        <w:drawing>
          <wp:inline distT="0" distB="0" distL="0" distR="0" wp14:anchorId="7FA1BBD0" wp14:editId="7AAF1092">
            <wp:extent cx="3573331" cy="1496770"/>
            <wp:effectExtent l="0" t="0" r="8255" b="8255"/>
            <wp:docPr id="1169064408" name="Picture 1"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healthcare course - Digital Health and Care Wal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20480" cy="1516520"/>
                    </a:xfrm>
                    <a:prstGeom prst="rect">
                      <a:avLst/>
                    </a:prstGeom>
                    <a:noFill/>
                    <a:ln>
                      <a:noFill/>
                    </a:ln>
                  </pic:spPr>
                </pic:pic>
              </a:graphicData>
            </a:graphic>
          </wp:inline>
        </w:drawing>
      </w:r>
    </w:p>
    <w:p w14:paraId="12BB7A0B" w14:textId="4EEE3443" w:rsidR="002D6F1C" w:rsidRDefault="00000000">
      <w:pPr>
        <w:spacing w:after="160"/>
        <w:jc w:val="center"/>
      </w:pPr>
      <w:r>
        <w:rPr>
          <w:b/>
          <w:sz w:val="36"/>
        </w:rPr>
        <w:t>Service Improvement Report</w:t>
      </w:r>
      <w:r>
        <w:rPr>
          <w:b/>
          <w:sz w:val="36"/>
        </w:rPr>
        <w:br/>
        <w:t xml:space="preserve">When </w:t>
      </w:r>
      <w:proofErr w:type="spellStart"/>
      <w:r>
        <w:rPr>
          <w:b/>
          <w:sz w:val="36"/>
        </w:rPr>
        <w:t>Paediatric</w:t>
      </w:r>
      <w:proofErr w:type="spellEnd"/>
      <w:r>
        <w:rPr>
          <w:b/>
          <w:sz w:val="36"/>
        </w:rPr>
        <w:t xml:space="preserve"> Cardiac Care Lost Its Assurance Signal:</w:t>
      </w:r>
      <w:r>
        <w:rPr>
          <w:b/>
          <w:sz w:val="36"/>
        </w:rPr>
        <w:br/>
        <w:t>The Bristol Royal Infirmary Inquiry</w:t>
      </w:r>
    </w:p>
    <w:tbl>
      <w:tblPr>
        <w:tblStyle w:val="TableGrid"/>
        <w:tblW w:w="0" w:type="auto"/>
        <w:jc w:val="center"/>
        <w:tblLook w:val="04A0" w:firstRow="1" w:lastRow="0" w:firstColumn="1" w:lastColumn="0" w:noHBand="0" w:noVBand="1"/>
      </w:tblPr>
      <w:tblGrid>
        <w:gridCol w:w="4675"/>
        <w:gridCol w:w="4675"/>
      </w:tblGrid>
      <w:tr w:rsidR="002D6F1C" w:rsidRPr="00CD34D6" w14:paraId="26D90BF1" w14:textId="77777777" w:rsidTr="0063577A">
        <w:trPr>
          <w:jc w:val="center"/>
        </w:trPr>
        <w:tc>
          <w:tcPr>
            <w:tcW w:w="4675" w:type="dxa"/>
            <w:shd w:val="clear" w:color="auto" w:fill="EAF2F8"/>
          </w:tcPr>
          <w:p w14:paraId="3D45C579" w14:textId="77777777" w:rsidR="002D6F1C" w:rsidRPr="00CD34D6" w:rsidRDefault="00000000" w:rsidP="00CD34D6">
            <w:pPr>
              <w:spacing w:line="360" w:lineRule="auto"/>
              <w:rPr>
                <w:sz w:val="24"/>
                <w:szCs w:val="24"/>
              </w:rPr>
            </w:pPr>
            <w:r w:rsidRPr="00CD34D6">
              <w:rPr>
                <w:b/>
                <w:sz w:val="24"/>
                <w:szCs w:val="24"/>
              </w:rPr>
              <w:t>Student name</w:t>
            </w:r>
          </w:p>
        </w:tc>
        <w:tc>
          <w:tcPr>
            <w:tcW w:w="4675" w:type="dxa"/>
          </w:tcPr>
          <w:p w14:paraId="38B585C1" w14:textId="77777777" w:rsidR="002D6F1C" w:rsidRPr="00CD34D6" w:rsidRDefault="00000000" w:rsidP="00CD34D6">
            <w:pPr>
              <w:spacing w:line="360" w:lineRule="auto"/>
              <w:rPr>
                <w:sz w:val="24"/>
                <w:szCs w:val="24"/>
              </w:rPr>
            </w:pPr>
            <w:r w:rsidRPr="00CD34D6">
              <w:rPr>
                <w:sz w:val="24"/>
                <w:szCs w:val="24"/>
              </w:rPr>
              <w:t>Mst Sharmin Sultana Mitu</w:t>
            </w:r>
          </w:p>
        </w:tc>
      </w:tr>
      <w:tr w:rsidR="002D6F1C" w:rsidRPr="00CD34D6" w14:paraId="28A340B6" w14:textId="77777777" w:rsidTr="0063577A">
        <w:trPr>
          <w:jc w:val="center"/>
        </w:trPr>
        <w:tc>
          <w:tcPr>
            <w:tcW w:w="4675" w:type="dxa"/>
            <w:shd w:val="clear" w:color="auto" w:fill="EAF2F8"/>
          </w:tcPr>
          <w:p w14:paraId="6FABD352" w14:textId="77777777" w:rsidR="002D6F1C" w:rsidRPr="00CD34D6" w:rsidRDefault="00000000" w:rsidP="00CD34D6">
            <w:pPr>
              <w:spacing w:line="360" w:lineRule="auto"/>
              <w:rPr>
                <w:sz w:val="24"/>
                <w:szCs w:val="24"/>
              </w:rPr>
            </w:pPr>
            <w:r w:rsidRPr="00CD34D6">
              <w:rPr>
                <w:b/>
                <w:sz w:val="24"/>
                <w:szCs w:val="24"/>
              </w:rPr>
              <w:t>Student ID</w:t>
            </w:r>
          </w:p>
        </w:tc>
        <w:tc>
          <w:tcPr>
            <w:tcW w:w="4675" w:type="dxa"/>
          </w:tcPr>
          <w:p w14:paraId="2DD6E887" w14:textId="77777777" w:rsidR="002D6F1C" w:rsidRPr="00CD34D6" w:rsidRDefault="00000000" w:rsidP="00CD34D6">
            <w:pPr>
              <w:spacing w:line="360" w:lineRule="auto"/>
              <w:rPr>
                <w:sz w:val="24"/>
                <w:szCs w:val="24"/>
              </w:rPr>
            </w:pPr>
            <w:r w:rsidRPr="00CD34D6">
              <w:rPr>
                <w:sz w:val="24"/>
                <w:szCs w:val="24"/>
              </w:rPr>
              <w:t>2524666</w:t>
            </w:r>
          </w:p>
        </w:tc>
      </w:tr>
      <w:tr w:rsidR="002D6F1C" w:rsidRPr="00CD34D6" w14:paraId="101ECFC7" w14:textId="77777777" w:rsidTr="0063577A">
        <w:trPr>
          <w:jc w:val="center"/>
        </w:trPr>
        <w:tc>
          <w:tcPr>
            <w:tcW w:w="4675" w:type="dxa"/>
            <w:shd w:val="clear" w:color="auto" w:fill="EAF2F8"/>
          </w:tcPr>
          <w:p w14:paraId="19F64C67" w14:textId="77777777" w:rsidR="002D6F1C" w:rsidRPr="00CD34D6" w:rsidRDefault="00000000" w:rsidP="00CD34D6">
            <w:pPr>
              <w:spacing w:line="360" w:lineRule="auto"/>
              <w:rPr>
                <w:sz w:val="24"/>
                <w:szCs w:val="24"/>
              </w:rPr>
            </w:pPr>
            <w:r w:rsidRPr="00CD34D6">
              <w:rPr>
                <w:b/>
                <w:sz w:val="24"/>
                <w:szCs w:val="24"/>
              </w:rPr>
              <w:t>Programme</w:t>
            </w:r>
          </w:p>
        </w:tc>
        <w:tc>
          <w:tcPr>
            <w:tcW w:w="4675" w:type="dxa"/>
          </w:tcPr>
          <w:p w14:paraId="18DDCD6F" w14:textId="77777777" w:rsidR="002D6F1C" w:rsidRPr="00CD34D6" w:rsidRDefault="00000000" w:rsidP="00CD34D6">
            <w:pPr>
              <w:spacing w:line="360" w:lineRule="auto"/>
              <w:rPr>
                <w:sz w:val="24"/>
                <w:szCs w:val="24"/>
              </w:rPr>
            </w:pPr>
            <w:r w:rsidRPr="00CD34D6">
              <w:rPr>
                <w:sz w:val="24"/>
                <w:szCs w:val="24"/>
              </w:rPr>
              <w:t>MSc Public Health and Social Care in Practice</w:t>
            </w:r>
          </w:p>
        </w:tc>
      </w:tr>
      <w:tr w:rsidR="002D6F1C" w:rsidRPr="00CD34D6" w14:paraId="722E803D" w14:textId="77777777" w:rsidTr="0063577A">
        <w:trPr>
          <w:jc w:val="center"/>
        </w:trPr>
        <w:tc>
          <w:tcPr>
            <w:tcW w:w="4675" w:type="dxa"/>
            <w:shd w:val="clear" w:color="auto" w:fill="EAF2F8"/>
          </w:tcPr>
          <w:p w14:paraId="0915BE78" w14:textId="77777777" w:rsidR="002D6F1C" w:rsidRPr="00CD34D6" w:rsidRDefault="00000000" w:rsidP="00CD34D6">
            <w:pPr>
              <w:spacing w:line="360" w:lineRule="auto"/>
              <w:rPr>
                <w:sz w:val="24"/>
                <w:szCs w:val="24"/>
              </w:rPr>
            </w:pPr>
            <w:r w:rsidRPr="00CD34D6">
              <w:rPr>
                <w:b/>
                <w:sz w:val="24"/>
                <w:szCs w:val="24"/>
              </w:rPr>
              <w:t>Module</w:t>
            </w:r>
          </w:p>
        </w:tc>
        <w:tc>
          <w:tcPr>
            <w:tcW w:w="4675" w:type="dxa"/>
          </w:tcPr>
          <w:p w14:paraId="2238A569" w14:textId="77777777" w:rsidR="002D6F1C" w:rsidRPr="00CD34D6" w:rsidRDefault="00000000" w:rsidP="00CD34D6">
            <w:pPr>
              <w:spacing w:line="360" w:lineRule="auto"/>
              <w:rPr>
                <w:sz w:val="24"/>
                <w:szCs w:val="24"/>
              </w:rPr>
            </w:pPr>
            <w:r w:rsidRPr="00CD34D6">
              <w:rPr>
                <w:sz w:val="24"/>
                <w:szCs w:val="24"/>
              </w:rPr>
              <w:t>LCHS7006 Quality Assurance and Service Improvements</w:t>
            </w:r>
          </w:p>
        </w:tc>
      </w:tr>
      <w:tr w:rsidR="002D6F1C" w:rsidRPr="00CD34D6" w14:paraId="536A8C59" w14:textId="77777777" w:rsidTr="0063577A">
        <w:trPr>
          <w:jc w:val="center"/>
        </w:trPr>
        <w:tc>
          <w:tcPr>
            <w:tcW w:w="4675" w:type="dxa"/>
            <w:shd w:val="clear" w:color="auto" w:fill="EAF2F8"/>
          </w:tcPr>
          <w:p w14:paraId="7CFA8EDB" w14:textId="77777777" w:rsidR="002D6F1C" w:rsidRPr="00CD34D6" w:rsidRDefault="00000000" w:rsidP="00CD34D6">
            <w:pPr>
              <w:spacing w:line="360" w:lineRule="auto"/>
              <w:rPr>
                <w:sz w:val="24"/>
                <w:szCs w:val="24"/>
              </w:rPr>
            </w:pPr>
            <w:r w:rsidRPr="00CD34D6">
              <w:rPr>
                <w:b/>
                <w:sz w:val="24"/>
                <w:szCs w:val="24"/>
              </w:rPr>
              <w:t>Lecturer</w:t>
            </w:r>
          </w:p>
        </w:tc>
        <w:tc>
          <w:tcPr>
            <w:tcW w:w="4675" w:type="dxa"/>
          </w:tcPr>
          <w:p w14:paraId="33475A93" w14:textId="77777777" w:rsidR="002D6F1C" w:rsidRPr="00CD34D6" w:rsidRDefault="00000000" w:rsidP="00CD34D6">
            <w:pPr>
              <w:spacing w:line="360" w:lineRule="auto"/>
              <w:rPr>
                <w:sz w:val="24"/>
                <w:szCs w:val="24"/>
              </w:rPr>
            </w:pPr>
            <w:r w:rsidRPr="00CD34D6">
              <w:rPr>
                <w:sz w:val="24"/>
                <w:szCs w:val="24"/>
              </w:rPr>
              <w:t>Dr Fahad Khan</w:t>
            </w:r>
          </w:p>
        </w:tc>
      </w:tr>
      <w:tr w:rsidR="002D6F1C" w:rsidRPr="00CD34D6" w14:paraId="4EF7B928" w14:textId="77777777" w:rsidTr="0063577A">
        <w:trPr>
          <w:jc w:val="center"/>
        </w:trPr>
        <w:tc>
          <w:tcPr>
            <w:tcW w:w="4675" w:type="dxa"/>
            <w:shd w:val="clear" w:color="auto" w:fill="EAF2F8"/>
          </w:tcPr>
          <w:p w14:paraId="39970F18" w14:textId="77777777" w:rsidR="002D6F1C" w:rsidRPr="00CD34D6" w:rsidRDefault="00000000" w:rsidP="00CD34D6">
            <w:pPr>
              <w:spacing w:line="360" w:lineRule="auto"/>
              <w:rPr>
                <w:sz w:val="24"/>
                <w:szCs w:val="24"/>
              </w:rPr>
            </w:pPr>
            <w:r w:rsidRPr="00CD34D6">
              <w:rPr>
                <w:b/>
                <w:sz w:val="24"/>
                <w:szCs w:val="24"/>
              </w:rPr>
              <w:t>Assignment</w:t>
            </w:r>
          </w:p>
        </w:tc>
        <w:tc>
          <w:tcPr>
            <w:tcW w:w="4675" w:type="dxa"/>
          </w:tcPr>
          <w:p w14:paraId="732AE09C" w14:textId="77777777" w:rsidR="002D6F1C" w:rsidRPr="00CD34D6" w:rsidRDefault="00000000" w:rsidP="00CD34D6">
            <w:pPr>
              <w:spacing w:line="360" w:lineRule="auto"/>
              <w:rPr>
                <w:sz w:val="24"/>
                <w:szCs w:val="24"/>
              </w:rPr>
            </w:pPr>
            <w:r w:rsidRPr="00CD34D6">
              <w:rPr>
                <w:sz w:val="24"/>
                <w:szCs w:val="24"/>
              </w:rPr>
              <w:t>Component 2: Service Improvement Report</w:t>
            </w:r>
          </w:p>
        </w:tc>
      </w:tr>
      <w:tr w:rsidR="002D6F1C" w:rsidRPr="00CD34D6" w14:paraId="149EBB18" w14:textId="77777777" w:rsidTr="0063577A">
        <w:trPr>
          <w:jc w:val="center"/>
        </w:trPr>
        <w:tc>
          <w:tcPr>
            <w:tcW w:w="4675" w:type="dxa"/>
            <w:shd w:val="clear" w:color="auto" w:fill="EAF2F8"/>
          </w:tcPr>
          <w:p w14:paraId="1087105F" w14:textId="77777777" w:rsidR="002D6F1C" w:rsidRPr="00CD34D6" w:rsidRDefault="00000000" w:rsidP="00CD34D6">
            <w:pPr>
              <w:spacing w:line="360" w:lineRule="auto"/>
              <w:rPr>
                <w:sz w:val="24"/>
                <w:szCs w:val="24"/>
              </w:rPr>
            </w:pPr>
            <w:r w:rsidRPr="00CD34D6">
              <w:rPr>
                <w:b/>
                <w:sz w:val="24"/>
                <w:szCs w:val="24"/>
              </w:rPr>
              <w:t>Case study</w:t>
            </w:r>
          </w:p>
        </w:tc>
        <w:tc>
          <w:tcPr>
            <w:tcW w:w="4675" w:type="dxa"/>
          </w:tcPr>
          <w:p w14:paraId="288BC203" w14:textId="77777777" w:rsidR="002D6F1C" w:rsidRPr="00CD34D6" w:rsidRDefault="00000000" w:rsidP="00CD34D6">
            <w:pPr>
              <w:spacing w:line="360" w:lineRule="auto"/>
              <w:rPr>
                <w:sz w:val="24"/>
                <w:szCs w:val="24"/>
              </w:rPr>
            </w:pPr>
            <w:r w:rsidRPr="00CD34D6">
              <w:rPr>
                <w:sz w:val="24"/>
                <w:szCs w:val="24"/>
              </w:rPr>
              <w:t>Bristol Royal Infirmary Inquiry</w:t>
            </w:r>
          </w:p>
        </w:tc>
      </w:tr>
      <w:tr w:rsidR="002D6F1C" w:rsidRPr="00CD34D6" w14:paraId="5DC18E36" w14:textId="77777777" w:rsidTr="0063577A">
        <w:trPr>
          <w:jc w:val="center"/>
        </w:trPr>
        <w:tc>
          <w:tcPr>
            <w:tcW w:w="4675" w:type="dxa"/>
            <w:shd w:val="clear" w:color="auto" w:fill="EAF2F8"/>
          </w:tcPr>
          <w:p w14:paraId="287C3E91" w14:textId="77777777" w:rsidR="002D6F1C" w:rsidRPr="00CD34D6" w:rsidRDefault="00000000" w:rsidP="00CD34D6">
            <w:pPr>
              <w:spacing w:line="360" w:lineRule="auto"/>
              <w:rPr>
                <w:sz w:val="24"/>
                <w:szCs w:val="24"/>
              </w:rPr>
            </w:pPr>
            <w:r w:rsidRPr="00CD34D6">
              <w:rPr>
                <w:b/>
                <w:sz w:val="24"/>
                <w:szCs w:val="24"/>
              </w:rPr>
              <w:t>Word count</w:t>
            </w:r>
          </w:p>
        </w:tc>
        <w:tc>
          <w:tcPr>
            <w:tcW w:w="4675" w:type="dxa"/>
            <w:vAlign w:val="center"/>
          </w:tcPr>
          <w:p w14:paraId="41791904" w14:textId="75428FF0" w:rsidR="00B44EF9" w:rsidRPr="00CD34D6" w:rsidRDefault="0063577A" w:rsidP="00CD34D6">
            <w:pPr>
              <w:spacing w:line="360" w:lineRule="auto"/>
              <w:rPr>
                <w:sz w:val="24"/>
                <w:szCs w:val="24"/>
              </w:rPr>
            </w:pPr>
            <w:r>
              <w:rPr>
                <w:sz w:val="24"/>
                <w:szCs w:val="24"/>
              </w:rPr>
              <w:t>3263</w:t>
            </w:r>
          </w:p>
        </w:tc>
      </w:tr>
      <w:tr w:rsidR="0063577A" w:rsidRPr="00CD34D6" w14:paraId="481E1B2F" w14:textId="77777777" w:rsidTr="0063577A">
        <w:trPr>
          <w:jc w:val="center"/>
        </w:trPr>
        <w:tc>
          <w:tcPr>
            <w:tcW w:w="4675" w:type="dxa"/>
            <w:shd w:val="clear" w:color="auto" w:fill="EAF2F8"/>
          </w:tcPr>
          <w:p w14:paraId="2BEC7AD8" w14:textId="67DDFA7D" w:rsidR="0063577A" w:rsidRPr="00CD34D6" w:rsidRDefault="0063577A" w:rsidP="00CD34D6">
            <w:pPr>
              <w:spacing w:line="360" w:lineRule="auto"/>
              <w:rPr>
                <w:b/>
                <w:sz w:val="24"/>
                <w:szCs w:val="24"/>
              </w:rPr>
            </w:pPr>
            <w:r>
              <w:rPr>
                <w:b/>
                <w:sz w:val="24"/>
                <w:szCs w:val="24"/>
              </w:rPr>
              <w:t xml:space="preserve">Submission date </w:t>
            </w:r>
          </w:p>
        </w:tc>
        <w:tc>
          <w:tcPr>
            <w:tcW w:w="4675" w:type="dxa"/>
            <w:vAlign w:val="center"/>
          </w:tcPr>
          <w:p w14:paraId="2A318092" w14:textId="15836830" w:rsidR="0063577A" w:rsidRDefault="00431EAF" w:rsidP="00CD34D6">
            <w:pPr>
              <w:spacing w:line="360" w:lineRule="auto"/>
              <w:rPr>
                <w:sz w:val="24"/>
                <w:szCs w:val="24"/>
              </w:rPr>
            </w:pPr>
            <w:r>
              <w:rPr>
                <w:sz w:val="24"/>
                <w:szCs w:val="24"/>
              </w:rPr>
              <w:t>23</w:t>
            </w:r>
            <w:r w:rsidR="00EA0721" w:rsidRPr="00EA0721">
              <w:rPr>
                <w:sz w:val="24"/>
                <w:szCs w:val="24"/>
                <w:vertAlign w:val="superscript"/>
              </w:rPr>
              <w:t>rd</w:t>
            </w:r>
            <w:r w:rsidRPr="00EA0721">
              <w:rPr>
                <w:sz w:val="24"/>
                <w:szCs w:val="24"/>
                <w:vertAlign w:val="superscript"/>
              </w:rPr>
              <w:t xml:space="preserve"> </w:t>
            </w:r>
            <w:r>
              <w:rPr>
                <w:sz w:val="24"/>
                <w:szCs w:val="24"/>
              </w:rPr>
              <w:t>July, 2026</w:t>
            </w:r>
          </w:p>
        </w:tc>
      </w:tr>
    </w:tbl>
    <w:p w14:paraId="65798CB3" w14:textId="77777777" w:rsidR="002D6F1C" w:rsidRDefault="00000000">
      <w:r>
        <w:br w:type="page"/>
      </w:r>
    </w:p>
    <w:bookmarkStart w:id="0" w:name="_Toc235271998" w:displacedByCustomXml="next"/>
    <w:sdt>
      <w:sdtPr>
        <w:rPr>
          <w:rFonts w:ascii="Arial" w:eastAsia="Arial" w:hAnsi="Arial" w:cstheme="minorBidi"/>
          <w:b w:val="0"/>
          <w:bCs w:val="0"/>
          <w:color w:val="auto"/>
          <w:sz w:val="22"/>
          <w:szCs w:val="22"/>
        </w:rPr>
        <w:id w:val="-1583054719"/>
        <w:docPartObj>
          <w:docPartGallery w:val="Table of Contents"/>
          <w:docPartUnique/>
        </w:docPartObj>
      </w:sdtPr>
      <w:sdtEndPr>
        <w:rPr>
          <w:noProof/>
        </w:rPr>
      </w:sdtEndPr>
      <w:sdtContent>
        <w:p w14:paraId="29F9E21D" w14:textId="6309CAA8" w:rsidR="0063577A" w:rsidRDefault="0063577A">
          <w:pPr>
            <w:pStyle w:val="TOCHeading"/>
          </w:pPr>
          <w:r>
            <w:t>Table of Contents</w:t>
          </w:r>
        </w:p>
        <w:p w14:paraId="6C3697B2" w14:textId="5DEDA158" w:rsidR="0063577A" w:rsidRDefault="0063577A">
          <w:pPr>
            <w:pStyle w:val="TOC1"/>
            <w:tabs>
              <w:tab w:val="right" w:leader="dot" w:pos="9350"/>
            </w:tabs>
            <w:rPr>
              <w:rFonts w:asciiTheme="minorHAnsi" w:eastAsiaTheme="minorEastAsia" w:hAnsiTheme="minorHAnsi"/>
              <w:noProof/>
              <w:kern w:val="2"/>
              <w:sz w:val="24"/>
              <w:szCs w:val="24"/>
              <w14:ligatures w14:val="standardContextual"/>
            </w:rPr>
          </w:pPr>
          <w:r>
            <w:fldChar w:fldCharType="begin"/>
          </w:r>
          <w:r>
            <w:instrText xml:space="preserve"> TOC \o "1-3" \h \z \u </w:instrText>
          </w:r>
          <w:r>
            <w:fldChar w:fldCharType="separate"/>
          </w:r>
          <w:hyperlink w:anchor="_Toc235719376" w:history="1">
            <w:r w:rsidRPr="005559DD">
              <w:rPr>
                <w:rStyle w:val="Hyperlink"/>
                <w:rFonts w:cs="Arial"/>
                <w:noProof/>
              </w:rPr>
              <w:t>1. Introduction and case background</w:t>
            </w:r>
            <w:r>
              <w:rPr>
                <w:noProof/>
                <w:webHidden/>
              </w:rPr>
              <w:tab/>
            </w:r>
            <w:r>
              <w:rPr>
                <w:noProof/>
                <w:webHidden/>
              </w:rPr>
              <w:fldChar w:fldCharType="begin"/>
            </w:r>
            <w:r>
              <w:rPr>
                <w:noProof/>
                <w:webHidden/>
              </w:rPr>
              <w:instrText xml:space="preserve"> PAGEREF _Toc235719376 \h </w:instrText>
            </w:r>
            <w:r>
              <w:rPr>
                <w:noProof/>
                <w:webHidden/>
              </w:rPr>
            </w:r>
            <w:r>
              <w:rPr>
                <w:noProof/>
                <w:webHidden/>
              </w:rPr>
              <w:fldChar w:fldCharType="separate"/>
            </w:r>
            <w:r>
              <w:rPr>
                <w:noProof/>
                <w:webHidden/>
              </w:rPr>
              <w:t>3</w:t>
            </w:r>
            <w:r>
              <w:rPr>
                <w:noProof/>
                <w:webHidden/>
              </w:rPr>
              <w:fldChar w:fldCharType="end"/>
            </w:r>
          </w:hyperlink>
        </w:p>
        <w:p w14:paraId="05668313" w14:textId="205ED0C1" w:rsidR="0063577A" w:rsidRDefault="0063577A">
          <w:pPr>
            <w:pStyle w:val="TOC1"/>
            <w:tabs>
              <w:tab w:val="right" w:leader="dot" w:pos="9350"/>
            </w:tabs>
            <w:rPr>
              <w:rFonts w:asciiTheme="minorHAnsi" w:eastAsiaTheme="minorEastAsia" w:hAnsiTheme="minorHAnsi"/>
              <w:noProof/>
              <w:kern w:val="2"/>
              <w:sz w:val="24"/>
              <w:szCs w:val="24"/>
              <w14:ligatures w14:val="standardContextual"/>
            </w:rPr>
          </w:pPr>
          <w:hyperlink w:anchor="_Toc235719377" w:history="1">
            <w:r w:rsidRPr="005559DD">
              <w:rPr>
                <w:rStyle w:val="Hyperlink"/>
                <w:rFonts w:cs="Arial"/>
                <w:noProof/>
              </w:rPr>
              <w:t>2. Quality assurance and service improvement context</w:t>
            </w:r>
            <w:r>
              <w:rPr>
                <w:noProof/>
                <w:webHidden/>
              </w:rPr>
              <w:tab/>
            </w:r>
            <w:r>
              <w:rPr>
                <w:noProof/>
                <w:webHidden/>
              </w:rPr>
              <w:fldChar w:fldCharType="begin"/>
            </w:r>
            <w:r>
              <w:rPr>
                <w:noProof/>
                <w:webHidden/>
              </w:rPr>
              <w:instrText xml:space="preserve"> PAGEREF _Toc235719377 \h </w:instrText>
            </w:r>
            <w:r>
              <w:rPr>
                <w:noProof/>
                <w:webHidden/>
              </w:rPr>
            </w:r>
            <w:r>
              <w:rPr>
                <w:noProof/>
                <w:webHidden/>
              </w:rPr>
              <w:fldChar w:fldCharType="separate"/>
            </w:r>
            <w:r>
              <w:rPr>
                <w:noProof/>
                <w:webHidden/>
              </w:rPr>
              <w:t>3</w:t>
            </w:r>
            <w:r>
              <w:rPr>
                <w:noProof/>
                <w:webHidden/>
              </w:rPr>
              <w:fldChar w:fldCharType="end"/>
            </w:r>
          </w:hyperlink>
        </w:p>
        <w:p w14:paraId="48BF29AC" w14:textId="43D191E7" w:rsidR="0063577A" w:rsidRDefault="0063577A">
          <w:pPr>
            <w:pStyle w:val="TOC2"/>
            <w:tabs>
              <w:tab w:val="right" w:leader="dot" w:pos="9350"/>
            </w:tabs>
            <w:rPr>
              <w:rFonts w:asciiTheme="minorHAnsi" w:eastAsiaTheme="minorEastAsia" w:hAnsiTheme="minorHAnsi"/>
              <w:noProof/>
              <w:kern w:val="2"/>
              <w:sz w:val="24"/>
              <w:szCs w:val="24"/>
              <w14:ligatures w14:val="standardContextual"/>
            </w:rPr>
          </w:pPr>
          <w:hyperlink w:anchor="_Toc235719378" w:history="1">
            <w:r w:rsidRPr="005559DD">
              <w:rPr>
                <w:rStyle w:val="Hyperlink"/>
                <w:noProof/>
              </w:rPr>
              <w:t>2.1 Critical policy reform and implementation vulnerability</w:t>
            </w:r>
            <w:r>
              <w:rPr>
                <w:noProof/>
                <w:webHidden/>
              </w:rPr>
              <w:tab/>
            </w:r>
            <w:r>
              <w:rPr>
                <w:noProof/>
                <w:webHidden/>
              </w:rPr>
              <w:fldChar w:fldCharType="begin"/>
            </w:r>
            <w:r>
              <w:rPr>
                <w:noProof/>
                <w:webHidden/>
              </w:rPr>
              <w:instrText xml:space="preserve"> PAGEREF _Toc235719378 \h </w:instrText>
            </w:r>
            <w:r>
              <w:rPr>
                <w:noProof/>
                <w:webHidden/>
              </w:rPr>
            </w:r>
            <w:r>
              <w:rPr>
                <w:noProof/>
                <w:webHidden/>
              </w:rPr>
              <w:fldChar w:fldCharType="separate"/>
            </w:r>
            <w:r>
              <w:rPr>
                <w:noProof/>
                <w:webHidden/>
              </w:rPr>
              <w:t>4</w:t>
            </w:r>
            <w:r>
              <w:rPr>
                <w:noProof/>
                <w:webHidden/>
              </w:rPr>
              <w:fldChar w:fldCharType="end"/>
            </w:r>
          </w:hyperlink>
        </w:p>
        <w:p w14:paraId="68AE870B" w14:textId="2B70D1C2" w:rsidR="0063577A" w:rsidRDefault="0063577A">
          <w:pPr>
            <w:pStyle w:val="TOC1"/>
            <w:tabs>
              <w:tab w:val="right" w:leader="dot" w:pos="9350"/>
            </w:tabs>
            <w:rPr>
              <w:rFonts w:asciiTheme="minorHAnsi" w:eastAsiaTheme="minorEastAsia" w:hAnsiTheme="minorHAnsi"/>
              <w:noProof/>
              <w:kern w:val="2"/>
              <w:sz w:val="24"/>
              <w:szCs w:val="24"/>
              <w14:ligatures w14:val="standardContextual"/>
            </w:rPr>
          </w:pPr>
          <w:hyperlink w:anchor="_Toc235719379" w:history="1">
            <w:r w:rsidRPr="005559DD">
              <w:rPr>
                <w:rStyle w:val="Hyperlink"/>
                <w:rFonts w:cs="Arial"/>
                <w:noProof/>
              </w:rPr>
              <w:t>3. Critical Root Cause and Improvement Analysis</w:t>
            </w:r>
            <w:r>
              <w:rPr>
                <w:noProof/>
                <w:webHidden/>
              </w:rPr>
              <w:tab/>
            </w:r>
            <w:r>
              <w:rPr>
                <w:noProof/>
                <w:webHidden/>
              </w:rPr>
              <w:fldChar w:fldCharType="begin"/>
            </w:r>
            <w:r>
              <w:rPr>
                <w:noProof/>
                <w:webHidden/>
              </w:rPr>
              <w:instrText xml:space="preserve"> PAGEREF _Toc235719379 \h </w:instrText>
            </w:r>
            <w:r>
              <w:rPr>
                <w:noProof/>
                <w:webHidden/>
              </w:rPr>
            </w:r>
            <w:r>
              <w:rPr>
                <w:noProof/>
                <w:webHidden/>
              </w:rPr>
              <w:fldChar w:fldCharType="separate"/>
            </w:r>
            <w:r>
              <w:rPr>
                <w:noProof/>
                <w:webHidden/>
              </w:rPr>
              <w:t>4</w:t>
            </w:r>
            <w:r>
              <w:rPr>
                <w:noProof/>
                <w:webHidden/>
              </w:rPr>
              <w:fldChar w:fldCharType="end"/>
            </w:r>
          </w:hyperlink>
        </w:p>
        <w:p w14:paraId="0A7FAFDA" w14:textId="02F87B3F" w:rsidR="0063577A" w:rsidRDefault="0063577A">
          <w:pPr>
            <w:pStyle w:val="TOC2"/>
            <w:tabs>
              <w:tab w:val="right" w:leader="dot" w:pos="9350"/>
            </w:tabs>
            <w:rPr>
              <w:rFonts w:asciiTheme="minorHAnsi" w:eastAsiaTheme="minorEastAsia" w:hAnsiTheme="minorHAnsi"/>
              <w:noProof/>
              <w:kern w:val="2"/>
              <w:sz w:val="24"/>
              <w:szCs w:val="24"/>
              <w14:ligatures w14:val="standardContextual"/>
            </w:rPr>
          </w:pPr>
          <w:hyperlink w:anchor="_Toc235719380" w:history="1">
            <w:r w:rsidRPr="005559DD">
              <w:rPr>
                <w:rStyle w:val="Hyperlink"/>
                <w:rFonts w:cs="Arial"/>
                <w:noProof/>
              </w:rPr>
              <w:t>3.1 Rich picture and systems reading of the case</w:t>
            </w:r>
            <w:r>
              <w:rPr>
                <w:noProof/>
                <w:webHidden/>
              </w:rPr>
              <w:tab/>
            </w:r>
            <w:r>
              <w:rPr>
                <w:noProof/>
                <w:webHidden/>
              </w:rPr>
              <w:fldChar w:fldCharType="begin"/>
            </w:r>
            <w:r>
              <w:rPr>
                <w:noProof/>
                <w:webHidden/>
              </w:rPr>
              <w:instrText xml:space="preserve"> PAGEREF _Toc235719380 \h </w:instrText>
            </w:r>
            <w:r>
              <w:rPr>
                <w:noProof/>
                <w:webHidden/>
              </w:rPr>
            </w:r>
            <w:r>
              <w:rPr>
                <w:noProof/>
                <w:webHidden/>
              </w:rPr>
              <w:fldChar w:fldCharType="separate"/>
            </w:r>
            <w:r>
              <w:rPr>
                <w:noProof/>
                <w:webHidden/>
              </w:rPr>
              <w:t>4</w:t>
            </w:r>
            <w:r>
              <w:rPr>
                <w:noProof/>
                <w:webHidden/>
              </w:rPr>
              <w:fldChar w:fldCharType="end"/>
            </w:r>
          </w:hyperlink>
        </w:p>
        <w:p w14:paraId="5F8A0587" w14:textId="474BB522" w:rsidR="0063577A" w:rsidRDefault="0063577A">
          <w:pPr>
            <w:pStyle w:val="TOC2"/>
            <w:tabs>
              <w:tab w:val="right" w:leader="dot" w:pos="9350"/>
            </w:tabs>
            <w:rPr>
              <w:rFonts w:asciiTheme="minorHAnsi" w:eastAsiaTheme="minorEastAsia" w:hAnsiTheme="minorHAnsi"/>
              <w:noProof/>
              <w:kern w:val="2"/>
              <w:sz w:val="24"/>
              <w:szCs w:val="24"/>
              <w14:ligatures w14:val="standardContextual"/>
            </w:rPr>
          </w:pPr>
          <w:hyperlink w:anchor="_Toc235719381" w:history="1">
            <w:r w:rsidRPr="005559DD">
              <w:rPr>
                <w:rStyle w:val="Hyperlink"/>
                <w:rFonts w:cs="Arial"/>
                <w:noProof/>
              </w:rPr>
              <w:t>3.2 Donabedian analysis of the case</w:t>
            </w:r>
            <w:r>
              <w:rPr>
                <w:noProof/>
                <w:webHidden/>
              </w:rPr>
              <w:tab/>
            </w:r>
            <w:r>
              <w:rPr>
                <w:noProof/>
                <w:webHidden/>
              </w:rPr>
              <w:fldChar w:fldCharType="begin"/>
            </w:r>
            <w:r>
              <w:rPr>
                <w:noProof/>
                <w:webHidden/>
              </w:rPr>
              <w:instrText xml:space="preserve"> PAGEREF _Toc235719381 \h </w:instrText>
            </w:r>
            <w:r>
              <w:rPr>
                <w:noProof/>
                <w:webHidden/>
              </w:rPr>
            </w:r>
            <w:r>
              <w:rPr>
                <w:noProof/>
                <w:webHidden/>
              </w:rPr>
              <w:fldChar w:fldCharType="separate"/>
            </w:r>
            <w:r>
              <w:rPr>
                <w:noProof/>
                <w:webHidden/>
              </w:rPr>
              <w:t>5</w:t>
            </w:r>
            <w:r>
              <w:rPr>
                <w:noProof/>
                <w:webHidden/>
              </w:rPr>
              <w:fldChar w:fldCharType="end"/>
            </w:r>
          </w:hyperlink>
        </w:p>
        <w:p w14:paraId="4D02E2E2" w14:textId="0540C8D9" w:rsidR="0063577A" w:rsidRDefault="0063577A">
          <w:pPr>
            <w:pStyle w:val="TOC2"/>
            <w:tabs>
              <w:tab w:val="right" w:leader="dot" w:pos="9350"/>
            </w:tabs>
            <w:rPr>
              <w:rFonts w:asciiTheme="minorHAnsi" w:eastAsiaTheme="minorEastAsia" w:hAnsiTheme="minorHAnsi"/>
              <w:noProof/>
              <w:kern w:val="2"/>
              <w:sz w:val="24"/>
              <w:szCs w:val="24"/>
              <w14:ligatures w14:val="standardContextual"/>
            </w:rPr>
          </w:pPr>
          <w:hyperlink w:anchor="_Toc235719382" w:history="1">
            <w:r w:rsidRPr="005559DD">
              <w:rPr>
                <w:rStyle w:val="Hyperlink"/>
                <w:rFonts w:cs="Arial"/>
                <w:noProof/>
              </w:rPr>
              <w:t>3.3 Fishbone Diagram and 5 Whys Root Cause Analysis</w:t>
            </w:r>
            <w:r>
              <w:rPr>
                <w:noProof/>
                <w:webHidden/>
              </w:rPr>
              <w:tab/>
            </w:r>
            <w:r>
              <w:rPr>
                <w:noProof/>
                <w:webHidden/>
              </w:rPr>
              <w:fldChar w:fldCharType="begin"/>
            </w:r>
            <w:r>
              <w:rPr>
                <w:noProof/>
                <w:webHidden/>
              </w:rPr>
              <w:instrText xml:space="preserve"> PAGEREF _Toc235719382 \h </w:instrText>
            </w:r>
            <w:r>
              <w:rPr>
                <w:noProof/>
                <w:webHidden/>
              </w:rPr>
            </w:r>
            <w:r>
              <w:rPr>
                <w:noProof/>
                <w:webHidden/>
              </w:rPr>
              <w:fldChar w:fldCharType="separate"/>
            </w:r>
            <w:r>
              <w:rPr>
                <w:noProof/>
                <w:webHidden/>
              </w:rPr>
              <w:t>7</w:t>
            </w:r>
            <w:r>
              <w:rPr>
                <w:noProof/>
                <w:webHidden/>
              </w:rPr>
              <w:fldChar w:fldCharType="end"/>
            </w:r>
          </w:hyperlink>
        </w:p>
        <w:p w14:paraId="02C6E5F3" w14:textId="5A587F85" w:rsidR="0063577A" w:rsidRDefault="0063577A">
          <w:pPr>
            <w:pStyle w:val="TOC2"/>
            <w:tabs>
              <w:tab w:val="right" w:leader="dot" w:pos="9350"/>
            </w:tabs>
            <w:rPr>
              <w:rFonts w:asciiTheme="minorHAnsi" w:eastAsiaTheme="minorEastAsia" w:hAnsiTheme="minorHAnsi"/>
              <w:noProof/>
              <w:kern w:val="2"/>
              <w:sz w:val="24"/>
              <w:szCs w:val="24"/>
              <w14:ligatures w14:val="standardContextual"/>
            </w:rPr>
          </w:pPr>
          <w:hyperlink w:anchor="_Toc235719383" w:history="1">
            <w:r w:rsidRPr="005559DD">
              <w:rPr>
                <w:rStyle w:val="Hyperlink"/>
                <w:rFonts w:cs="Arial"/>
                <w:noProof/>
              </w:rPr>
              <w:t>3.4 SWOT quadrant analysis</w:t>
            </w:r>
            <w:r>
              <w:rPr>
                <w:noProof/>
                <w:webHidden/>
              </w:rPr>
              <w:tab/>
            </w:r>
            <w:r>
              <w:rPr>
                <w:noProof/>
                <w:webHidden/>
              </w:rPr>
              <w:fldChar w:fldCharType="begin"/>
            </w:r>
            <w:r>
              <w:rPr>
                <w:noProof/>
                <w:webHidden/>
              </w:rPr>
              <w:instrText xml:space="preserve"> PAGEREF _Toc235719383 \h </w:instrText>
            </w:r>
            <w:r>
              <w:rPr>
                <w:noProof/>
                <w:webHidden/>
              </w:rPr>
            </w:r>
            <w:r>
              <w:rPr>
                <w:noProof/>
                <w:webHidden/>
              </w:rPr>
              <w:fldChar w:fldCharType="separate"/>
            </w:r>
            <w:r>
              <w:rPr>
                <w:noProof/>
                <w:webHidden/>
              </w:rPr>
              <w:t>8</w:t>
            </w:r>
            <w:r>
              <w:rPr>
                <w:noProof/>
                <w:webHidden/>
              </w:rPr>
              <w:fldChar w:fldCharType="end"/>
            </w:r>
          </w:hyperlink>
        </w:p>
        <w:p w14:paraId="237059B2" w14:textId="5B2940D9" w:rsidR="0063577A" w:rsidRDefault="0063577A">
          <w:pPr>
            <w:pStyle w:val="TOC2"/>
            <w:tabs>
              <w:tab w:val="right" w:leader="dot" w:pos="9350"/>
            </w:tabs>
            <w:rPr>
              <w:rFonts w:asciiTheme="minorHAnsi" w:eastAsiaTheme="minorEastAsia" w:hAnsiTheme="minorHAnsi"/>
              <w:noProof/>
              <w:kern w:val="2"/>
              <w:sz w:val="24"/>
              <w:szCs w:val="24"/>
              <w14:ligatures w14:val="standardContextual"/>
            </w:rPr>
          </w:pPr>
          <w:hyperlink w:anchor="_Toc235719384" w:history="1">
            <w:r w:rsidRPr="005559DD">
              <w:rPr>
                <w:rStyle w:val="Hyperlink"/>
                <w:rFonts w:cs="Arial"/>
                <w:noProof/>
              </w:rPr>
              <w:t>3.5 Plan-Do-Study-Act Cycle and Kotter's 8-Step Change Model</w:t>
            </w:r>
            <w:r>
              <w:rPr>
                <w:noProof/>
                <w:webHidden/>
              </w:rPr>
              <w:tab/>
            </w:r>
            <w:r>
              <w:rPr>
                <w:noProof/>
                <w:webHidden/>
              </w:rPr>
              <w:fldChar w:fldCharType="begin"/>
            </w:r>
            <w:r>
              <w:rPr>
                <w:noProof/>
                <w:webHidden/>
              </w:rPr>
              <w:instrText xml:space="preserve"> PAGEREF _Toc235719384 \h </w:instrText>
            </w:r>
            <w:r>
              <w:rPr>
                <w:noProof/>
                <w:webHidden/>
              </w:rPr>
            </w:r>
            <w:r>
              <w:rPr>
                <w:noProof/>
                <w:webHidden/>
              </w:rPr>
              <w:fldChar w:fldCharType="separate"/>
            </w:r>
            <w:r>
              <w:rPr>
                <w:noProof/>
                <w:webHidden/>
              </w:rPr>
              <w:t>9</w:t>
            </w:r>
            <w:r>
              <w:rPr>
                <w:noProof/>
                <w:webHidden/>
              </w:rPr>
              <w:fldChar w:fldCharType="end"/>
            </w:r>
          </w:hyperlink>
        </w:p>
        <w:p w14:paraId="282DC0E8" w14:textId="7E97D9E3" w:rsidR="0063577A" w:rsidRDefault="0063577A">
          <w:pPr>
            <w:pStyle w:val="TOC1"/>
            <w:tabs>
              <w:tab w:val="right" w:leader="dot" w:pos="9350"/>
            </w:tabs>
            <w:rPr>
              <w:rFonts w:asciiTheme="minorHAnsi" w:eastAsiaTheme="minorEastAsia" w:hAnsiTheme="minorHAnsi"/>
              <w:noProof/>
              <w:kern w:val="2"/>
              <w:sz w:val="24"/>
              <w:szCs w:val="24"/>
              <w14:ligatures w14:val="standardContextual"/>
            </w:rPr>
          </w:pPr>
          <w:hyperlink w:anchor="_Toc235719385" w:history="1">
            <w:r w:rsidRPr="005559DD">
              <w:rPr>
                <w:rStyle w:val="Hyperlink"/>
                <w:rFonts w:cs="Arial"/>
                <w:noProof/>
              </w:rPr>
              <w:t>4. Recommendations and implementation strategy</w:t>
            </w:r>
            <w:r>
              <w:rPr>
                <w:noProof/>
                <w:webHidden/>
              </w:rPr>
              <w:tab/>
            </w:r>
            <w:r>
              <w:rPr>
                <w:noProof/>
                <w:webHidden/>
              </w:rPr>
              <w:fldChar w:fldCharType="begin"/>
            </w:r>
            <w:r>
              <w:rPr>
                <w:noProof/>
                <w:webHidden/>
              </w:rPr>
              <w:instrText xml:space="preserve"> PAGEREF _Toc235719385 \h </w:instrText>
            </w:r>
            <w:r>
              <w:rPr>
                <w:noProof/>
                <w:webHidden/>
              </w:rPr>
            </w:r>
            <w:r>
              <w:rPr>
                <w:noProof/>
                <w:webHidden/>
              </w:rPr>
              <w:fldChar w:fldCharType="separate"/>
            </w:r>
            <w:r>
              <w:rPr>
                <w:noProof/>
                <w:webHidden/>
              </w:rPr>
              <w:t>11</w:t>
            </w:r>
            <w:r>
              <w:rPr>
                <w:noProof/>
                <w:webHidden/>
              </w:rPr>
              <w:fldChar w:fldCharType="end"/>
            </w:r>
          </w:hyperlink>
        </w:p>
        <w:p w14:paraId="7E4E5A72" w14:textId="5A0E0BCD" w:rsidR="0063577A" w:rsidRDefault="0063577A">
          <w:pPr>
            <w:pStyle w:val="TOC1"/>
            <w:tabs>
              <w:tab w:val="right" w:leader="dot" w:pos="9350"/>
            </w:tabs>
            <w:rPr>
              <w:rFonts w:asciiTheme="minorHAnsi" w:eastAsiaTheme="minorEastAsia" w:hAnsiTheme="minorHAnsi"/>
              <w:noProof/>
              <w:kern w:val="2"/>
              <w:sz w:val="24"/>
              <w:szCs w:val="24"/>
              <w14:ligatures w14:val="standardContextual"/>
            </w:rPr>
          </w:pPr>
          <w:hyperlink w:anchor="_Toc235719386" w:history="1">
            <w:r w:rsidRPr="005559DD">
              <w:rPr>
                <w:rStyle w:val="Hyperlink"/>
                <w:rFonts w:cs="Arial"/>
                <w:noProof/>
              </w:rPr>
              <w:t>5. Benchmarking</w:t>
            </w:r>
            <w:r>
              <w:rPr>
                <w:noProof/>
                <w:webHidden/>
              </w:rPr>
              <w:tab/>
            </w:r>
            <w:r>
              <w:rPr>
                <w:noProof/>
                <w:webHidden/>
              </w:rPr>
              <w:fldChar w:fldCharType="begin"/>
            </w:r>
            <w:r>
              <w:rPr>
                <w:noProof/>
                <w:webHidden/>
              </w:rPr>
              <w:instrText xml:space="preserve"> PAGEREF _Toc235719386 \h </w:instrText>
            </w:r>
            <w:r>
              <w:rPr>
                <w:noProof/>
                <w:webHidden/>
              </w:rPr>
            </w:r>
            <w:r>
              <w:rPr>
                <w:noProof/>
                <w:webHidden/>
              </w:rPr>
              <w:fldChar w:fldCharType="separate"/>
            </w:r>
            <w:r>
              <w:rPr>
                <w:noProof/>
                <w:webHidden/>
              </w:rPr>
              <w:t>13</w:t>
            </w:r>
            <w:r>
              <w:rPr>
                <w:noProof/>
                <w:webHidden/>
              </w:rPr>
              <w:fldChar w:fldCharType="end"/>
            </w:r>
          </w:hyperlink>
        </w:p>
        <w:p w14:paraId="1EF0C346" w14:textId="398D9DEF" w:rsidR="0063577A" w:rsidRDefault="0063577A">
          <w:pPr>
            <w:pStyle w:val="TOC1"/>
            <w:tabs>
              <w:tab w:val="right" w:leader="dot" w:pos="9350"/>
            </w:tabs>
            <w:rPr>
              <w:rFonts w:asciiTheme="minorHAnsi" w:eastAsiaTheme="minorEastAsia" w:hAnsiTheme="minorHAnsi"/>
              <w:noProof/>
              <w:kern w:val="2"/>
              <w:sz w:val="24"/>
              <w:szCs w:val="24"/>
              <w14:ligatures w14:val="standardContextual"/>
            </w:rPr>
          </w:pPr>
          <w:hyperlink w:anchor="_Toc235719387" w:history="1">
            <w:r w:rsidRPr="005559DD">
              <w:rPr>
                <w:rStyle w:val="Hyperlink"/>
                <w:rFonts w:cs="Arial"/>
                <w:noProof/>
              </w:rPr>
              <w:t>Conclusion</w:t>
            </w:r>
            <w:r>
              <w:rPr>
                <w:noProof/>
                <w:webHidden/>
              </w:rPr>
              <w:tab/>
            </w:r>
            <w:r>
              <w:rPr>
                <w:noProof/>
                <w:webHidden/>
              </w:rPr>
              <w:fldChar w:fldCharType="begin"/>
            </w:r>
            <w:r>
              <w:rPr>
                <w:noProof/>
                <w:webHidden/>
              </w:rPr>
              <w:instrText xml:space="preserve"> PAGEREF _Toc235719387 \h </w:instrText>
            </w:r>
            <w:r>
              <w:rPr>
                <w:noProof/>
                <w:webHidden/>
              </w:rPr>
            </w:r>
            <w:r>
              <w:rPr>
                <w:noProof/>
                <w:webHidden/>
              </w:rPr>
              <w:fldChar w:fldCharType="separate"/>
            </w:r>
            <w:r>
              <w:rPr>
                <w:noProof/>
                <w:webHidden/>
              </w:rPr>
              <w:t>14</w:t>
            </w:r>
            <w:r>
              <w:rPr>
                <w:noProof/>
                <w:webHidden/>
              </w:rPr>
              <w:fldChar w:fldCharType="end"/>
            </w:r>
          </w:hyperlink>
        </w:p>
        <w:p w14:paraId="158011A6" w14:textId="14183EB8" w:rsidR="0063577A" w:rsidRDefault="0063577A">
          <w:pPr>
            <w:pStyle w:val="TOC1"/>
            <w:tabs>
              <w:tab w:val="right" w:leader="dot" w:pos="9350"/>
            </w:tabs>
            <w:rPr>
              <w:rFonts w:asciiTheme="minorHAnsi" w:eastAsiaTheme="minorEastAsia" w:hAnsiTheme="minorHAnsi"/>
              <w:noProof/>
              <w:kern w:val="2"/>
              <w:sz w:val="24"/>
              <w:szCs w:val="24"/>
              <w14:ligatures w14:val="standardContextual"/>
            </w:rPr>
          </w:pPr>
          <w:hyperlink w:anchor="_Toc235719388" w:history="1">
            <w:r w:rsidRPr="005559DD">
              <w:rPr>
                <w:rStyle w:val="Hyperlink"/>
                <w:noProof/>
              </w:rPr>
              <w:t>References</w:t>
            </w:r>
            <w:r>
              <w:rPr>
                <w:noProof/>
                <w:webHidden/>
              </w:rPr>
              <w:tab/>
            </w:r>
            <w:r>
              <w:rPr>
                <w:noProof/>
                <w:webHidden/>
              </w:rPr>
              <w:fldChar w:fldCharType="begin"/>
            </w:r>
            <w:r>
              <w:rPr>
                <w:noProof/>
                <w:webHidden/>
              </w:rPr>
              <w:instrText xml:space="preserve"> PAGEREF _Toc235719388 \h </w:instrText>
            </w:r>
            <w:r>
              <w:rPr>
                <w:noProof/>
                <w:webHidden/>
              </w:rPr>
            </w:r>
            <w:r>
              <w:rPr>
                <w:noProof/>
                <w:webHidden/>
              </w:rPr>
              <w:fldChar w:fldCharType="separate"/>
            </w:r>
            <w:r>
              <w:rPr>
                <w:noProof/>
                <w:webHidden/>
              </w:rPr>
              <w:t>15</w:t>
            </w:r>
            <w:r>
              <w:rPr>
                <w:noProof/>
                <w:webHidden/>
              </w:rPr>
              <w:fldChar w:fldCharType="end"/>
            </w:r>
          </w:hyperlink>
        </w:p>
        <w:p w14:paraId="72643478" w14:textId="012AD3BE" w:rsidR="0063577A" w:rsidRDefault="0063577A">
          <w:r>
            <w:rPr>
              <w:b/>
              <w:bCs/>
              <w:noProof/>
            </w:rPr>
            <w:fldChar w:fldCharType="end"/>
          </w:r>
        </w:p>
      </w:sdtContent>
    </w:sdt>
    <w:p w14:paraId="2FE76770" w14:textId="77777777" w:rsidR="0063577A" w:rsidRDefault="0063577A" w:rsidP="0063577A"/>
    <w:p w14:paraId="762A3A52" w14:textId="77777777" w:rsidR="0063577A" w:rsidRDefault="0063577A">
      <w:pPr>
        <w:rPr>
          <w:rFonts w:cs="Arial"/>
          <w:b/>
          <w:bCs/>
          <w:color w:val="000000" w:themeColor="text1"/>
          <w:sz w:val="30"/>
          <w:szCs w:val="28"/>
        </w:rPr>
      </w:pPr>
      <w:r>
        <w:rPr>
          <w:rFonts w:cs="Arial"/>
          <w:color w:val="000000" w:themeColor="text1"/>
        </w:rPr>
        <w:br w:type="page"/>
      </w:r>
    </w:p>
    <w:p w14:paraId="575B1940" w14:textId="596E43C1" w:rsidR="002D6F1C" w:rsidRPr="0063577A" w:rsidRDefault="00000000" w:rsidP="00A43FDE">
      <w:pPr>
        <w:pStyle w:val="Heading1"/>
        <w:spacing w:before="200" w:after="100"/>
        <w:rPr>
          <w:rFonts w:ascii="Arial" w:hAnsi="Arial" w:cs="Arial"/>
          <w:color w:val="000000" w:themeColor="text1"/>
        </w:rPr>
      </w:pPr>
      <w:bookmarkStart w:id="1" w:name="_Toc235719376"/>
      <w:r w:rsidRPr="0063577A">
        <w:rPr>
          <w:rFonts w:ascii="Arial" w:eastAsia="Arial" w:hAnsi="Arial" w:cs="Arial"/>
          <w:color w:val="000000" w:themeColor="text1"/>
        </w:rPr>
        <w:lastRenderedPageBreak/>
        <w:t>1. Introduction and case background</w:t>
      </w:r>
      <w:bookmarkEnd w:id="0"/>
      <w:bookmarkEnd w:id="1"/>
    </w:p>
    <w:p w14:paraId="2C2E82C5" w14:textId="77777777" w:rsidR="002359B3" w:rsidRDefault="002359B3">
      <w:pPr>
        <w:spacing w:after="120" w:line="360" w:lineRule="auto"/>
        <w:jc w:val="both"/>
      </w:pPr>
      <w:r w:rsidRPr="002359B3">
        <w:t xml:space="preserve">The chosen case study is Bristol Royal Infirmary Inquiry, which investigated </w:t>
      </w:r>
      <w:proofErr w:type="spellStart"/>
      <w:r w:rsidRPr="002359B3">
        <w:t>paediatric</w:t>
      </w:r>
      <w:proofErr w:type="spellEnd"/>
      <w:r w:rsidRPr="002359B3">
        <w:t xml:space="preserve"> cardiac surgery in Bristol Royal Infirmary in the years between 1984 and 1995. The investigation revealed a grave professional-service failure: poor results, ineffective clinical audit, </w:t>
      </w:r>
      <w:proofErr w:type="spellStart"/>
      <w:r w:rsidRPr="002359B3">
        <w:t>incomparative</w:t>
      </w:r>
      <w:proofErr w:type="spellEnd"/>
      <w:r w:rsidRPr="002359B3">
        <w:t xml:space="preserve"> information, slow professional challenge and ineffective management control and lack of communication with parents (Kennedy, 2001; Department of Health, 2002). In BMJ reports, it was reported that approximately 30 to 35 children were likely to have survived had they been treated elsewhere and that Bristol was averaging two to three times the mortality that other </w:t>
      </w:r>
      <w:proofErr w:type="spellStart"/>
      <w:r w:rsidRPr="002359B3">
        <w:t>paediatric</w:t>
      </w:r>
      <w:proofErr w:type="spellEnd"/>
      <w:r w:rsidRPr="002359B3">
        <w:t xml:space="preserve"> cardiac surgery </w:t>
      </w:r>
      <w:proofErr w:type="spellStart"/>
      <w:r w:rsidRPr="002359B3">
        <w:t>centres</w:t>
      </w:r>
      <w:proofErr w:type="spellEnd"/>
      <w:r w:rsidRPr="002359B3">
        <w:t xml:space="preserve"> (Dyer, 2001; Mayor, 2001). </w:t>
      </w:r>
    </w:p>
    <w:p w14:paraId="55587380" w14:textId="7C60E497" w:rsidR="002359B3" w:rsidRDefault="002359B3">
      <w:pPr>
        <w:spacing w:after="120" w:line="360" w:lineRule="auto"/>
        <w:jc w:val="both"/>
      </w:pPr>
      <w:r w:rsidRPr="002359B3">
        <w:t xml:space="preserve">The case has significance since the failure was not solely the technical surgery performance failure. It was a failure of quality assurance wherein a caution that should have been turned into corrective action was not timely. Specialist authority was taken too readily as a guarantee whereas outcome data, peer review and </w:t>
      </w:r>
      <w:proofErr w:type="spellStart"/>
      <w:r w:rsidRPr="002359B3">
        <w:t>organisational</w:t>
      </w:r>
      <w:proofErr w:type="spellEnd"/>
      <w:r w:rsidRPr="002359B3">
        <w:t xml:space="preserve"> accountability was insufficient to render risk visible/manageable (Keogh et al., 2004; Spiegelhalter et al., 2002). </w:t>
      </w:r>
    </w:p>
    <w:p w14:paraId="0C66C78D" w14:textId="77777777" w:rsidR="002D6F1C" w:rsidRPr="00A43FDE" w:rsidRDefault="00000000" w:rsidP="00A43FDE">
      <w:pPr>
        <w:pStyle w:val="Heading1"/>
        <w:spacing w:before="200" w:after="100"/>
        <w:rPr>
          <w:rFonts w:ascii="Arial" w:hAnsi="Arial" w:cs="Arial"/>
          <w:color w:val="000000" w:themeColor="text1"/>
        </w:rPr>
      </w:pPr>
      <w:bookmarkStart w:id="2" w:name="_Toc235271999"/>
      <w:bookmarkStart w:id="3" w:name="_Toc235719377"/>
      <w:r w:rsidRPr="0063577A">
        <w:rPr>
          <w:rFonts w:ascii="Arial" w:eastAsia="Arial" w:hAnsi="Arial" w:cs="Arial"/>
          <w:color w:val="000000" w:themeColor="text1"/>
        </w:rPr>
        <w:t>2. Quality assurance and service improvement context</w:t>
      </w:r>
      <w:bookmarkEnd w:id="2"/>
      <w:bookmarkEnd w:id="3"/>
    </w:p>
    <w:p w14:paraId="4CEA3674" w14:textId="77777777" w:rsidR="002359B3" w:rsidRDefault="002359B3">
      <w:pPr>
        <w:spacing w:after="120" w:line="360" w:lineRule="auto"/>
        <w:jc w:val="both"/>
      </w:pPr>
      <w:r w:rsidRPr="002359B3">
        <w:t>Quality assurance in health and social care refers to the intended application of standards, monitoring, audit and accountability to appraise whether the care is both safe and effective, person-</w:t>
      </w:r>
      <w:proofErr w:type="spellStart"/>
      <w:r w:rsidRPr="002359B3">
        <w:t>centred</w:t>
      </w:r>
      <w:proofErr w:type="spellEnd"/>
      <w:r w:rsidRPr="002359B3">
        <w:t xml:space="preserve"> and consistently provided. Quality improvement is associated but distinct: it is a test of how services might be reformed in such a way that performance will become better as time goes on. These two functions are like a team as assurance identifies risk and variation whereas improvement converts such knowledge into more secure processes (Donabedian, 1988; Berwick, 2008; Langley et al., 2009).</w:t>
      </w:r>
    </w:p>
    <w:p w14:paraId="07C999D8" w14:textId="77777777" w:rsidR="002359B3" w:rsidRDefault="002359B3">
      <w:pPr>
        <w:spacing w:after="120" w:line="360" w:lineRule="auto"/>
        <w:jc w:val="both"/>
      </w:pPr>
      <w:r w:rsidRPr="002359B3">
        <w:t xml:space="preserve"> This difference is important in the Bristol case as families were not allowed to audit surgical mortality personally, compare </w:t>
      </w:r>
      <w:proofErr w:type="spellStart"/>
      <w:r w:rsidRPr="002359B3">
        <w:t>centres</w:t>
      </w:r>
      <w:proofErr w:type="spellEnd"/>
      <w:r w:rsidRPr="002359B3">
        <w:t xml:space="preserve"> or measure case-selection risk. They depended on the </w:t>
      </w:r>
      <w:proofErr w:type="spellStart"/>
      <w:r w:rsidRPr="002359B3">
        <w:t>organisation</w:t>
      </w:r>
      <w:proofErr w:type="spellEnd"/>
      <w:r w:rsidRPr="002359B3">
        <w:t xml:space="preserve"> to </w:t>
      </w:r>
      <w:proofErr w:type="spellStart"/>
      <w:r w:rsidRPr="002359B3">
        <w:t>visualise</w:t>
      </w:r>
      <w:proofErr w:type="spellEnd"/>
      <w:r w:rsidRPr="002359B3">
        <w:t xml:space="preserve"> the risk and to give truthful information. It also required systems that would identify abnormal variation in order to initiate external review by the managers. Weak assurance was thus both ethically and technically questionable in that it compromised informed consent, social trust and social accountability (Kennedy, 2001; Department of Health, 2002). </w:t>
      </w:r>
    </w:p>
    <w:p w14:paraId="0025ED25" w14:textId="5C1FB089" w:rsidR="002359B3" w:rsidRDefault="002359B3">
      <w:pPr>
        <w:spacing w:after="120" w:line="360" w:lineRule="auto"/>
        <w:jc w:val="both"/>
      </w:pPr>
      <w:r w:rsidRPr="002359B3">
        <w:t xml:space="preserve">The Bristol policy learning experience shifted quality as an implicit professional responsibility to explicit clinical, corporate and regulatory responsibility. NHS </w:t>
      </w:r>
      <w:proofErr w:type="spellStart"/>
      <w:r w:rsidRPr="002359B3">
        <w:t>organisations</w:t>
      </w:r>
      <w:proofErr w:type="spellEnd"/>
      <w:r w:rsidRPr="002359B3">
        <w:t xml:space="preserve"> were held to account by clinical governance and safety care and effective governance by Care Quality Commission (CQC) Regulations 12 and 17 under The Health and Social Care Act 2008 (Regulated Activities) </w:t>
      </w:r>
      <w:r w:rsidRPr="002359B3">
        <w:lastRenderedPageBreak/>
        <w:t>Regulations 2014. The Patient Safety Incident Response Framework (PSIRF) goes further to promote learning systems-based instead of defensive learning post-harm (Scally and Donaldson, 1998; NHS England, 2022; Care Quality Commission, 2025a; Care Quality Commission, 2025b).</w:t>
      </w:r>
    </w:p>
    <w:p w14:paraId="5778D1B5" w14:textId="77777777" w:rsidR="00B44EF9" w:rsidRDefault="00000000">
      <w:pPr>
        <w:pStyle w:val="Heading2"/>
        <w:spacing w:before="160" w:after="80" w:line="240" w:lineRule="auto"/>
      </w:pPr>
      <w:bookmarkStart w:id="4" w:name="_Toc235719378"/>
      <w:r w:rsidRPr="0063577A">
        <w:rPr>
          <w:rFonts w:ascii="Arial" w:eastAsia="Arial" w:hAnsi="Arial"/>
          <w:color w:val="000000" w:themeColor="text1"/>
        </w:rPr>
        <w:t>2.1 Critical policy reform and implementation vulnerability</w:t>
      </w:r>
      <w:bookmarkEnd w:id="4"/>
    </w:p>
    <w:p w14:paraId="120A7AF6" w14:textId="77777777" w:rsidR="002359B3" w:rsidRDefault="002359B3">
      <w:pPr>
        <w:spacing w:after="120" w:line="360" w:lineRule="auto"/>
        <w:jc w:val="both"/>
      </w:pPr>
      <w:r w:rsidRPr="002359B3">
        <w:t xml:space="preserve">The </w:t>
      </w:r>
      <w:proofErr w:type="gramStart"/>
      <w:r w:rsidRPr="002359B3">
        <w:t>Post-Bristol</w:t>
      </w:r>
      <w:proofErr w:type="gramEnd"/>
      <w:r w:rsidRPr="002359B3">
        <w:t xml:space="preserve"> reform altered service delivery to put the specialist care in clear systems of governance, audit, network accountability and patient communication. The congenital heart disease standards that are provided by NHS England lay down the staffing levels of specialists, strong pathways of networks of interconnectedness, audit and communication to patients and the specification of the network in 2023 insists on local accountability among the providers, commissioners and patients (NHS England, 2016; NHS England, 2023a). These reforms facilitate effective teams, comparisons of national outcomes and explicit escalation. </w:t>
      </w:r>
    </w:p>
    <w:p w14:paraId="1282D480" w14:textId="7198E808" w:rsidR="002359B3" w:rsidRDefault="002359B3">
      <w:pPr>
        <w:spacing w:after="120" w:line="360" w:lineRule="auto"/>
        <w:jc w:val="both"/>
      </w:pPr>
      <w:r w:rsidRPr="002359B3">
        <w:t>National policy does not work itself out. NICOR, PSIRF and LFPSE are capable of showing variation and facilitating learning, and its impact requires valid local data, analytical, and capacity, and protected audit time, open challenge, and board follow-through (NHS England, 2022; NHS England, 2023b; NICOR, 2025). Staffing pressure, dashboard overload or tokenistic compliance can leave formal requirements disconnected from action (Dixon-Woods, 2019; Mannion and Davies, 2018). The assurance architecture is therefore a product of national requirements and local capability defines how it protects patients or not. In the absence of adverse variation, leaders need to process data, open up and encourage an independent check before it becomes systemic.</w:t>
      </w:r>
    </w:p>
    <w:p w14:paraId="501C072B" w14:textId="77777777" w:rsidR="002D6F1C" w:rsidRPr="0063577A" w:rsidRDefault="00000000" w:rsidP="00A43FDE">
      <w:pPr>
        <w:pStyle w:val="Heading1"/>
        <w:spacing w:before="200" w:after="100"/>
        <w:rPr>
          <w:rFonts w:ascii="Arial" w:hAnsi="Arial" w:cs="Arial"/>
          <w:color w:val="000000" w:themeColor="text1"/>
        </w:rPr>
      </w:pPr>
      <w:bookmarkStart w:id="5" w:name="_Toc235272000"/>
      <w:bookmarkStart w:id="6" w:name="_Toc235719379"/>
      <w:r w:rsidRPr="0063577A">
        <w:rPr>
          <w:rFonts w:ascii="Arial" w:eastAsia="Arial" w:hAnsi="Arial" w:cs="Arial"/>
          <w:color w:val="000000" w:themeColor="text1"/>
        </w:rPr>
        <w:t>3. Critical Root Cause and Improvement Analysis</w:t>
      </w:r>
      <w:bookmarkEnd w:id="5"/>
      <w:bookmarkEnd w:id="6"/>
    </w:p>
    <w:p w14:paraId="5E4BDA6E" w14:textId="77777777" w:rsidR="002D6F1C" w:rsidRPr="0063577A" w:rsidRDefault="00000000" w:rsidP="00A43FDE">
      <w:pPr>
        <w:pStyle w:val="Heading2"/>
        <w:spacing w:before="160" w:after="80"/>
        <w:rPr>
          <w:rFonts w:ascii="Arial" w:hAnsi="Arial" w:cs="Arial"/>
          <w:color w:val="000000" w:themeColor="text1"/>
          <w:sz w:val="24"/>
          <w:szCs w:val="24"/>
        </w:rPr>
      </w:pPr>
      <w:bookmarkStart w:id="7" w:name="_Toc235272001"/>
      <w:bookmarkStart w:id="8" w:name="_Toc235719380"/>
      <w:r w:rsidRPr="0063577A">
        <w:rPr>
          <w:rFonts w:ascii="Arial" w:eastAsia="Arial" w:hAnsi="Arial" w:cs="Arial"/>
          <w:color w:val="000000" w:themeColor="text1"/>
          <w:szCs w:val="24"/>
        </w:rPr>
        <w:t>3.1 Rich picture and systems reading of the case</w:t>
      </w:r>
      <w:bookmarkEnd w:id="7"/>
      <w:bookmarkEnd w:id="8"/>
    </w:p>
    <w:p w14:paraId="555B9E61" w14:textId="77777777" w:rsidR="002359B3" w:rsidRDefault="002359B3">
      <w:pPr>
        <w:spacing w:after="120" w:line="360" w:lineRule="auto"/>
        <w:jc w:val="both"/>
      </w:pPr>
      <w:r w:rsidRPr="002359B3">
        <w:t>Bristol cannot be explained by a single decision, or policy, which is why a systems reading is required. The model presented by Reason (2000) demonstrates how the unprotected layers are created to create harm when they are all destroyed. Building on Component 1's Swiss Cheese analysis, Figure 1 links weaknesses in monitoring, audit, peer challenge, management oversight and parent information. Those weaknesses are categorized by Donabedian, and causes and escalation are investigated by Fishbone and 5 Whys. Rich picture can initially reveal the weak feedback loops and relationships (</w:t>
      </w:r>
      <w:proofErr w:type="spellStart"/>
      <w:r w:rsidRPr="002359B3">
        <w:t>Checkland</w:t>
      </w:r>
      <w:proofErr w:type="spellEnd"/>
      <w:r w:rsidRPr="002359B3">
        <w:t xml:space="preserve"> and Scholes, 1990; Wiegmann et al., 2022).</w:t>
      </w:r>
    </w:p>
    <w:p w14:paraId="0152F9BB" w14:textId="77777777" w:rsidR="002D6F1C" w:rsidRDefault="00000000">
      <w:pPr>
        <w:spacing w:after="40"/>
        <w:jc w:val="center"/>
      </w:pPr>
      <w:r>
        <w:rPr>
          <w:noProof/>
        </w:rPr>
        <w:lastRenderedPageBreak/>
        <w:drawing>
          <wp:inline distT="0" distB="0" distL="0" distR="0" wp14:anchorId="4E7F68B0" wp14:editId="08E00228">
            <wp:extent cx="5760720" cy="357232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pic:nvPicPr>
                  <pic:blipFill>
                    <a:blip r:embed="rId9"/>
                    <a:stretch>
                      <a:fillRect/>
                    </a:stretch>
                  </pic:blipFill>
                  <pic:spPr>
                    <a:xfrm>
                      <a:off x="0" y="0"/>
                      <a:ext cx="5760720" cy="3572321"/>
                    </a:xfrm>
                    <a:prstGeom prst="rect">
                      <a:avLst/>
                    </a:prstGeom>
                  </pic:spPr>
                </pic:pic>
              </a:graphicData>
            </a:graphic>
          </wp:inline>
        </w:drawing>
      </w:r>
    </w:p>
    <w:p w14:paraId="674336A6" w14:textId="77777777" w:rsidR="00A43FDE" w:rsidRPr="0063577A" w:rsidRDefault="00000000">
      <w:pPr>
        <w:spacing w:after="60" w:line="240" w:lineRule="auto"/>
        <w:jc w:val="center"/>
        <w:rPr>
          <w:iCs/>
          <w:sz w:val="24"/>
          <w:szCs w:val="32"/>
        </w:rPr>
      </w:pPr>
      <w:r w:rsidRPr="0063577A">
        <w:rPr>
          <w:b/>
          <w:szCs w:val="24"/>
        </w:rPr>
        <w:t>Figure 1. Rich picture of the Bristol paediatric cardiac surgery assurance failure</w:t>
      </w:r>
    </w:p>
    <w:p w14:paraId="18947598" w14:textId="77777777" w:rsidR="002D6F1C" w:rsidRPr="0063577A" w:rsidRDefault="00000000">
      <w:pPr>
        <w:spacing w:after="80" w:line="240" w:lineRule="auto"/>
        <w:jc w:val="center"/>
        <w:rPr>
          <w:sz w:val="28"/>
          <w:szCs w:val="28"/>
        </w:rPr>
      </w:pPr>
      <w:r w:rsidRPr="0063577A">
        <w:rPr>
          <w:i/>
          <w:szCs w:val="28"/>
        </w:rPr>
        <w:t>Source: Author-created synthesis using rich-picture principles from Checkland and Scholes (1990), with case interpretation based on Kennedy (2001), Department of Health (2002), Reason (2000), Keogh et al. (2004), Care Quality Commission (2025a; 2025b) and National Institute for Cardiovascular Outcomes Research (NICOR) (2025).</w:t>
      </w:r>
    </w:p>
    <w:p w14:paraId="12700DC1" w14:textId="77777777" w:rsidR="00A43FDE" w:rsidRDefault="00A43FDE">
      <w:pPr>
        <w:spacing w:after="120" w:line="360" w:lineRule="auto"/>
        <w:jc w:val="both"/>
        <w:rPr>
          <w:sz w:val="20"/>
        </w:rPr>
      </w:pPr>
    </w:p>
    <w:p w14:paraId="29035297" w14:textId="77777777" w:rsidR="00895A07" w:rsidRDefault="00895A07">
      <w:pPr>
        <w:spacing w:after="120" w:line="360" w:lineRule="auto"/>
        <w:jc w:val="both"/>
      </w:pPr>
      <w:r w:rsidRPr="00895A07">
        <w:t xml:space="preserve">As seen in Figure 1, the children and families were put at the </w:t>
      </w:r>
      <w:proofErr w:type="spellStart"/>
      <w:r w:rsidRPr="00895A07">
        <w:t>centre</w:t>
      </w:r>
      <w:proofErr w:type="spellEnd"/>
      <w:r w:rsidRPr="00895A07">
        <w:t xml:space="preserve"> since they were the most affected by the weak assurance. Figure 1 indicates that individual aspects of clinical hierarchy, outcome data, board oversight, parent information and external review ought to have strengthened each other, but relationships between them were low. This is the reason that warning signals were not united, but instead they were left apart, to be a unifying motivator of action.</w:t>
      </w:r>
    </w:p>
    <w:p w14:paraId="10AB4549" w14:textId="77777777" w:rsidR="002D6F1C" w:rsidRPr="0063577A" w:rsidRDefault="00000000" w:rsidP="00A43FDE">
      <w:pPr>
        <w:pStyle w:val="Heading2"/>
        <w:spacing w:before="160" w:after="80"/>
        <w:rPr>
          <w:rFonts w:ascii="Arial" w:hAnsi="Arial" w:cs="Arial"/>
          <w:color w:val="000000" w:themeColor="text1"/>
          <w:sz w:val="24"/>
          <w:szCs w:val="24"/>
        </w:rPr>
      </w:pPr>
      <w:bookmarkStart w:id="9" w:name="_Toc235272002"/>
      <w:bookmarkStart w:id="10" w:name="_Toc235719381"/>
      <w:r w:rsidRPr="0063577A">
        <w:rPr>
          <w:rFonts w:ascii="Arial" w:eastAsia="Arial" w:hAnsi="Arial" w:cs="Arial"/>
          <w:color w:val="000000" w:themeColor="text1"/>
          <w:szCs w:val="24"/>
        </w:rPr>
        <w:t>3.2 Donabedian analysis of the case</w:t>
      </w:r>
      <w:bookmarkEnd w:id="9"/>
      <w:bookmarkEnd w:id="10"/>
    </w:p>
    <w:p w14:paraId="7B936971" w14:textId="77777777" w:rsidR="00895A07" w:rsidRDefault="00895A07">
      <w:pPr>
        <w:spacing w:after="120" w:line="360" w:lineRule="auto"/>
        <w:jc w:val="both"/>
      </w:pPr>
      <w:r w:rsidRPr="00895A07">
        <w:t>The Donabedian Model interconnects the conditions of care and processes and outcomes. Structural weaknesses consisted of immature governance, little benchmarking, poor board oversight, lack of audit capacity and poor parent-information systems in Bristol. Such circumstances predetermined the delayed escalation, poor peer challenge and ineffective communication with the family (Donabedian, 1988; Kennedy, 2001; Department of Health, 2002).</w:t>
      </w:r>
    </w:p>
    <w:p w14:paraId="31F10A81" w14:textId="4AD8D5EB" w:rsidR="00895A07" w:rsidRDefault="00895A07">
      <w:pPr>
        <w:spacing w:after="120" w:line="360" w:lineRule="auto"/>
        <w:jc w:val="both"/>
      </w:pPr>
      <w:r w:rsidRPr="00895A07">
        <w:lastRenderedPageBreak/>
        <w:t>Figure 2 demonstrates that ineffective structures generated ineffective monitoring, review and escalation. Mortality indicators, preventable damage, lack of trust and learning how to do it was direct consequences. Policy reform is confined as a broader system impact, rather than a direct care impact.</w:t>
      </w:r>
    </w:p>
    <w:p w14:paraId="48808A25" w14:textId="77777777" w:rsidR="0063577A" w:rsidRDefault="0063577A" w:rsidP="0063577A">
      <w:pPr>
        <w:spacing w:after="40"/>
        <w:rPr>
          <w:noProof/>
        </w:rPr>
      </w:pPr>
    </w:p>
    <w:p w14:paraId="75DEC254" w14:textId="529F68B3" w:rsidR="002D6F1C" w:rsidRDefault="00000000">
      <w:pPr>
        <w:spacing w:after="40"/>
        <w:jc w:val="center"/>
      </w:pPr>
      <w:r>
        <w:rPr>
          <w:noProof/>
        </w:rPr>
        <w:drawing>
          <wp:inline distT="0" distB="0" distL="0" distR="0" wp14:anchorId="14BF6052" wp14:editId="702B927B">
            <wp:extent cx="5759450" cy="2152073"/>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png"/>
                    <pic:cNvPicPr/>
                  </pic:nvPicPr>
                  <pic:blipFill rotWithShape="1">
                    <a:blip r:embed="rId10"/>
                    <a:srcRect b="23253"/>
                    <a:stretch>
                      <a:fillRect/>
                    </a:stretch>
                  </pic:blipFill>
                  <pic:spPr bwMode="auto">
                    <a:xfrm>
                      <a:off x="0" y="0"/>
                      <a:ext cx="5760720" cy="2152548"/>
                    </a:xfrm>
                    <a:prstGeom prst="rect">
                      <a:avLst/>
                    </a:prstGeom>
                    <a:ln>
                      <a:noFill/>
                    </a:ln>
                    <a:extLst>
                      <a:ext uri="{53640926-AAD7-44D8-BBD7-CCE9431645EC}">
                        <a14:shadowObscured xmlns:a14="http://schemas.microsoft.com/office/drawing/2010/main"/>
                      </a:ext>
                    </a:extLst>
                  </pic:spPr>
                </pic:pic>
              </a:graphicData>
            </a:graphic>
          </wp:inline>
        </w:drawing>
      </w:r>
    </w:p>
    <w:p w14:paraId="76B7AE20" w14:textId="77777777" w:rsidR="0063577A" w:rsidRDefault="0063577A">
      <w:pPr>
        <w:spacing w:after="60" w:line="240" w:lineRule="auto"/>
        <w:jc w:val="center"/>
        <w:rPr>
          <w:b/>
          <w:sz w:val="21"/>
        </w:rPr>
      </w:pPr>
    </w:p>
    <w:p w14:paraId="7DD21A28" w14:textId="06409598" w:rsidR="00A43FDE" w:rsidRPr="0063577A" w:rsidRDefault="00000000">
      <w:pPr>
        <w:spacing w:after="60" w:line="240" w:lineRule="auto"/>
        <w:jc w:val="center"/>
        <w:rPr>
          <w:iCs/>
        </w:rPr>
      </w:pPr>
      <w:r w:rsidRPr="0063577A">
        <w:rPr>
          <w:b/>
        </w:rPr>
        <w:t>Figure 2. Donabedian Model applied to the Bristol quality assurance failure.</w:t>
      </w:r>
    </w:p>
    <w:p w14:paraId="0042644D" w14:textId="77777777" w:rsidR="002D6F1C" w:rsidRPr="0063577A" w:rsidRDefault="00000000">
      <w:pPr>
        <w:spacing w:after="80" w:line="240" w:lineRule="auto"/>
        <w:jc w:val="center"/>
      </w:pPr>
      <w:r w:rsidRPr="0063577A">
        <w:rPr>
          <w:i/>
        </w:rPr>
        <w:t>Source: author-created application adapted from Donabedian (1988), Kennedy (2001), Department of Health (2002) and Vincent (2010).</w:t>
      </w:r>
    </w:p>
    <w:p w14:paraId="61483697" w14:textId="77777777" w:rsidR="00895A07" w:rsidRDefault="00895A07">
      <w:pPr>
        <w:spacing w:after="120" w:line="360" w:lineRule="auto"/>
        <w:jc w:val="both"/>
      </w:pPr>
      <w:r w:rsidRPr="00895A07">
        <w:t>The model does not blame individuals but lacks an explanation of hierarchy, culture and power in totality. Fishbone, 5 Whys and change theory thus offer a complementary analysis. Table 1 interrelates Bristol evidence and quality-assurance implications suggested by Donabedian.</w:t>
      </w:r>
    </w:p>
    <w:p w14:paraId="454AC5DF" w14:textId="77777777" w:rsidR="002D6F1C" w:rsidRDefault="00000000" w:rsidP="00895A07">
      <w:pPr>
        <w:spacing w:after="60" w:line="240" w:lineRule="auto"/>
      </w:pPr>
      <w:r>
        <w:rPr>
          <w:b/>
          <w:sz w:val="21"/>
        </w:rPr>
        <w:t>Table 1. Donabedian summary of the Bristol case.</w:t>
      </w:r>
    </w:p>
    <w:tbl>
      <w:tblPr>
        <w:tblStyle w:val="TableGrid"/>
        <w:tblW w:w="0" w:type="auto"/>
        <w:jc w:val="center"/>
        <w:tblLayout w:type="fixed"/>
        <w:tblLook w:val="04A0" w:firstRow="1" w:lastRow="0" w:firstColumn="1" w:lastColumn="0" w:noHBand="0" w:noVBand="1"/>
      </w:tblPr>
      <w:tblGrid>
        <w:gridCol w:w="1152"/>
        <w:gridCol w:w="2736"/>
        <w:gridCol w:w="2952"/>
        <w:gridCol w:w="2232"/>
      </w:tblGrid>
      <w:tr w:rsidR="002D6F1C" w:rsidRPr="00895A07" w14:paraId="5764A83D" w14:textId="77777777">
        <w:trPr>
          <w:tblHeader/>
          <w:jc w:val="center"/>
        </w:trPr>
        <w:tc>
          <w:tcPr>
            <w:tcW w:w="1152" w:type="dxa"/>
            <w:shd w:val="clear" w:color="auto" w:fill="D9EAF7"/>
            <w:tcMar>
              <w:top w:w="70" w:type="dxa"/>
              <w:left w:w="70" w:type="dxa"/>
              <w:bottom w:w="70" w:type="dxa"/>
              <w:right w:w="70" w:type="dxa"/>
            </w:tcMar>
          </w:tcPr>
          <w:p w14:paraId="6095D45A" w14:textId="77777777" w:rsidR="00B44EF9" w:rsidRPr="00895A07" w:rsidRDefault="00000000" w:rsidP="00895A07">
            <w:pPr>
              <w:spacing w:line="360" w:lineRule="auto"/>
              <w:rPr>
                <w:szCs w:val="24"/>
              </w:rPr>
            </w:pPr>
            <w:r w:rsidRPr="00895A07">
              <w:rPr>
                <w:b/>
                <w:szCs w:val="24"/>
              </w:rPr>
              <w:t>Dimension</w:t>
            </w:r>
          </w:p>
        </w:tc>
        <w:tc>
          <w:tcPr>
            <w:tcW w:w="2736" w:type="dxa"/>
            <w:shd w:val="clear" w:color="auto" w:fill="D9EAF7"/>
            <w:tcMar>
              <w:top w:w="70" w:type="dxa"/>
              <w:left w:w="70" w:type="dxa"/>
              <w:bottom w:w="70" w:type="dxa"/>
              <w:right w:w="70" w:type="dxa"/>
            </w:tcMar>
          </w:tcPr>
          <w:p w14:paraId="6F006073" w14:textId="77777777" w:rsidR="00B44EF9" w:rsidRPr="00895A07" w:rsidRDefault="00000000" w:rsidP="00895A07">
            <w:pPr>
              <w:spacing w:line="360" w:lineRule="auto"/>
              <w:rPr>
                <w:szCs w:val="24"/>
              </w:rPr>
            </w:pPr>
            <w:r w:rsidRPr="00895A07">
              <w:rPr>
                <w:b/>
                <w:szCs w:val="24"/>
              </w:rPr>
              <w:t>Bristol evidence</w:t>
            </w:r>
          </w:p>
        </w:tc>
        <w:tc>
          <w:tcPr>
            <w:tcW w:w="2952" w:type="dxa"/>
            <w:shd w:val="clear" w:color="auto" w:fill="D9EAF7"/>
            <w:tcMar>
              <w:top w:w="70" w:type="dxa"/>
              <w:left w:w="70" w:type="dxa"/>
              <w:bottom w:w="70" w:type="dxa"/>
              <w:right w:w="70" w:type="dxa"/>
            </w:tcMar>
          </w:tcPr>
          <w:p w14:paraId="7C812139" w14:textId="77777777" w:rsidR="00B44EF9" w:rsidRPr="00895A07" w:rsidRDefault="00000000" w:rsidP="00895A07">
            <w:pPr>
              <w:spacing w:line="360" w:lineRule="auto"/>
              <w:rPr>
                <w:szCs w:val="24"/>
              </w:rPr>
            </w:pPr>
            <w:r w:rsidRPr="00895A07">
              <w:rPr>
                <w:b/>
                <w:szCs w:val="24"/>
              </w:rPr>
              <w:t>QA implication</w:t>
            </w:r>
          </w:p>
        </w:tc>
        <w:tc>
          <w:tcPr>
            <w:tcW w:w="2232" w:type="dxa"/>
            <w:shd w:val="clear" w:color="auto" w:fill="D9EAF7"/>
            <w:tcMar>
              <w:top w:w="70" w:type="dxa"/>
              <w:left w:w="70" w:type="dxa"/>
              <w:bottom w:w="70" w:type="dxa"/>
              <w:right w:w="70" w:type="dxa"/>
            </w:tcMar>
          </w:tcPr>
          <w:p w14:paraId="00E474E2" w14:textId="77777777" w:rsidR="00B44EF9" w:rsidRPr="00895A07" w:rsidRDefault="00000000" w:rsidP="00895A07">
            <w:pPr>
              <w:spacing w:line="360" w:lineRule="auto"/>
              <w:rPr>
                <w:szCs w:val="24"/>
              </w:rPr>
            </w:pPr>
            <w:r w:rsidRPr="00895A07">
              <w:rPr>
                <w:b/>
                <w:szCs w:val="24"/>
              </w:rPr>
              <w:t>Sources</w:t>
            </w:r>
          </w:p>
        </w:tc>
      </w:tr>
      <w:tr w:rsidR="002D6F1C" w:rsidRPr="00895A07" w14:paraId="5B0D0891" w14:textId="77777777">
        <w:trPr>
          <w:jc w:val="center"/>
        </w:trPr>
        <w:tc>
          <w:tcPr>
            <w:tcW w:w="1152" w:type="dxa"/>
            <w:tcMar>
              <w:top w:w="70" w:type="dxa"/>
              <w:left w:w="70" w:type="dxa"/>
              <w:bottom w:w="70" w:type="dxa"/>
              <w:right w:w="70" w:type="dxa"/>
            </w:tcMar>
          </w:tcPr>
          <w:p w14:paraId="4B971775" w14:textId="77777777" w:rsidR="00B44EF9" w:rsidRPr="00895A07" w:rsidRDefault="00000000" w:rsidP="00895A07">
            <w:pPr>
              <w:spacing w:line="360" w:lineRule="auto"/>
              <w:rPr>
                <w:szCs w:val="24"/>
              </w:rPr>
            </w:pPr>
            <w:r w:rsidRPr="00895A07">
              <w:rPr>
                <w:szCs w:val="24"/>
              </w:rPr>
              <w:t>Structure</w:t>
            </w:r>
          </w:p>
        </w:tc>
        <w:tc>
          <w:tcPr>
            <w:tcW w:w="2736" w:type="dxa"/>
            <w:tcMar>
              <w:top w:w="70" w:type="dxa"/>
              <w:left w:w="70" w:type="dxa"/>
              <w:bottom w:w="70" w:type="dxa"/>
              <w:right w:w="70" w:type="dxa"/>
            </w:tcMar>
          </w:tcPr>
          <w:p w14:paraId="7E6BCD00" w14:textId="77777777" w:rsidR="00B44EF9" w:rsidRPr="00895A07" w:rsidRDefault="00000000" w:rsidP="00895A07">
            <w:pPr>
              <w:spacing w:line="360" w:lineRule="auto"/>
              <w:rPr>
                <w:szCs w:val="24"/>
              </w:rPr>
            </w:pPr>
            <w:r w:rsidRPr="00895A07">
              <w:rPr>
                <w:szCs w:val="24"/>
              </w:rPr>
              <w:t>Weak governance, comparative audit, board oversight and parent-information systems.</w:t>
            </w:r>
          </w:p>
        </w:tc>
        <w:tc>
          <w:tcPr>
            <w:tcW w:w="2952" w:type="dxa"/>
            <w:tcMar>
              <w:top w:w="70" w:type="dxa"/>
              <w:left w:w="70" w:type="dxa"/>
              <w:bottom w:w="70" w:type="dxa"/>
              <w:right w:w="70" w:type="dxa"/>
            </w:tcMar>
          </w:tcPr>
          <w:p w14:paraId="08A46F9D" w14:textId="77777777" w:rsidR="00B44EF9" w:rsidRPr="00895A07" w:rsidRDefault="00000000" w:rsidP="00895A07">
            <w:pPr>
              <w:spacing w:line="360" w:lineRule="auto"/>
              <w:rPr>
                <w:szCs w:val="24"/>
              </w:rPr>
            </w:pPr>
            <w:r w:rsidRPr="00895A07">
              <w:rPr>
                <w:szCs w:val="24"/>
              </w:rPr>
              <w:t>Insufficient infrastructure to detect and act on abnormal performance.</w:t>
            </w:r>
          </w:p>
        </w:tc>
        <w:tc>
          <w:tcPr>
            <w:tcW w:w="2232" w:type="dxa"/>
            <w:tcMar>
              <w:top w:w="70" w:type="dxa"/>
              <w:left w:w="70" w:type="dxa"/>
              <w:bottom w:w="70" w:type="dxa"/>
              <w:right w:w="70" w:type="dxa"/>
            </w:tcMar>
          </w:tcPr>
          <w:p w14:paraId="275AA231" w14:textId="77777777" w:rsidR="00B44EF9" w:rsidRPr="00895A07" w:rsidRDefault="00000000" w:rsidP="00895A07">
            <w:pPr>
              <w:spacing w:line="360" w:lineRule="auto"/>
              <w:rPr>
                <w:szCs w:val="24"/>
              </w:rPr>
            </w:pPr>
            <w:r w:rsidRPr="00895A07">
              <w:rPr>
                <w:szCs w:val="24"/>
              </w:rPr>
              <w:t>Kennedy (2001); Department of Health (2002); Keogh et al. (2004)</w:t>
            </w:r>
          </w:p>
        </w:tc>
      </w:tr>
      <w:tr w:rsidR="002D6F1C" w:rsidRPr="00895A07" w14:paraId="321374AB" w14:textId="77777777">
        <w:trPr>
          <w:jc w:val="center"/>
        </w:trPr>
        <w:tc>
          <w:tcPr>
            <w:tcW w:w="1152" w:type="dxa"/>
            <w:shd w:val="clear" w:color="auto" w:fill="F7FAFC"/>
            <w:tcMar>
              <w:top w:w="70" w:type="dxa"/>
              <w:left w:w="70" w:type="dxa"/>
              <w:bottom w:w="70" w:type="dxa"/>
              <w:right w:w="70" w:type="dxa"/>
            </w:tcMar>
          </w:tcPr>
          <w:p w14:paraId="1E0E898E" w14:textId="77777777" w:rsidR="00B44EF9" w:rsidRPr="00895A07" w:rsidRDefault="00000000" w:rsidP="00895A07">
            <w:pPr>
              <w:spacing w:line="360" w:lineRule="auto"/>
              <w:rPr>
                <w:szCs w:val="24"/>
              </w:rPr>
            </w:pPr>
            <w:r w:rsidRPr="00895A07">
              <w:rPr>
                <w:szCs w:val="24"/>
              </w:rPr>
              <w:t>Process</w:t>
            </w:r>
          </w:p>
        </w:tc>
        <w:tc>
          <w:tcPr>
            <w:tcW w:w="2736" w:type="dxa"/>
            <w:shd w:val="clear" w:color="auto" w:fill="F7FAFC"/>
            <w:tcMar>
              <w:top w:w="70" w:type="dxa"/>
              <w:left w:w="70" w:type="dxa"/>
              <w:bottom w:w="70" w:type="dxa"/>
              <w:right w:w="70" w:type="dxa"/>
            </w:tcMar>
          </w:tcPr>
          <w:p w14:paraId="2EBFCF20" w14:textId="77777777" w:rsidR="00B44EF9" w:rsidRPr="00895A07" w:rsidRDefault="00000000" w:rsidP="00895A07">
            <w:pPr>
              <w:spacing w:line="360" w:lineRule="auto"/>
              <w:rPr>
                <w:szCs w:val="24"/>
              </w:rPr>
            </w:pPr>
            <w:r w:rsidRPr="00895A07">
              <w:rPr>
                <w:szCs w:val="24"/>
              </w:rPr>
              <w:t>Slow escalation, weak peer challenge, limited benchmarking and unclear external-review triggers.</w:t>
            </w:r>
          </w:p>
        </w:tc>
        <w:tc>
          <w:tcPr>
            <w:tcW w:w="2952" w:type="dxa"/>
            <w:shd w:val="clear" w:color="auto" w:fill="F7FAFC"/>
            <w:tcMar>
              <w:top w:w="70" w:type="dxa"/>
              <w:left w:w="70" w:type="dxa"/>
              <w:bottom w:w="70" w:type="dxa"/>
              <w:right w:w="70" w:type="dxa"/>
            </w:tcMar>
          </w:tcPr>
          <w:p w14:paraId="0F79BD7E" w14:textId="77777777" w:rsidR="00B44EF9" w:rsidRPr="00895A07" w:rsidRDefault="00000000" w:rsidP="00895A07">
            <w:pPr>
              <w:spacing w:line="360" w:lineRule="auto"/>
              <w:rPr>
                <w:szCs w:val="24"/>
              </w:rPr>
            </w:pPr>
            <w:r w:rsidRPr="00895A07">
              <w:rPr>
                <w:szCs w:val="24"/>
              </w:rPr>
              <w:t>Warnings did not become timely action.</w:t>
            </w:r>
          </w:p>
        </w:tc>
        <w:tc>
          <w:tcPr>
            <w:tcW w:w="2232" w:type="dxa"/>
            <w:shd w:val="clear" w:color="auto" w:fill="F7FAFC"/>
            <w:tcMar>
              <w:top w:w="70" w:type="dxa"/>
              <w:left w:w="70" w:type="dxa"/>
              <w:bottom w:w="70" w:type="dxa"/>
              <w:right w:w="70" w:type="dxa"/>
            </w:tcMar>
          </w:tcPr>
          <w:p w14:paraId="4C674D76" w14:textId="77777777" w:rsidR="00B44EF9" w:rsidRPr="00895A07" w:rsidRDefault="00000000" w:rsidP="00895A07">
            <w:pPr>
              <w:spacing w:line="360" w:lineRule="auto"/>
              <w:rPr>
                <w:szCs w:val="24"/>
              </w:rPr>
            </w:pPr>
            <w:r w:rsidRPr="00895A07">
              <w:rPr>
                <w:szCs w:val="24"/>
              </w:rPr>
              <w:t>Dyer (2001); Spiegelhalter et al. (2002); Reason (2000)</w:t>
            </w:r>
          </w:p>
        </w:tc>
      </w:tr>
      <w:tr w:rsidR="002D6F1C" w:rsidRPr="00895A07" w14:paraId="75307BD9" w14:textId="77777777">
        <w:trPr>
          <w:jc w:val="center"/>
        </w:trPr>
        <w:tc>
          <w:tcPr>
            <w:tcW w:w="1152" w:type="dxa"/>
            <w:tcMar>
              <w:top w:w="70" w:type="dxa"/>
              <w:left w:w="70" w:type="dxa"/>
              <w:bottom w:w="70" w:type="dxa"/>
              <w:right w:w="70" w:type="dxa"/>
            </w:tcMar>
          </w:tcPr>
          <w:p w14:paraId="2F6FA4EE" w14:textId="77777777" w:rsidR="00B44EF9" w:rsidRPr="00895A07" w:rsidRDefault="00000000" w:rsidP="00895A07">
            <w:pPr>
              <w:spacing w:line="360" w:lineRule="auto"/>
              <w:rPr>
                <w:szCs w:val="24"/>
              </w:rPr>
            </w:pPr>
            <w:r w:rsidRPr="00895A07">
              <w:rPr>
                <w:szCs w:val="24"/>
              </w:rPr>
              <w:lastRenderedPageBreak/>
              <w:t>Outcome</w:t>
            </w:r>
          </w:p>
        </w:tc>
        <w:tc>
          <w:tcPr>
            <w:tcW w:w="2736" w:type="dxa"/>
            <w:tcMar>
              <w:top w:w="70" w:type="dxa"/>
              <w:left w:w="70" w:type="dxa"/>
              <w:bottom w:w="70" w:type="dxa"/>
              <w:right w:w="70" w:type="dxa"/>
            </w:tcMar>
            <w:vAlign w:val="center"/>
          </w:tcPr>
          <w:p w14:paraId="69170C02" w14:textId="77777777" w:rsidR="00B44EF9" w:rsidRPr="00895A07" w:rsidRDefault="00000000" w:rsidP="00895A07">
            <w:pPr>
              <w:spacing w:line="360" w:lineRule="auto"/>
              <w:rPr>
                <w:szCs w:val="24"/>
              </w:rPr>
            </w:pPr>
            <w:r w:rsidRPr="00895A07">
              <w:rPr>
                <w:szCs w:val="24"/>
              </w:rPr>
              <w:t>Mortality signals, avoidable deaths, lost trust and delayed learning.</w:t>
            </w:r>
          </w:p>
        </w:tc>
        <w:tc>
          <w:tcPr>
            <w:tcW w:w="2952" w:type="dxa"/>
            <w:tcMar>
              <w:top w:w="70" w:type="dxa"/>
              <w:left w:w="70" w:type="dxa"/>
              <w:bottom w:w="70" w:type="dxa"/>
              <w:right w:w="70" w:type="dxa"/>
            </w:tcMar>
            <w:vAlign w:val="center"/>
          </w:tcPr>
          <w:p w14:paraId="3434A8DB" w14:textId="77777777" w:rsidR="00B44EF9" w:rsidRPr="00895A07" w:rsidRDefault="00000000" w:rsidP="00895A07">
            <w:pPr>
              <w:spacing w:line="360" w:lineRule="auto"/>
              <w:rPr>
                <w:szCs w:val="24"/>
              </w:rPr>
            </w:pPr>
            <w:r w:rsidRPr="00895A07">
              <w:rPr>
                <w:szCs w:val="24"/>
              </w:rPr>
              <w:t>Clinical and organisational assurance failed; national reform followed.</w:t>
            </w:r>
          </w:p>
        </w:tc>
        <w:tc>
          <w:tcPr>
            <w:tcW w:w="2232" w:type="dxa"/>
            <w:tcMar>
              <w:top w:w="70" w:type="dxa"/>
              <w:left w:w="70" w:type="dxa"/>
              <w:bottom w:w="70" w:type="dxa"/>
              <w:right w:w="70" w:type="dxa"/>
            </w:tcMar>
            <w:vAlign w:val="center"/>
          </w:tcPr>
          <w:p w14:paraId="633EA443" w14:textId="77777777" w:rsidR="00B44EF9" w:rsidRPr="00895A07" w:rsidRDefault="00000000" w:rsidP="00895A07">
            <w:pPr>
              <w:spacing w:line="360" w:lineRule="auto"/>
              <w:rPr>
                <w:szCs w:val="24"/>
              </w:rPr>
            </w:pPr>
            <w:r w:rsidRPr="00895A07">
              <w:rPr>
                <w:szCs w:val="24"/>
              </w:rPr>
              <w:t>Dyer (2001); Mayor (2001); Kennedy (2001); Department of Health (2002)</w:t>
            </w:r>
          </w:p>
        </w:tc>
      </w:tr>
    </w:tbl>
    <w:p w14:paraId="600C280B" w14:textId="77777777" w:rsidR="002D6F1C" w:rsidRPr="0063577A" w:rsidRDefault="00000000">
      <w:pPr>
        <w:spacing w:after="80" w:line="240" w:lineRule="auto"/>
        <w:jc w:val="center"/>
      </w:pPr>
      <w:r w:rsidRPr="0063577A">
        <w:rPr>
          <w:i/>
        </w:rPr>
        <w:t>Source: author synthesis based on Donabedian (1988), Kennedy (2001), Department of Health (2002), Dyer (2001), Mayor (2001), Spiegelhalter et al. (2002) and Keogh et al. (2004).</w:t>
      </w:r>
    </w:p>
    <w:p w14:paraId="17D0E291" w14:textId="77777777" w:rsidR="0063577A" w:rsidRDefault="0063577A">
      <w:pPr>
        <w:spacing w:after="120" w:line="360" w:lineRule="auto"/>
        <w:jc w:val="both"/>
      </w:pPr>
    </w:p>
    <w:p w14:paraId="4D6923B5" w14:textId="20DEA0F0" w:rsidR="002D6F1C" w:rsidRPr="0063577A" w:rsidRDefault="00000000">
      <w:pPr>
        <w:spacing w:after="120" w:line="360" w:lineRule="auto"/>
        <w:jc w:val="both"/>
      </w:pPr>
      <w:r w:rsidRPr="0063577A">
        <w:t>Table 1 confirms that clinical skill alone cannot substitute for reliable structures and processes.</w:t>
      </w:r>
    </w:p>
    <w:p w14:paraId="558BBE4E" w14:textId="77777777" w:rsidR="002D6F1C" w:rsidRPr="0063577A" w:rsidRDefault="00000000" w:rsidP="00A43FDE">
      <w:pPr>
        <w:pStyle w:val="Heading2"/>
        <w:spacing w:before="160" w:after="80"/>
        <w:rPr>
          <w:rFonts w:ascii="Arial" w:hAnsi="Arial" w:cs="Arial"/>
          <w:color w:val="000000" w:themeColor="text1"/>
          <w:sz w:val="24"/>
          <w:szCs w:val="24"/>
        </w:rPr>
      </w:pPr>
      <w:bookmarkStart w:id="11" w:name="_Toc235272003"/>
      <w:bookmarkStart w:id="12" w:name="_Toc235719382"/>
      <w:r w:rsidRPr="0063577A">
        <w:rPr>
          <w:rFonts w:ascii="Arial" w:eastAsia="Arial" w:hAnsi="Arial" w:cs="Arial"/>
          <w:color w:val="000000" w:themeColor="text1"/>
          <w:szCs w:val="24"/>
        </w:rPr>
        <w:t>3.3 Fishbone Diagram and 5 Whys Root Cause Analysis</w:t>
      </w:r>
      <w:bookmarkEnd w:id="11"/>
      <w:bookmarkEnd w:id="12"/>
    </w:p>
    <w:p w14:paraId="379E6B2D" w14:textId="77777777" w:rsidR="00895A07" w:rsidRDefault="00895A07">
      <w:pPr>
        <w:spacing w:after="120" w:line="360" w:lineRule="auto"/>
        <w:jc w:val="both"/>
      </w:pPr>
      <w:r w:rsidRPr="00895A07">
        <w:t>The Fishbone Diagram does not follow a single explanation by grouping interacting contributory causes (Ishikawa, 1986). Its branches are grounded in Bristol evidence: inhibited challenge, weak audit triggers, limited comparative data, poor board accountability, defensive culture, inadequate family information and immature national governance (Kennedy, 2001; Dyer, 2001; Department of Health, 2002; Keogh et al., 2004).</w:t>
      </w:r>
    </w:p>
    <w:p w14:paraId="2FA01E36" w14:textId="77777777" w:rsidR="002D6F1C" w:rsidRDefault="00000000">
      <w:pPr>
        <w:spacing w:after="40"/>
        <w:jc w:val="center"/>
      </w:pPr>
      <w:r>
        <w:rPr>
          <w:noProof/>
        </w:rPr>
        <w:drawing>
          <wp:inline distT="0" distB="0" distL="0" distR="0" wp14:anchorId="5F734D80" wp14:editId="65710801">
            <wp:extent cx="5760720" cy="331353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png"/>
                    <pic:cNvPicPr/>
                  </pic:nvPicPr>
                  <pic:blipFill>
                    <a:blip r:embed="rId11"/>
                    <a:stretch>
                      <a:fillRect/>
                    </a:stretch>
                  </pic:blipFill>
                  <pic:spPr>
                    <a:xfrm>
                      <a:off x="0" y="0"/>
                      <a:ext cx="5760720" cy="3313539"/>
                    </a:xfrm>
                    <a:prstGeom prst="rect">
                      <a:avLst/>
                    </a:prstGeom>
                  </pic:spPr>
                </pic:pic>
              </a:graphicData>
            </a:graphic>
          </wp:inline>
        </w:drawing>
      </w:r>
    </w:p>
    <w:p w14:paraId="2CB3C3AD" w14:textId="77777777" w:rsidR="00A43FDE" w:rsidRPr="0063577A" w:rsidRDefault="00000000">
      <w:pPr>
        <w:spacing w:after="60" w:line="240" w:lineRule="auto"/>
        <w:jc w:val="center"/>
        <w:rPr>
          <w:iCs/>
        </w:rPr>
      </w:pPr>
      <w:r w:rsidRPr="0063577A">
        <w:rPr>
          <w:b/>
        </w:rPr>
        <w:t>Figure 3. Fishbone Diagram showing root causes of unsafe outcomes and delayed corrective action.</w:t>
      </w:r>
    </w:p>
    <w:p w14:paraId="07669752" w14:textId="77777777" w:rsidR="002D6F1C" w:rsidRPr="0063577A" w:rsidRDefault="00000000">
      <w:pPr>
        <w:spacing w:after="80" w:line="240" w:lineRule="auto"/>
        <w:jc w:val="center"/>
      </w:pPr>
      <w:r w:rsidRPr="0063577A">
        <w:rPr>
          <w:i/>
        </w:rPr>
        <w:lastRenderedPageBreak/>
        <w:t>Source: author-created diagram adapted from Ishikawa (1986), Kennedy (2001), Dyer (2001), Reason (2000) and Department of Health (2002).</w:t>
      </w:r>
    </w:p>
    <w:p w14:paraId="2FBB8A36" w14:textId="77777777" w:rsidR="00895A07" w:rsidRDefault="00895A07">
      <w:pPr>
        <w:spacing w:after="120" w:line="360" w:lineRule="auto"/>
        <w:jc w:val="both"/>
      </w:pPr>
      <w:r w:rsidRPr="00895A07">
        <w:t>Figure 3 demonstrates why only training would be too limited. The lack of data visibility, peer challenge, governance and family communication all also undermined audit failure into a threat. The 5 Whys is concerned with the reasons that the abnormal outcome signals failed to result in prompt action. Chain of weak escalation authority to underdeveloped governance, dependence on specialist authority and underdeveloped comparative audit moves onward (Kennedy, 2001; Dyer, 2001; Department of Health, 2002; Spiegelhalter et al., 2002). The information-parent failure is still a parallel causative factor of Fishbone. Since 5 Whys may idealize healthcare systems, it makes the growth logic clear instead of stating a single comprehensive linear reason (Card, 2017).</w:t>
      </w:r>
    </w:p>
    <w:p w14:paraId="4F255905" w14:textId="737037DD" w:rsidR="002D6F1C" w:rsidRPr="00895A07" w:rsidRDefault="00000000" w:rsidP="00895A07">
      <w:pPr>
        <w:rPr>
          <w:sz w:val="24"/>
          <w:szCs w:val="24"/>
        </w:rPr>
      </w:pPr>
      <w:r w:rsidRPr="00895A07">
        <w:rPr>
          <w:b/>
          <w:szCs w:val="24"/>
        </w:rPr>
        <w:t>Table 2. 5 Whys analysis of delayed action at Bristol.</w:t>
      </w:r>
    </w:p>
    <w:tbl>
      <w:tblPr>
        <w:tblStyle w:val="TableGrid"/>
        <w:tblW w:w="0" w:type="auto"/>
        <w:jc w:val="center"/>
        <w:tblLayout w:type="fixed"/>
        <w:tblLook w:val="04A0" w:firstRow="1" w:lastRow="0" w:firstColumn="1" w:lastColumn="0" w:noHBand="0" w:noVBand="1"/>
      </w:tblPr>
      <w:tblGrid>
        <w:gridCol w:w="3024"/>
        <w:gridCol w:w="6048"/>
      </w:tblGrid>
      <w:tr w:rsidR="002D6F1C" w:rsidRPr="00895A07" w14:paraId="3BD00261" w14:textId="77777777">
        <w:trPr>
          <w:tblHeader/>
          <w:jc w:val="center"/>
        </w:trPr>
        <w:tc>
          <w:tcPr>
            <w:tcW w:w="3024" w:type="dxa"/>
            <w:shd w:val="clear" w:color="auto" w:fill="D9EAF7"/>
            <w:tcMar>
              <w:top w:w="70" w:type="dxa"/>
              <w:left w:w="70" w:type="dxa"/>
              <w:bottom w:w="70" w:type="dxa"/>
              <w:right w:w="70" w:type="dxa"/>
            </w:tcMar>
            <w:vAlign w:val="center"/>
          </w:tcPr>
          <w:p w14:paraId="66D4F9E5" w14:textId="77777777" w:rsidR="00B44EF9" w:rsidRPr="00895A07" w:rsidRDefault="00000000" w:rsidP="00895A07">
            <w:pPr>
              <w:spacing w:line="360" w:lineRule="auto"/>
              <w:rPr>
                <w:szCs w:val="24"/>
              </w:rPr>
            </w:pPr>
            <w:r w:rsidRPr="00895A07">
              <w:rPr>
                <w:b/>
                <w:szCs w:val="24"/>
              </w:rPr>
              <w:t>Question</w:t>
            </w:r>
          </w:p>
        </w:tc>
        <w:tc>
          <w:tcPr>
            <w:tcW w:w="6048" w:type="dxa"/>
            <w:shd w:val="clear" w:color="auto" w:fill="D9EAF7"/>
            <w:tcMar>
              <w:top w:w="70" w:type="dxa"/>
              <w:left w:w="70" w:type="dxa"/>
              <w:bottom w:w="70" w:type="dxa"/>
              <w:right w:w="70" w:type="dxa"/>
            </w:tcMar>
            <w:vAlign w:val="center"/>
          </w:tcPr>
          <w:p w14:paraId="1383A14F" w14:textId="77777777" w:rsidR="00B44EF9" w:rsidRPr="00895A07" w:rsidRDefault="00000000" w:rsidP="00895A07">
            <w:pPr>
              <w:spacing w:line="360" w:lineRule="auto"/>
              <w:rPr>
                <w:szCs w:val="24"/>
              </w:rPr>
            </w:pPr>
            <w:r w:rsidRPr="00895A07">
              <w:rPr>
                <w:b/>
                <w:szCs w:val="24"/>
              </w:rPr>
              <w:t>Sequential answer</w:t>
            </w:r>
          </w:p>
        </w:tc>
      </w:tr>
      <w:tr w:rsidR="002D6F1C" w:rsidRPr="00895A07" w14:paraId="39DB7A81" w14:textId="77777777">
        <w:trPr>
          <w:jc w:val="center"/>
        </w:trPr>
        <w:tc>
          <w:tcPr>
            <w:tcW w:w="3024" w:type="dxa"/>
            <w:tcMar>
              <w:top w:w="70" w:type="dxa"/>
              <w:left w:w="70" w:type="dxa"/>
              <w:bottom w:w="70" w:type="dxa"/>
              <w:right w:w="70" w:type="dxa"/>
            </w:tcMar>
            <w:vAlign w:val="center"/>
          </w:tcPr>
          <w:p w14:paraId="35F8234C" w14:textId="77777777" w:rsidR="00B44EF9" w:rsidRPr="00895A07" w:rsidRDefault="00000000" w:rsidP="00895A07">
            <w:pPr>
              <w:spacing w:line="360" w:lineRule="auto"/>
              <w:rPr>
                <w:szCs w:val="24"/>
              </w:rPr>
            </w:pPr>
            <w:r w:rsidRPr="00895A07">
              <w:rPr>
                <w:szCs w:val="24"/>
              </w:rPr>
              <w:t>1. Why did abnormal outcomes continue?</w:t>
            </w:r>
          </w:p>
        </w:tc>
        <w:tc>
          <w:tcPr>
            <w:tcW w:w="6048" w:type="dxa"/>
            <w:tcMar>
              <w:top w:w="70" w:type="dxa"/>
              <w:left w:w="70" w:type="dxa"/>
              <w:bottom w:w="70" w:type="dxa"/>
              <w:right w:w="70" w:type="dxa"/>
            </w:tcMar>
            <w:vAlign w:val="center"/>
          </w:tcPr>
          <w:p w14:paraId="0B6EEF35" w14:textId="77777777" w:rsidR="00B44EF9" w:rsidRPr="00895A07" w:rsidRDefault="00000000" w:rsidP="00895A07">
            <w:pPr>
              <w:spacing w:line="360" w:lineRule="auto"/>
              <w:rPr>
                <w:szCs w:val="24"/>
              </w:rPr>
            </w:pPr>
            <w:r w:rsidRPr="00895A07">
              <w:rPr>
                <w:szCs w:val="24"/>
              </w:rPr>
              <w:t>Warning signs did not become timely corrective action.</w:t>
            </w:r>
          </w:p>
        </w:tc>
      </w:tr>
      <w:tr w:rsidR="002D6F1C" w:rsidRPr="00895A07" w14:paraId="5A2941C1" w14:textId="77777777">
        <w:trPr>
          <w:jc w:val="center"/>
        </w:trPr>
        <w:tc>
          <w:tcPr>
            <w:tcW w:w="3024" w:type="dxa"/>
            <w:shd w:val="clear" w:color="auto" w:fill="F7FAFC"/>
            <w:tcMar>
              <w:top w:w="70" w:type="dxa"/>
              <w:left w:w="70" w:type="dxa"/>
              <w:bottom w:w="70" w:type="dxa"/>
              <w:right w:w="70" w:type="dxa"/>
            </w:tcMar>
            <w:vAlign w:val="center"/>
          </w:tcPr>
          <w:p w14:paraId="33F76DD2" w14:textId="77777777" w:rsidR="00B44EF9" w:rsidRPr="00895A07" w:rsidRDefault="00000000" w:rsidP="00895A07">
            <w:pPr>
              <w:spacing w:line="360" w:lineRule="auto"/>
              <w:rPr>
                <w:szCs w:val="24"/>
              </w:rPr>
            </w:pPr>
            <w:r w:rsidRPr="00895A07">
              <w:rPr>
                <w:szCs w:val="24"/>
              </w:rPr>
              <w:t>2. Why not?</w:t>
            </w:r>
          </w:p>
        </w:tc>
        <w:tc>
          <w:tcPr>
            <w:tcW w:w="6048" w:type="dxa"/>
            <w:shd w:val="clear" w:color="auto" w:fill="F7FAFC"/>
            <w:tcMar>
              <w:top w:w="70" w:type="dxa"/>
              <w:left w:w="70" w:type="dxa"/>
              <w:bottom w:w="70" w:type="dxa"/>
              <w:right w:w="70" w:type="dxa"/>
            </w:tcMar>
            <w:vAlign w:val="center"/>
          </w:tcPr>
          <w:p w14:paraId="363CEBA7" w14:textId="77777777" w:rsidR="00B44EF9" w:rsidRPr="00895A07" w:rsidRDefault="00000000" w:rsidP="00895A07">
            <w:pPr>
              <w:spacing w:line="360" w:lineRule="auto"/>
              <w:rPr>
                <w:szCs w:val="24"/>
              </w:rPr>
            </w:pPr>
            <w:r w:rsidRPr="00895A07">
              <w:rPr>
                <w:szCs w:val="24"/>
              </w:rPr>
              <w:t>Audit findings and concerns did not trigger mandatory escalation or independent review.</w:t>
            </w:r>
          </w:p>
        </w:tc>
      </w:tr>
      <w:tr w:rsidR="002D6F1C" w:rsidRPr="00895A07" w14:paraId="25B06F4D" w14:textId="77777777">
        <w:trPr>
          <w:jc w:val="center"/>
        </w:trPr>
        <w:tc>
          <w:tcPr>
            <w:tcW w:w="3024" w:type="dxa"/>
            <w:tcMar>
              <w:top w:w="70" w:type="dxa"/>
              <w:left w:w="70" w:type="dxa"/>
              <w:bottom w:w="70" w:type="dxa"/>
              <w:right w:w="70" w:type="dxa"/>
            </w:tcMar>
            <w:vAlign w:val="center"/>
          </w:tcPr>
          <w:p w14:paraId="7BCC6C04" w14:textId="77777777" w:rsidR="00B44EF9" w:rsidRPr="00895A07" w:rsidRDefault="00000000" w:rsidP="00895A07">
            <w:pPr>
              <w:spacing w:line="360" w:lineRule="auto"/>
              <w:rPr>
                <w:szCs w:val="24"/>
              </w:rPr>
            </w:pPr>
            <w:r w:rsidRPr="00895A07">
              <w:rPr>
                <w:szCs w:val="24"/>
              </w:rPr>
              <w:t>3. Why were triggers weak?</w:t>
            </w:r>
          </w:p>
        </w:tc>
        <w:tc>
          <w:tcPr>
            <w:tcW w:w="6048" w:type="dxa"/>
            <w:tcMar>
              <w:top w:w="70" w:type="dxa"/>
              <w:left w:w="70" w:type="dxa"/>
              <w:bottom w:w="70" w:type="dxa"/>
              <w:right w:w="70" w:type="dxa"/>
            </w:tcMar>
            <w:vAlign w:val="center"/>
          </w:tcPr>
          <w:p w14:paraId="6C58CCA9" w14:textId="77777777" w:rsidR="00B44EF9" w:rsidRPr="00895A07" w:rsidRDefault="00000000" w:rsidP="00895A07">
            <w:pPr>
              <w:spacing w:line="360" w:lineRule="auto"/>
              <w:rPr>
                <w:szCs w:val="24"/>
              </w:rPr>
            </w:pPr>
            <w:r w:rsidRPr="00895A07">
              <w:rPr>
                <w:szCs w:val="24"/>
              </w:rPr>
              <w:t>Board, audit and peer-review duties were underdeveloped and disconnected.</w:t>
            </w:r>
          </w:p>
        </w:tc>
      </w:tr>
      <w:tr w:rsidR="002D6F1C" w:rsidRPr="00895A07" w14:paraId="71FF1AD1" w14:textId="77777777">
        <w:trPr>
          <w:jc w:val="center"/>
        </w:trPr>
        <w:tc>
          <w:tcPr>
            <w:tcW w:w="3024" w:type="dxa"/>
            <w:shd w:val="clear" w:color="auto" w:fill="F7FAFC"/>
            <w:tcMar>
              <w:top w:w="70" w:type="dxa"/>
              <w:left w:w="70" w:type="dxa"/>
              <w:bottom w:w="70" w:type="dxa"/>
              <w:right w:w="70" w:type="dxa"/>
            </w:tcMar>
            <w:vAlign w:val="center"/>
          </w:tcPr>
          <w:p w14:paraId="7CAA92D8" w14:textId="77777777" w:rsidR="00B44EF9" w:rsidRPr="00895A07" w:rsidRDefault="00000000" w:rsidP="00895A07">
            <w:pPr>
              <w:spacing w:line="360" w:lineRule="auto"/>
              <w:rPr>
                <w:szCs w:val="24"/>
              </w:rPr>
            </w:pPr>
            <w:r w:rsidRPr="00895A07">
              <w:rPr>
                <w:szCs w:val="24"/>
              </w:rPr>
              <w:t>4. Why?</w:t>
            </w:r>
          </w:p>
        </w:tc>
        <w:tc>
          <w:tcPr>
            <w:tcW w:w="6048" w:type="dxa"/>
            <w:shd w:val="clear" w:color="auto" w:fill="F7FAFC"/>
            <w:tcMar>
              <w:top w:w="70" w:type="dxa"/>
              <w:left w:w="70" w:type="dxa"/>
              <w:bottom w:w="70" w:type="dxa"/>
              <w:right w:w="70" w:type="dxa"/>
            </w:tcMar>
            <w:vAlign w:val="center"/>
          </w:tcPr>
          <w:p w14:paraId="36D05950" w14:textId="77777777" w:rsidR="00B44EF9" w:rsidRPr="00895A07" w:rsidRDefault="00000000" w:rsidP="00895A07">
            <w:pPr>
              <w:spacing w:line="360" w:lineRule="auto"/>
              <w:rPr>
                <w:szCs w:val="24"/>
              </w:rPr>
            </w:pPr>
            <w:r w:rsidRPr="00895A07">
              <w:rPr>
                <w:szCs w:val="24"/>
              </w:rPr>
              <w:t>Managers relied on specialist authority and lacked robust comparative data.</w:t>
            </w:r>
          </w:p>
        </w:tc>
      </w:tr>
      <w:tr w:rsidR="002D6F1C" w:rsidRPr="00895A07" w14:paraId="7DE8E09E" w14:textId="77777777">
        <w:trPr>
          <w:jc w:val="center"/>
        </w:trPr>
        <w:tc>
          <w:tcPr>
            <w:tcW w:w="3024" w:type="dxa"/>
            <w:tcMar>
              <w:top w:w="70" w:type="dxa"/>
              <w:left w:w="70" w:type="dxa"/>
              <w:bottom w:w="70" w:type="dxa"/>
              <w:right w:w="70" w:type="dxa"/>
            </w:tcMar>
            <w:vAlign w:val="center"/>
          </w:tcPr>
          <w:p w14:paraId="62B4AC13" w14:textId="77777777" w:rsidR="00B44EF9" w:rsidRPr="00895A07" w:rsidRDefault="00000000" w:rsidP="00895A07">
            <w:pPr>
              <w:spacing w:line="360" w:lineRule="auto"/>
              <w:rPr>
                <w:szCs w:val="24"/>
              </w:rPr>
            </w:pPr>
            <w:r w:rsidRPr="00895A07">
              <w:rPr>
                <w:szCs w:val="24"/>
              </w:rPr>
              <w:t>5. Why could this persist?</w:t>
            </w:r>
          </w:p>
        </w:tc>
        <w:tc>
          <w:tcPr>
            <w:tcW w:w="6048" w:type="dxa"/>
            <w:tcMar>
              <w:top w:w="70" w:type="dxa"/>
              <w:left w:w="70" w:type="dxa"/>
              <w:bottom w:w="70" w:type="dxa"/>
              <w:right w:w="70" w:type="dxa"/>
            </w:tcMar>
            <w:vAlign w:val="center"/>
          </w:tcPr>
          <w:p w14:paraId="483A4153" w14:textId="77777777" w:rsidR="00B44EF9" w:rsidRPr="00895A07" w:rsidRDefault="00000000" w:rsidP="00895A07">
            <w:pPr>
              <w:spacing w:line="360" w:lineRule="auto"/>
              <w:rPr>
                <w:szCs w:val="24"/>
              </w:rPr>
            </w:pPr>
            <w:r w:rsidRPr="00895A07">
              <w:rPr>
                <w:szCs w:val="24"/>
              </w:rPr>
              <w:t>National benchmarking and clinical governance were not mature enough to compel early intervention.</w:t>
            </w:r>
          </w:p>
        </w:tc>
      </w:tr>
    </w:tbl>
    <w:p w14:paraId="69FE1AF0" w14:textId="77777777" w:rsidR="002D6F1C" w:rsidRDefault="00000000">
      <w:pPr>
        <w:spacing w:after="80" w:line="240" w:lineRule="auto"/>
        <w:jc w:val="center"/>
      </w:pPr>
      <w:r>
        <w:rPr>
          <w:i/>
          <w:sz w:val="18"/>
        </w:rPr>
        <w:t>Source: Author application based on Kennedy (2001), Dyer (2001), Department of Health (2002), Spiegelhalter et al. (2002), Reason (2000) and Card (2017).</w:t>
      </w:r>
    </w:p>
    <w:p w14:paraId="545C47AC" w14:textId="77777777" w:rsidR="002D6F1C" w:rsidRDefault="00000000">
      <w:pPr>
        <w:spacing w:after="120" w:line="360" w:lineRule="auto"/>
        <w:jc w:val="both"/>
      </w:pPr>
      <w:r>
        <w:t>Table 2 identifies the missing link between risk knowledge, authority and action.</w:t>
      </w:r>
    </w:p>
    <w:p w14:paraId="73366D32" w14:textId="77777777" w:rsidR="002D6F1C" w:rsidRPr="0063577A" w:rsidRDefault="00000000" w:rsidP="00A43FDE">
      <w:pPr>
        <w:pStyle w:val="Heading2"/>
        <w:spacing w:before="160" w:after="80"/>
        <w:rPr>
          <w:rFonts w:ascii="Arial" w:hAnsi="Arial" w:cs="Arial"/>
          <w:color w:val="000000" w:themeColor="text1"/>
          <w:sz w:val="24"/>
          <w:szCs w:val="24"/>
        </w:rPr>
      </w:pPr>
      <w:bookmarkStart w:id="13" w:name="_Toc235272004"/>
      <w:bookmarkStart w:id="14" w:name="_Toc235719383"/>
      <w:r w:rsidRPr="0063577A">
        <w:rPr>
          <w:rFonts w:ascii="Arial" w:eastAsia="Arial" w:hAnsi="Arial" w:cs="Arial"/>
          <w:color w:val="000000" w:themeColor="text1"/>
          <w:szCs w:val="24"/>
        </w:rPr>
        <w:t>3.4 SWOT quadrant analysis</w:t>
      </w:r>
      <w:bookmarkEnd w:id="13"/>
      <w:bookmarkEnd w:id="14"/>
    </w:p>
    <w:p w14:paraId="1BA3BDB2" w14:textId="77777777" w:rsidR="00895A07" w:rsidRDefault="00895A07">
      <w:pPr>
        <w:spacing w:after="120" w:line="360" w:lineRule="auto"/>
        <w:jc w:val="both"/>
      </w:pPr>
      <w:r w:rsidRPr="00895A07">
        <w:t xml:space="preserve">SWOT is applied to a contemporary NHS Level 1 specialist children's surgical </w:t>
      </w:r>
      <w:proofErr w:type="spellStart"/>
      <w:r w:rsidRPr="00895A07">
        <w:t>centre</w:t>
      </w:r>
      <w:proofErr w:type="spellEnd"/>
      <w:r w:rsidRPr="00895A07">
        <w:t xml:space="preserve"> implementing post-Bristol reforms. This makes this unit of history so that historical failures are not combined with the present-day policy. SWOT is favored over PESTLE since having an ability to plan takes internal ability and external environment, yet it does not create a cause-and-effect relationship or priority, thus complies with the root-cause tools (Helms and Nixon, 2010). </w:t>
      </w:r>
    </w:p>
    <w:p w14:paraId="7BC52929" w14:textId="55C903CD" w:rsidR="00895A07" w:rsidRDefault="00895A07">
      <w:pPr>
        <w:spacing w:after="120" w:line="360" w:lineRule="auto"/>
        <w:jc w:val="both"/>
      </w:pPr>
      <w:r w:rsidRPr="00895A07">
        <w:lastRenderedPageBreak/>
        <w:t>The internal strengths are MDT knowledge, network connections, audit information and board governance. There are weaknesses such as a lack of audit time, fluctuating culture of speaking up, inconsistent family information and over-reliance on scarce specialists. There are opportunities provided by NICOR standards, NHS CHD standards, PSIRF, LFPSE and CQC requirements (NHS England, 2016; 2022; 2023a; 2023b; Care Quality Commission, 2025a; 2025b; NICOR, 2025). Some of the threats can be the shortage of the workforce, ineffective data, regulatory overburden, funding stress and defensiveness (Dixon-Woods, 2019; Mannion and Davies, 2018).</w:t>
      </w:r>
    </w:p>
    <w:p w14:paraId="45F5E129" w14:textId="77777777" w:rsidR="002D6F1C" w:rsidRPr="00895A07" w:rsidRDefault="00000000">
      <w:pPr>
        <w:spacing w:after="60" w:line="240" w:lineRule="auto"/>
        <w:jc w:val="center"/>
      </w:pPr>
      <w:r w:rsidRPr="00895A07">
        <w:rPr>
          <w:b/>
        </w:rPr>
        <w:t>Table 3. SWOT analysis of a contemporary NHS Level 1 specialist children's surgical centre.</w:t>
      </w:r>
    </w:p>
    <w:tbl>
      <w:tblPr>
        <w:tblStyle w:val="TableGrid"/>
        <w:tblW w:w="0" w:type="auto"/>
        <w:jc w:val="center"/>
        <w:tblLayout w:type="fixed"/>
        <w:tblLook w:val="04A0" w:firstRow="1" w:lastRow="0" w:firstColumn="1" w:lastColumn="0" w:noHBand="0" w:noVBand="1"/>
      </w:tblPr>
      <w:tblGrid>
        <w:gridCol w:w="4536"/>
        <w:gridCol w:w="4536"/>
      </w:tblGrid>
      <w:tr w:rsidR="002D6F1C" w:rsidRPr="00895A07" w14:paraId="71AA625C" w14:textId="77777777">
        <w:trPr>
          <w:cantSplit/>
          <w:tblHeader/>
          <w:jc w:val="center"/>
        </w:trPr>
        <w:tc>
          <w:tcPr>
            <w:tcW w:w="4536" w:type="dxa"/>
            <w:shd w:val="clear" w:color="auto" w:fill="D9EAF7"/>
            <w:tcMar>
              <w:top w:w="35" w:type="dxa"/>
              <w:left w:w="50" w:type="dxa"/>
              <w:bottom w:w="35" w:type="dxa"/>
              <w:right w:w="50" w:type="dxa"/>
            </w:tcMar>
            <w:vAlign w:val="center"/>
          </w:tcPr>
          <w:p w14:paraId="04CBC4BB" w14:textId="77777777" w:rsidR="00B44EF9" w:rsidRPr="00895A07" w:rsidRDefault="00000000" w:rsidP="00895A07">
            <w:pPr>
              <w:spacing w:line="360" w:lineRule="auto"/>
            </w:pPr>
            <w:r w:rsidRPr="00895A07">
              <w:rPr>
                <w:b/>
              </w:rPr>
              <w:t>Strengths (internal)</w:t>
            </w:r>
          </w:p>
        </w:tc>
        <w:tc>
          <w:tcPr>
            <w:tcW w:w="4536" w:type="dxa"/>
            <w:shd w:val="clear" w:color="auto" w:fill="D9EAF7"/>
            <w:tcMar>
              <w:top w:w="35" w:type="dxa"/>
              <w:left w:w="50" w:type="dxa"/>
              <w:bottom w:w="35" w:type="dxa"/>
              <w:right w:w="50" w:type="dxa"/>
            </w:tcMar>
            <w:vAlign w:val="center"/>
          </w:tcPr>
          <w:p w14:paraId="1846DD74" w14:textId="77777777" w:rsidR="00B44EF9" w:rsidRPr="00895A07" w:rsidRDefault="00000000" w:rsidP="00895A07">
            <w:pPr>
              <w:spacing w:line="360" w:lineRule="auto"/>
            </w:pPr>
            <w:r w:rsidRPr="00895A07">
              <w:rPr>
                <w:b/>
              </w:rPr>
              <w:t>Weaknesses (internal)</w:t>
            </w:r>
          </w:p>
        </w:tc>
      </w:tr>
      <w:tr w:rsidR="002D6F1C" w:rsidRPr="00895A07" w14:paraId="318E2ED3" w14:textId="77777777">
        <w:trPr>
          <w:cantSplit/>
          <w:jc w:val="center"/>
        </w:trPr>
        <w:tc>
          <w:tcPr>
            <w:tcW w:w="4536" w:type="dxa"/>
            <w:tcMar>
              <w:top w:w="35" w:type="dxa"/>
              <w:left w:w="50" w:type="dxa"/>
              <w:bottom w:w="35" w:type="dxa"/>
              <w:right w:w="50" w:type="dxa"/>
            </w:tcMar>
            <w:vAlign w:val="center"/>
          </w:tcPr>
          <w:p w14:paraId="308C5E9B" w14:textId="77777777" w:rsidR="00B44EF9" w:rsidRPr="00895A07" w:rsidRDefault="00000000" w:rsidP="00895A07">
            <w:pPr>
              <w:spacing w:line="360" w:lineRule="auto"/>
            </w:pPr>
            <w:r w:rsidRPr="00895A07">
              <w:t>MDT expertise; network links; audit data; board governance.</w:t>
            </w:r>
          </w:p>
        </w:tc>
        <w:tc>
          <w:tcPr>
            <w:tcW w:w="4536" w:type="dxa"/>
            <w:tcMar>
              <w:top w:w="35" w:type="dxa"/>
              <w:left w:w="50" w:type="dxa"/>
              <w:bottom w:w="35" w:type="dxa"/>
              <w:right w:w="50" w:type="dxa"/>
            </w:tcMar>
            <w:vAlign w:val="center"/>
          </w:tcPr>
          <w:p w14:paraId="14162B77" w14:textId="77777777" w:rsidR="00B44EF9" w:rsidRPr="00895A07" w:rsidRDefault="00000000" w:rsidP="00895A07">
            <w:pPr>
              <w:spacing w:line="360" w:lineRule="auto"/>
            </w:pPr>
            <w:r w:rsidRPr="00895A07">
              <w:t>Limited audit time; variable speaking-up culture; inconsistent family information; scarce specialists.</w:t>
            </w:r>
          </w:p>
        </w:tc>
      </w:tr>
      <w:tr w:rsidR="002D6F1C" w:rsidRPr="00895A07" w14:paraId="4C7A2D66" w14:textId="77777777">
        <w:trPr>
          <w:cantSplit/>
          <w:jc w:val="center"/>
        </w:trPr>
        <w:tc>
          <w:tcPr>
            <w:tcW w:w="4536" w:type="dxa"/>
            <w:shd w:val="clear" w:color="auto" w:fill="D9EAF7"/>
            <w:tcMar>
              <w:top w:w="35" w:type="dxa"/>
              <w:left w:w="50" w:type="dxa"/>
              <w:bottom w:w="35" w:type="dxa"/>
              <w:right w:w="50" w:type="dxa"/>
            </w:tcMar>
            <w:vAlign w:val="center"/>
          </w:tcPr>
          <w:p w14:paraId="36A73024" w14:textId="77777777" w:rsidR="00B44EF9" w:rsidRPr="00895A07" w:rsidRDefault="00000000" w:rsidP="00895A07">
            <w:pPr>
              <w:spacing w:line="360" w:lineRule="auto"/>
            </w:pPr>
            <w:r w:rsidRPr="00895A07">
              <w:rPr>
                <w:b/>
              </w:rPr>
              <w:t>Opportunities (external)</w:t>
            </w:r>
          </w:p>
        </w:tc>
        <w:tc>
          <w:tcPr>
            <w:tcW w:w="4536" w:type="dxa"/>
            <w:shd w:val="clear" w:color="auto" w:fill="D9EAF7"/>
            <w:tcMar>
              <w:top w:w="35" w:type="dxa"/>
              <w:left w:w="50" w:type="dxa"/>
              <w:bottom w:w="35" w:type="dxa"/>
              <w:right w:w="50" w:type="dxa"/>
            </w:tcMar>
            <w:vAlign w:val="center"/>
          </w:tcPr>
          <w:p w14:paraId="46EEA69A" w14:textId="77777777" w:rsidR="00B44EF9" w:rsidRPr="00895A07" w:rsidRDefault="00000000" w:rsidP="00895A07">
            <w:pPr>
              <w:spacing w:line="360" w:lineRule="auto"/>
            </w:pPr>
            <w:r w:rsidRPr="00895A07">
              <w:rPr>
                <w:b/>
              </w:rPr>
              <w:t>Threats (external)</w:t>
            </w:r>
          </w:p>
        </w:tc>
      </w:tr>
      <w:tr w:rsidR="00B44EF9" w:rsidRPr="00895A07" w14:paraId="0CB44799" w14:textId="77777777">
        <w:trPr>
          <w:cantSplit/>
          <w:jc w:val="center"/>
        </w:trPr>
        <w:tc>
          <w:tcPr>
            <w:tcW w:w="4536" w:type="dxa"/>
            <w:tcMar>
              <w:top w:w="35" w:type="dxa"/>
              <w:left w:w="50" w:type="dxa"/>
              <w:bottom w:w="35" w:type="dxa"/>
              <w:right w:w="50" w:type="dxa"/>
            </w:tcMar>
            <w:vAlign w:val="center"/>
          </w:tcPr>
          <w:p w14:paraId="062C7887" w14:textId="77777777" w:rsidR="00B44EF9" w:rsidRPr="00895A07" w:rsidRDefault="00000000" w:rsidP="00895A07">
            <w:pPr>
              <w:spacing w:line="360" w:lineRule="auto"/>
            </w:pPr>
            <w:r w:rsidRPr="00895A07">
              <w:t>NICOR benchmarking; CHD standards; PSIRF/LFPSE; CQC requirements; family co-design.</w:t>
            </w:r>
          </w:p>
        </w:tc>
        <w:tc>
          <w:tcPr>
            <w:tcW w:w="4536" w:type="dxa"/>
            <w:tcMar>
              <w:top w:w="35" w:type="dxa"/>
              <w:left w:w="50" w:type="dxa"/>
              <w:bottom w:w="35" w:type="dxa"/>
              <w:right w:w="50" w:type="dxa"/>
            </w:tcMar>
            <w:vAlign w:val="center"/>
          </w:tcPr>
          <w:p w14:paraId="731877AE" w14:textId="77777777" w:rsidR="00B44EF9" w:rsidRPr="00895A07" w:rsidRDefault="00000000" w:rsidP="00895A07">
            <w:pPr>
              <w:spacing w:line="360" w:lineRule="auto"/>
            </w:pPr>
            <w:r w:rsidRPr="00895A07">
              <w:t>Workforce scarcity; poor data; regulatory overload; funding pressure; defensive responses.</w:t>
            </w:r>
          </w:p>
        </w:tc>
      </w:tr>
    </w:tbl>
    <w:p w14:paraId="7B2B75F2" w14:textId="77777777" w:rsidR="002D6F1C" w:rsidRPr="00895A07" w:rsidRDefault="00000000">
      <w:pPr>
        <w:spacing w:after="80" w:line="240" w:lineRule="auto"/>
        <w:jc w:val="center"/>
      </w:pPr>
      <w:r w:rsidRPr="00895A07">
        <w:rPr>
          <w:i/>
        </w:rPr>
        <w:t>Source: Author synthesis using Helms and Nixon (2010), NHS England (2016; 2022; 2023a; 2023b), Care Quality Commission (2025a; 2025b), NICOR (2025), Dixon-Woods (2019) and Mannion and Davies (2018).</w:t>
      </w:r>
    </w:p>
    <w:p w14:paraId="4D58BC0D" w14:textId="77777777" w:rsidR="002D6F1C" w:rsidRDefault="00000000">
      <w:pPr>
        <w:spacing w:after="120" w:line="360" w:lineRule="auto"/>
        <w:jc w:val="both"/>
      </w:pPr>
      <w:r>
        <w:t>Table 3 shows that national infrastructure cannot compensate for weak local capacity and culture.</w:t>
      </w:r>
    </w:p>
    <w:p w14:paraId="6033115E" w14:textId="77777777" w:rsidR="002D6F1C" w:rsidRPr="0063577A" w:rsidRDefault="00000000" w:rsidP="00A43FDE">
      <w:pPr>
        <w:pStyle w:val="Heading2"/>
        <w:spacing w:before="160" w:after="80"/>
        <w:rPr>
          <w:rFonts w:ascii="Arial" w:hAnsi="Arial" w:cs="Arial"/>
          <w:color w:val="000000" w:themeColor="text1"/>
        </w:rPr>
      </w:pPr>
      <w:bookmarkStart w:id="15" w:name="_Toc235272005"/>
      <w:bookmarkStart w:id="16" w:name="_Toc235719384"/>
      <w:r w:rsidRPr="0063577A">
        <w:rPr>
          <w:rFonts w:ascii="Arial" w:eastAsia="Arial" w:hAnsi="Arial" w:cs="Arial"/>
          <w:color w:val="000000" w:themeColor="text1"/>
        </w:rPr>
        <w:t>3.5 Plan-Do-Study-Act Cycle and Kotter's 8-Step Change Model</w:t>
      </w:r>
      <w:bookmarkEnd w:id="15"/>
      <w:bookmarkEnd w:id="16"/>
    </w:p>
    <w:p w14:paraId="4F3294FD" w14:textId="77777777" w:rsidR="0063577A" w:rsidRDefault="0063577A">
      <w:pPr>
        <w:spacing w:after="120" w:line="360" w:lineRule="auto"/>
        <w:jc w:val="both"/>
      </w:pPr>
      <w:r w:rsidRPr="0063577A">
        <w:t xml:space="preserve">PDSA is chosen over PDCA since the response must be learned through test at clinical conditions rather than the post-implementation tests to check compliance. PDCA helps to control and </w:t>
      </w:r>
      <w:proofErr w:type="spellStart"/>
      <w:r w:rsidRPr="0063577A">
        <w:t>standardise</w:t>
      </w:r>
      <w:proofErr w:type="spellEnd"/>
      <w:r w:rsidRPr="0063577A">
        <w:t xml:space="preserve"> and PDSA focuses on the learning before spreading (Deming, 1986; Langley et al., 2009). PDSA is subject to poor design, documentation/leadership (Taylor et al., 2014; Reed and Card, 2016).</w:t>
      </w:r>
    </w:p>
    <w:p w14:paraId="058E8211" w14:textId="77777777" w:rsidR="0063577A" w:rsidRDefault="0063577A">
      <w:pPr>
        <w:spacing w:after="120" w:line="360" w:lineRule="auto"/>
        <w:jc w:val="both"/>
      </w:pPr>
      <w:r w:rsidRPr="0063577A">
        <w:t xml:space="preserve">Component 1 proposed Lean and DMAIC. Flow and waste are better addressed by lean, whereas a steady, quantifiable error is better represented by DMAIC (Ohno, 1988; Pande, Neuman and Cavanagh, 2000). The fault in Bristol was not so much waste as a single fault, and not primarily vice-governance, but rather, the transformation of risk into action. PDSA suits testing dashboards, family information and escalation in mini cycles, and MDT rules. Mature workflows and data </w:t>
      </w:r>
      <w:r w:rsidRPr="0063577A">
        <w:lastRenderedPageBreak/>
        <w:t>control can subsequently be improved with the help of lean and DMAIC, but neither of these is enough as a primary solution.</w:t>
      </w:r>
    </w:p>
    <w:p w14:paraId="3194B272" w14:textId="77777777" w:rsidR="0063577A" w:rsidRDefault="0063577A">
      <w:pPr>
        <w:spacing w:after="120" w:line="360" w:lineRule="auto"/>
        <w:jc w:val="both"/>
      </w:pPr>
      <w:r w:rsidRPr="0063577A">
        <w:t xml:space="preserve">PDSA is complemented by Kotter since Bristol was a cultural and leadership failure as well. It facilitates urgency, coalition-building, vision, communication, barrier removal, short-term wins, acceleration and </w:t>
      </w:r>
      <w:proofErr w:type="spellStart"/>
      <w:r w:rsidRPr="0063577A">
        <w:t>institutionalisation</w:t>
      </w:r>
      <w:proofErr w:type="spellEnd"/>
      <w:r w:rsidRPr="0063577A">
        <w:t xml:space="preserve"> (Kotter, 1995; 2012). PDSA evaluates servicer changes and Kotter achieves ownership and sustainability. Its linear and top-down tendency still needs to be adjusted towards professional microcultures and an iterative learning process (Harrison et al., 2021).</w:t>
      </w:r>
    </w:p>
    <w:p w14:paraId="4CA081BC" w14:textId="77777777" w:rsidR="0063577A" w:rsidRDefault="0063577A">
      <w:pPr>
        <w:spacing w:after="40"/>
        <w:jc w:val="center"/>
        <w:rPr>
          <w:noProof/>
        </w:rPr>
      </w:pPr>
    </w:p>
    <w:p w14:paraId="169C88D7" w14:textId="4911D837" w:rsidR="002D6F1C" w:rsidRDefault="00000000">
      <w:pPr>
        <w:spacing w:after="40"/>
        <w:jc w:val="center"/>
      </w:pPr>
      <w:r>
        <w:rPr>
          <w:noProof/>
        </w:rPr>
        <w:drawing>
          <wp:inline distT="0" distB="0" distL="0" distR="0" wp14:anchorId="3C4D0CC5" wp14:editId="4C575617">
            <wp:extent cx="6003636" cy="4072890"/>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4.png"/>
                    <pic:cNvPicPr/>
                  </pic:nvPicPr>
                  <pic:blipFill rotWithShape="1">
                    <a:blip r:embed="rId12"/>
                    <a:srcRect b="15623"/>
                    <a:stretch>
                      <a:fillRect/>
                    </a:stretch>
                  </pic:blipFill>
                  <pic:spPr bwMode="auto">
                    <a:xfrm>
                      <a:off x="0" y="0"/>
                      <a:ext cx="6010321" cy="4077425"/>
                    </a:xfrm>
                    <a:prstGeom prst="rect">
                      <a:avLst/>
                    </a:prstGeom>
                    <a:ln>
                      <a:noFill/>
                    </a:ln>
                    <a:extLst>
                      <a:ext uri="{53640926-AAD7-44D8-BBD7-CCE9431645EC}">
                        <a14:shadowObscured xmlns:a14="http://schemas.microsoft.com/office/drawing/2010/main"/>
                      </a:ext>
                    </a:extLst>
                  </pic:spPr>
                </pic:pic>
              </a:graphicData>
            </a:graphic>
          </wp:inline>
        </w:drawing>
      </w:r>
    </w:p>
    <w:p w14:paraId="6FD437C8" w14:textId="77777777" w:rsidR="0063577A" w:rsidRDefault="0063577A">
      <w:pPr>
        <w:spacing w:after="60" w:line="240" w:lineRule="auto"/>
        <w:jc w:val="center"/>
        <w:rPr>
          <w:b/>
          <w:sz w:val="21"/>
        </w:rPr>
      </w:pPr>
    </w:p>
    <w:p w14:paraId="0E3A5B4D" w14:textId="4D8E86BF" w:rsidR="00A43FDE" w:rsidRPr="00A43FDE" w:rsidRDefault="00000000">
      <w:pPr>
        <w:spacing w:after="60" w:line="240" w:lineRule="auto"/>
        <w:jc w:val="center"/>
        <w:rPr>
          <w:iCs/>
          <w:szCs w:val="28"/>
        </w:rPr>
      </w:pPr>
      <w:r>
        <w:rPr>
          <w:b/>
          <w:sz w:val="21"/>
        </w:rPr>
        <w:t>Figure 4. PDSA testing supported by Kotter's 8-Step Change Model.</w:t>
      </w:r>
    </w:p>
    <w:p w14:paraId="6FCD5F7A" w14:textId="77777777" w:rsidR="002D6F1C" w:rsidRDefault="00000000">
      <w:pPr>
        <w:keepLines/>
        <w:spacing w:after="0" w:line="240" w:lineRule="auto"/>
        <w:jc w:val="center"/>
      </w:pPr>
      <w:r>
        <w:rPr>
          <w:i/>
          <w:sz w:val="18"/>
        </w:rPr>
        <w:t>Source: author-created synthesis adapted from Deming (1986), Langley et al. (2009), Taylor et al. (2014), Reed and Card (2016), Kotter (1995; 2012) and Harrison et al. (2021).</w:t>
      </w:r>
    </w:p>
    <w:p w14:paraId="5D6C9553" w14:textId="77777777" w:rsidR="0063577A" w:rsidRDefault="0063577A">
      <w:pPr>
        <w:spacing w:after="120" w:line="360" w:lineRule="auto"/>
        <w:jc w:val="both"/>
      </w:pPr>
    </w:p>
    <w:p w14:paraId="34D4C89A" w14:textId="3B6CF129" w:rsidR="002D6F1C" w:rsidRDefault="00000000">
      <w:pPr>
        <w:spacing w:after="120" w:line="360" w:lineRule="auto"/>
        <w:jc w:val="both"/>
      </w:pPr>
      <w:r>
        <w:t>Figure 4 distinguishes technical testing from organisational mobilisation. Both can become symbolic unless leaders protect audit time, validate data, involve families and hold named owners accountable (Dixon-Woods, 2019).</w:t>
      </w:r>
    </w:p>
    <w:p w14:paraId="62208A65" w14:textId="77777777" w:rsidR="002D6F1C" w:rsidRPr="0063577A" w:rsidRDefault="00000000" w:rsidP="00A43FDE">
      <w:pPr>
        <w:pStyle w:val="Heading1"/>
        <w:spacing w:before="200" w:after="100"/>
        <w:rPr>
          <w:rFonts w:ascii="Arial" w:hAnsi="Arial" w:cs="Arial"/>
          <w:color w:val="000000" w:themeColor="text1"/>
        </w:rPr>
      </w:pPr>
      <w:bookmarkStart w:id="17" w:name="_Toc235272006"/>
      <w:bookmarkStart w:id="18" w:name="_Toc235719385"/>
      <w:r w:rsidRPr="0063577A">
        <w:rPr>
          <w:rFonts w:ascii="Arial" w:eastAsia="Arial" w:hAnsi="Arial" w:cs="Arial"/>
          <w:color w:val="000000" w:themeColor="text1"/>
        </w:rPr>
        <w:lastRenderedPageBreak/>
        <w:t>4. Recommendations and implementation strategy</w:t>
      </w:r>
      <w:bookmarkEnd w:id="17"/>
      <w:bookmarkEnd w:id="18"/>
    </w:p>
    <w:p w14:paraId="7E3059C6" w14:textId="77777777" w:rsidR="007B754B" w:rsidRDefault="007B754B">
      <w:pPr>
        <w:spacing w:after="120" w:line="360" w:lineRule="auto"/>
        <w:jc w:val="both"/>
      </w:pPr>
      <w:r w:rsidRPr="007B754B">
        <w:t xml:space="preserve">First, the service should strengthen specialist capacity and MDT review. The mapping of staffing of surgery, cardiology, </w:t>
      </w:r>
      <w:proofErr w:type="spellStart"/>
      <w:r w:rsidRPr="007B754B">
        <w:t>anaesthesia</w:t>
      </w:r>
      <w:proofErr w:type="spellEnd"/>
      <w:r w:rsidRPr="007B754B">
        <w:t>, intensive care, nursing, perfusion and audit should be aligned to the standards of NHS CHD in terms of specialist teams, network working and resilient care, procedural activity, specialist teams, and network working and resilient care (NHS England, 2016; NHS England, 2023a; NICOR, 2025). The selection, risk, expected outcomes and alternatives by MDT review in high-risk cases should be documented, and this will be a response to Bristol weak structured challenge (Kennedy, 2001; Vincent, 2010).</w:t>
      </w:r>
    </w:p>
    <w:p w14:paraId="4B3EAEA0" w14:textId="77777777" w:rsidR="007B754B" w:rsidRDefault="007B754B">
      <w:pPr>
        <w:spacing w:after="120" w:line="360" w:lineRule="auto"/>
        <w:jc w:val="both"/>
      </w:pPr>
      <w:r w:rsidRPr="007B754B">
        <w:t>Second, there must be a dashboard of risk-adjusted mortality, complications, transfers, cancellations, near misses, complaints, staff concerns and family feedback that is provided monthly. Comparison of NICOR ought to be locally tested and brimmed at a specified action (Keogh et al., 2004; NICOR, 2025). The MDT review, documentation to the board and peer independent input must be initiated under an agreed time frame, when there are outliers or repeated negative signals. An annual external multidisciplinary audit by the service, in addition to threshold-prompted scrutiny, should be commissioned by the service as well. It must contain clinical and nursing, data and family points of view; evaluation of selection, risk adjustment, adverse-outcome assessment, governance closure and communication; accountable to the board and network; and follow-up on every action (NHS England, 2016; NHS England, 2023a).</w:t>
      </w:r>
    </w:p>
    <w:p w14:paraId="41AFADB0" w14:textId="77777777" w:rsidR="007B754B" w:rsidRDefault="007B754B">
      <w:pPr>
        <w:spacing w:after="120" w:line="360" w:lineRule="auto"/>
        <w:jc w:val="both"/>
      </w:pPr>
      <w:r w:rsidRPr="007B754B">
        <w:t>Third, the board quality committee must have monthly reports on specialist assurance, such as open risks, unresolved outliers, overdue actions, data quality, external-audit findings and family-information issues. Independent review should be possible by the non- executive directors. It connects the clinical practice with the corporate responsibility and the existing safety, governance and learning responsibilities (NHS England and NHS Improvement, 2019; NHS England, 2022; Care Quality Commission, 2025a; 2025b).</w:t>
      </w:r>
    </w:p>
    <w:p w14:paraId="79C013F6" w14:textId="77777777" w:rsidR="007B754B" w:rsidRDefault="007B754B">
      <w:pPr>
        <w:spacing w:after="120" w:line="360" w:lineRule="auto"/>
        <w:jc w:val="both"/>
      </w:pPr>
      <w:r w:rsidRPr="007B754B">
        <w:t>Fourth, clarity on the risk of procedures, anticipated recovery, unit product, alternative and second opinion among families should be given. NICE (2021) and GMC (2024) demand informed decisions which are shared. Improved-language activities, interpreters and teach back must be designed in collaboration with the family making them a safety measure instead of a leaflet exercise.</w:t>
      </w:r>
    </w:p>
    <w:p w14:paraId="468BDED5" w14:textId="5687166C" w:rsidR="007B754B" w:rsidRDefault="007B754B">
      <w:pPr>
        <w:spacing w:after="120" w:line="360" w:lineRule="auto"/>
        <w:jc w:val="both"/>
      </w:pPr>
      <w:r>
        <w:t xml:space="preserve">Implementation should be phased. </w:t>
      </w:r>
      <w:r w:rsidRPr="007B754B">
        <w:t xml:space="preserve">Baselines, definitions of dashboards, escalation levels, staffing gaps and co-designed information with families in 90 days. At six months, the PDSA cycles must be used to test dashboard review, high risk of MDT processes and teach-back. Audit </w:t>
      </w:r>
      <w:r w:rsidRPr="007B754B">
        <w:lastRenderedPageBreak/>
        <w:t>Calendar/induction, Network governance and board reporting: good routines should be ingrained by 12 months. The outcome, process, experience and balancing measures need secured audit time and named data proprietors (Kaplan et al., 2012; Taylor et al., 2014).</w:t>
      </w:r>
    </w:p>
    <w:p w14:paraId="7906D1A7" w14:textId="77777777" w:rsidR="002D6F1C" w:rsidRDefault="00000000" w:rsidP="0063577A">
      <w:pPr>
        <w:spacing w:after="60" w:line="240" w:lineRule="auto"/>
      </w:pPr>
      <w:r>
        <w:rPr>
          <w:b/>
          <w:sz w:val="21"/>
        </w:rPr>
        <w:t>Table 4. Priority implementation plan mapped to PDSA and Kotter's 8-Step Model.</w:t>
      </w:r>
    </w:p>
    <w:tbl>
      <w:tblPr>
        <w:tblStyle w:val="TableGrid"/>
        <w:tblW w:w="0" w:type="auto"/>
        <w:jc w:val="center"/>
        <w:tblLayout w:type="fixed"/>
        <w:tblLook w:val="04A0" w:firstRow="1" w:lastRow="0" w:firstColumn="1" w:lastColumn="0" w:noHBand="0" w:noVBand="1"/>
      </w:tblPr>
      <w:tblGrid>
        <w:gridCol w:w="1440"/>
        <w:gridCol w:w="1224"/>
        <w:gridCol w:w="1800"/>
        <w:gridCol w:w="2664"/>
        <w:gridCol w:w="1944"/>
      </w:tblGrid>
      <w:tr w:rsidR="002D6F1C" w:rsidRPr="0063577A" w14:paraId="07FB5844" w14:textId="77777777">
        <w:trPr>
          <w:cantSplit/>
          <w:tblHeader/>
          <w:jc w:val="center"/>
        </w:trPr>
        <w:tc>
          <w:tcPr>
            <w:tcW w:w="1440" w:type="dxa"/>
            <w:shd w:val="clear" w:color="auto" w:fill="D9EAF7"/>
            <w:tcMar>
              <w:top w:w="40" w:type="dxa"/>
              <w:left w:w="55" w:type="dxa"/>
              <w:bottom w:w="40" w:type="dxa"/>
              <w:right w:w="55" w:type="dxa"/>
            </w:tcMar>
            <w:vAlign w:val="center"/>
          </w:tcPr>
          <w:p w14:paraId="15A5FE70" w14:textId="77777777" w:rsidR="00B44EF9" w:rsidRPr="0063577A" w:rsidRDefault="00000000" w:rsidP="0063577A">
            <w:pPr>
              <w:spacing w:line="360" w:lineRule="auto"/>
            </w:pPr>
            <w:r w:rsidRPr="0063577A">
              <w:rPr>
                <w:b/>
              </w:rPr>
              <w:t>Priority</w:t>
            </w:r>
          </w:p>
        </w:tc>
        <w:tc>
          <w:tcPr>
            <w:tcW w:w="1224" w:type="dxa"/>
            <w:shd w:val="clear" w:color="auto" w:fill="D9EAF7"/>
            <w:tcMar>
              <w:top w:w="40" w:type="dxa"/>
              <w:left w:w="55" w:type="dxa"/>
              <w:bottom w:w="40" w:type="dxa"/>
              <w:right w:w="55" w:type="dxa"/>
            </w:tcMar>
            <w:vAlign w:val="center"/>
          </w:tcPr>
          <w:p w14:paraId="1C1ED173" w14:textId="77777777" w:rsidR="00B44EF9" w:rsidRPr="0063577A" w:rsidRDefault="00000000" w:rsidP="0063577A">
            <w:pPr>
              <w:spacing w:line="360" w:lineRule="auto"/>
            </w:pPr>
            <w:r w:rsidRPr="0063577A">
              <w:rPr>
                <w:b/>
              </w:rPr>
              <w:t>Lead</w:t>
            </w:r>
          </w:p>
        </w:tc>
        <w:tc>
          <w:tcPr>
            <w:tcW w:w="1800" w:type="dxa"/>
            <w:shd w:val="clear" w:color="auto" w:fill="D9EAF7"/>
            <w:tcMar>
              <w:top w:w="40" w:type="dxa"/>
              <w:left w:w="55" w:type="dxa"/>
              <w:bottom w:w="40" w:type="dxa"/>
              <w:right w:w="55" w:type="dxa"/>
            </w:tcMar>
            <w:vAlign w:val="center"/>
          </w:tcPr>
          <w:p w14:paraId="6555FC8C" w14:textId="77777777" w:rsidR="00B44EF9" w:rsidRPr="0063577A" w:rsidRDefault="00000000" w:rsidP="0063577A">
            <w:pPr>
              <w:spacing w:line="360" w:lineRule="auto"/>
            </w:pPr>
            <w:r w:rsidRPr="0063577A">
              <w:rPr>
                <w:b/>
              </w:rPr>
              <w:t>PDSA/Kotter mapping</w:t>
            </w:r>
          </w:p>
        </w:tc>
        <w:tc>
          <w:tcPr>
            <w:tcW w:w="2664" w:type="dxa"/>
            <w:shd w:val="clear" w:color="auto" w:fill="D9EAF7"/>
            <w:tcMar>
              <w:top w:w="40" w:type="dxa"/>
              <w:left w:w="55" w:type="dxa"/>
              <w:bottom w:w="40" w:type="dxa"/>
              <w:right w:w="55" w:type="dxa"/>
            </w:tcMar>
            <w:vAlign w:val="center"/>
          </w:tcPr>
          <w:p w14:paraId="2EC6638C" w14:textId="77777777" w:rsidR="00B44EF9" w:rsidRPr="0063577A" w:rsidRDefault="00000000" w:rsidP="0063577A">
            <w:pPr>
              <w:spacing w:line="360" w:lineRule="auto"/>
            </w:pPr>
            <w:r w:rsidRPr="0063577A">
              <w:rPr>
                <w:b/>
              </w:rPr>
              <w:t>90-day action and target</w:t>
            </w:r>
          </w:p>
        </w:tc>
        <w:tc>
          <w:tcPr>
            <w:tcW w:w="1944" w:type="dxa"/>
            <w:shd w:val="clear" w:color="auto" w:fill="D9EAF7"/>
            <w:tcMar>
              <w:top w:w="40" w:type="dxa"/>
              <w:left w:w="55" w:type="dxa"/>
              <w:bottom w:w="40" w:type="dxa"/>
              <w:right w:w="55" w:type="dxa"/>
            </w:tcMar>
            <w:vAlign w:val="center"/>
          </w:tcPr>
          <w:p w14:paraId="0BE5BFCA" w14:textId="77777777" w:rsidR="00B44EF9" w:rsidRPr="0063577A" w:rsidRDefault="00000000" w:rsidP="0063577A">
            <w:pPr>
              <w:spacing w:line="360" w:lineRule="auto"/>
            </w:pPr>
            <w:r w:rsidRPr="0063577A">
              <w:rPr>
                <w:b/>
              </w:rPr>
              <w:t>Risk control</w:t>
            </w:r>
          </w:p>
        </w:tc>
      </w:tr>
      <w:tr w:rsidR="002D6F1C" w:rsidRPr="0063577A" w14:paraId="2369B951" w14:textId="77777777">
        <w:trPr>
          <w:cantSplit/>
          <w:jc w:val="center"/>
        </w:trPr>
        <w:tc>
          <w:tcPr>
            <w:tcW w:w="1440" w:type="dxa"/>
            <w:tcMar>
              <w:top w:w="40" w:type="dxa"/>
              <w:left w:w="55" w:type="dxa"/>
              <w:bottom w:w="40" w:type="dxa"/>
              <w:right w:w="55" w:type="dxa"/>
            </w:tcMar>
            <w:vAlign w:val="center"/>
          </w:tcPr>
          <w:p w14:paraId="5075DECD" w14:textId="77777777" w:rsidR="00B44EF9" w:rsidRPr="0063577A" w:rsidRDefault="00000000" w:rsidP="0063577A">
            <w:pPr>
              <w:spacing w:line="360" w:lineRule="auto"/>
            </w:pPr>
            <w:r w:rsidRPr="0063577A">
              <w:t>Workforce and MDT</w:t>
            </w:r>
          </w:p>
        </w:tc>
        <w:tc>
          <w:tcPr>
            <w:tcW w:w="1224" w:type="dxa"/>
            <w:tcMar>
              <w:top w:w="40" w:type="dxa"/>
              <w:left w:w="55" w:type="dxa"/>
              <w:bottom w:w="40" w:type="dxa"/>
              <w:right w:w="55" w:type="dxa"/>
            </w:tcMar>
            <w:vAlign w:val="center"/>
          </w:tcPr>
          <w:p w14:paraId="54F13DDB" w14:textId="77777777" w:rsidR="00B44EF9" w:rsidRPr="0063577A" w:rsidRDefault="00000000" w:rsidP="0063577A">
            <w:pPr>
              <w:spacing w:line="360" w:lineRule="auto"/>
            </w:pPr>
            <w:r w:rsidRPr="0063577A">
              <w:t>Medical director; cardiac lead</w:t>
            </w:r>
          </w:p>
        </w:tc>
        <w:tc>
          <w:tcPr>
            <w:tcW w:w="1800" w:type="dxa"/>
            <w:tcMar>
              <w:top w:w="40" w:type="dxa"/>
              <w:left w:w="55" w:type="dxa"/>
              <w:bottom w:w="40" w:type="dxa"/>
              <w:right w:w="55" w:type="dxa"/>
            </w:tcMar>
            <w:vAlign w:val="center"/>
          </w:tcPr>
          <w:p w14:paraId="45DEDD2A" w14:textId="77777777" w:rsidR="00B44EF9" w:rsidRPr="0063577A" w:rsidRDefault="00000000" w:rsidP="0063577A">
            <w:pPr>
              <w:spacing w:line="360" w:lineRule="auto"/>
            </w:pPr>
            <w:r w:rsidRPr="0063577A">
              <w:t>Plan; urgency, coalition, barriers</w:t>
            </w:r>
          </w:p>
        </w:tc>
        <w:tc>
          <w:tcPr>
            <w:tcW w:w="2664" w:type="dxa"/>
            <w:tcMar>
              <w:top w:w="40" w:type="dxa"/>
              <w:left w:w="55" w:type="dxa"/>
              <w:bottom w:w="40" w:type="dxa"/>
              <w:right w:w="55" w:type="dxa"/>
            </w:tcMar>
            <w:vAlign w:val="center"/>
          </w:tcPr>
          <w:p w14:paraId="11D76F99" w14:textId="77777777" w:rsidR="00B44EF9" w:rsidRPr="0063577A" w:rsidRDefault="00000000" w:rsidP="0063577A">
            <w:pPr>
              <w:spacing w:line="360" w:lineRule="auto"/>
            </w:pPr>
            <w:r w:rsidRPr="0063577A">
              <w:t>Map against CHD standards. Target: all high-risk cases reviewed before intervention.</w:t>
            </w:r>
          </w:p>
        </w:tc>
        <w:tc>
          <w:tcPr>
            <w:tcW w:w="1944" w:type="dxa"/>
            <w:tcMar>
              <w:top w:w="40" w:type="dxa"/>
              <w:left w:w="55" w:type="dxa"/>
              <w:bottom w:w="40" w:type="dxa"/>
              <w:right w:w="55" w:type="dxa"/>
            </w:tcMar>
            <w:vAlign w:val="center"/>
          </w:tcPr>
          <w:p w14:paraId="10E1042C" w14:textId="77777777" w:rsidR="00B44EF9" w:rsidRPr="0063577A" w:rsidRDefault="00000000" w:rsidP="0063577A">
            <w:pPr>
              <w:spacing w:line="360" w:lineRule="auto"/>
            </w:pPr>
            <w:r w:rsidRPr="0063577A">
              <w:t>Use network support and escalate unresolved rota risk.</w:t>
            </w:r>
          </w:p>
        </w:tc>
      </w:tr>
      <w:tr w:rsidR="002D6F1C" w:rsidRPr="0063577A" w14:paraId="2061EDFA" w14:textId="77777777">
        <w:trPr>
          <w:cantSplit/>
          <w:jc w:val="center"/>
        </w:trPr>
        <w:tc>
          <w:tcPr>
            <w:tcW w:w="1440" w:type="dxa"/>
            <w:shd w:val="clear" w:color="auto" w:fill="F7FAFC"/>
            <w:tcMar>
              <w:top w:w="40" w:type="dxa"/>
              <w:left w:w="55" w:type="dxa"/>
              <w:bottom w:w="40" w:type="dxa"/>
              <w:right w:w="55" w:type="dxa"/>
            </w:tcMar>
            <w:vAlign w:val="center"/>
          </w:tcPr>
          <w:p w14:paraId="29F72E25" w14:textId="77777777" w:rsidR="00B44EF9" w:rsidRPr="0063577A" w:rsidRDefault="00000000" w:rsidP="0063577A">
            <w:pPr>
              <w:spacing w:line="360" w:lineRule="auto"/>
            </w:pPr>
            <w:r w:rsidRPr="0063577A">
              <w:t>Dashboard and escalation</w:t>
            </w:r>
          </w:p>
        </w:tc>
        <w:tc>
          <w:tcPr>
            <w:tcW w:w="1224" w:type="dxa"/>
            <w:shd w:val="clear" w:color="auto" w:fill="F7FAFC"/>
            <w:tcMar>
              <w:top w:w="40" w:type="dxa"/>
              <w:left w:w="55" w:type="dxa"/>
              <w:bottom w:w="40" w:type="dxa"/>
              <w:right w:w="55" w:type="dxa"/>
            </w:tcMar>
            <w:vAlign w:val="center"/>
          </w:tcPr>
          <w:p w14:paraId="0AB2137E" w14:textId="77777777" w:rsidR="00B44EF9" w:rsidRPr="0063577A" w:rsidRDefault="00000000" w:rsidP="0063577A">
            <w:pPr>
              <w:spacing w:line="360" w:lineRule="auto"/>
            </w:pPr>
            <w:r w:rsidRPr="0063577A">
              <w:t>Quality lead; data team</w:t>
            </w:r>
          </w:p>
        </w:tc>
        <w:tc>
          <w:tcPr>
            <w:tcW w:w="1800" w:type="dxa"/>
            <w:shd w:val="clear" w:color="auto" w:fill="F7FAFC"/>
            <w:tcMar>
              <w:top w:w="40" w:type="dxa"/>
              <w:left w:w="55" w:type="dxa"/>
              <w:bottom w:w="40" w:type="dxa"/>
              <w:right w:w="55" w:type="dxa"/>
            </w:tcMar>
            <w:vAlign w:val="center"/>
          </w:tcPr>
          <w:p w14:paraId="6CA27847" w14:textId="77777777" w:rsidR="00B44EF9" w:rsidRPr="0063577A" w:rsidRDefault="00000000" w:rsidP="0063577A">
            <w:pPr>
              <w:spacing w:line="360" w:lineRule="auto"/>
            </w:pPr>
            <w:r w:rsidRPr="0063577A">
              <w:t>Plan/Do; vision, communication, short wins</w:t>
            </w:r>
          </w:p>
        </w:tc>
        <w:tc>
          <w:tcPr>
            <w:tcW w:w="2664" w:type="dxa"/>
            <w:shd w:val="clear" w:color="auto" w:fill="F7FAFC"/>
            <w:tcMar>
              <w:top w:w="40" w:type="dxa"/>
              <w:left w:w="55" w:type="dxa"/>
              <w:bottom w:w="40" w:type="dxa"/>
              <w:right w:w="55" w:type="dxa"/>
            </w:tcMar>
            <w:vAlign w:val="center"/>
          </w:tcPr>
          <w:p w14:paraId="2FED1BC7" w14:textId="77777777" w:rsidR="00B44EF9" w:rsidRPr="0063577A" w:rsidRDefault="00000000" w:rsidP="0063577A">
            <w:pPr>
              <w:spacing w:line="360" w:lineRule="auto"/>
            </w:pPr>
            <w:r w:rsidRPr="0063577A">
              <w:t>Pilot dashboard. Targets: at least 95% data completeness; all outliers reviewed within 10 working days.</w:t>
            </w:r>
          </w:p>
        </w:tc>
        <w:tc>
          <w:tcPr>
            <w:tcW w:w="1944" w:type="dxa"/>
            <w:shd w:val="clear" w:color="auto" w:fill="F7FAFC"/>
            <w:tcMar>
              <w:top w:w="40" w:type="dxa"/>
              <w:left w:w="55" w:type="dxa"/>
              <w:bottom w:w="40" w:type="dxa"/>
              <w:right w:w="55" w:type="dxa"/>
            </w:tcMar>
            <w:vAlign w:val="center"/>
          </w:tcPr>
          <w:p w14:paraId="364F6EFF" w14:textId="77777777" w:rsidR="00B44EF9" w:rsidRPr="0063577A" w:rsidRDefault="00000000" w:rsidP="0063577A">
            <w:pPr>
              <w:spacing w:line="360" w:lineRule="auto"/>
            </w:pPr>
            <w:r w:rsidRPr="0063577A">
              <w:t>Exception reporting, metric owners and validation.</w:t>
            </w:r>
          </w:p>
        </w:tc>
      </w:tr>
      <w:tr w:rsidR="002D6F1C" w:rsidRPr="0063577A" w14:paraId="46CFC18B" w14:textId="77777777">
        <w:trPr>
          <w:cantSplit/>
          <w:jc w:val="center"/>
        </w:trPr>
        <w:tc>
          <w:tcPr>
            <w:tcW w:w="1440" w:type="dxa"/>
            <w:tcMar>
              <w:top w:w="40" w:type="dxa"/>
              <w:left w:w="55" w:type="dxa"/>
              <w:bottom w:w="40" w:type="dxa"/>
              <w:right w:w="55" w:type="dxa"/>
            </w:tcMar>
            <w:vAlign w:val="center"/>
          </w:tcPr>
          <w:p w14:paraId="67F35248" w14:textId="77777777" w:rsidR="00B44EF9" w:rsidRPr="0063577A" w:rsidRDefault="00000000" w:rsidP="0063577A">
            <w:pPr>
              <w:spacing w:line="360" w:lineRule="auto"/>
            </w:pPr>
            <w:r w:rsidRPr="0063577A">
              <w:t>External audit</w:t>
            </w:r>
          </w:p>
        </w:tc>
        <w:tc>
          <w:tcPr>
            <w:tcW w:w="1224" w:type="dxa"/>
            <w:tcMar>
              <w:top w:w="40" w:type="dxa"/>
              <w:left w:w="55" w:type="dxa"/>
              <w:bottom w:w="40" w:type="dxa"/>
              <w:right w:w="55" w:type="dxa"/>
            </w:tcMar>
            <w:vAlign w:val="center"/>
          </w:tcPr>
          <w:p w14:paraId="7CA8726A" w14:textId="77777777" w:rsidR="00B44EF9" w:rsidRPr="0063577A" w:rsidRDefault="00000000" w:rsidP="0063577A">
            <w:pPr>
              <w:spacing w:line="360" w:lineRule="auto"/>
            </w:pPr>
            <w:r w:rsidRPr="0063577A">
              <w:t>Medical director; network lead</w:t>
            </w:r>
          </w:p>
        </w:tc>
        <w:tc>
          <w:tcPr>
            <w:tcW w:w="1800" w:type="dxa"/>
            <w:tcMar>
              <w:top w:w="40" w:type="dxa"/>
              <w:left w:w="55" w:type="dxa"/>
              <w:bottom w:w="40" w:type="dxa"/>
              <w:right w:w="55" w:type="dxa"/>
            </w:tcMar>
            <w:vAlign w:val="center"/>
          </w:tcPr>
          <w:p w14:paraId="653A39AD" w14:textId="77777777" w:rsidR="00B44EF9" w:rsidRPr="0063577A" w:rsidRDefault="00000000" w:rsidP="0063577A">
            <w:pPr>
              <w:spacing w:line="360" w:lineRule="auto"/>
            </w:pPr>
            <w:r w:rsidRPr="0063577A">
              <w:t>Study/Act; coalition, acceleration, institution</w:t>
            </w:r>
          </w:p>
        </w:tc>
        <w:tc>
          <w:tcPr>
            <w:tcW w:w="2664" w:type="dxa"/>
            <w:tcMar>
              <w:top w:w="40" w:type="dxa"/>
              <w:left w:w="55" w:type="dxa"/>
              <w:bottom w:w="40" w:type="dxa"/>
              <w:right w:w="55" w:type="dxa"/>
            </w:tcMar>
            <w:vAlign w:val="center"/>
          </w:tcPr>
          <w:p w14:paraId="05C394B7" w14:textId="77777777" w:rsidR="00B44EF9" w:rsidRPr="0063577A" w:rsidRDefault="00000000" w:rsidP="0063577A">
            <w:pPr>
              <w:spacing w:line="360" w:lineRule="auto"/>
            </w:pPr>
            <w:r w:rsidRPr="0063577A">
              <w:t>Commission annual audit. Target: all actions assigned; at least 90% closed by due date.</w:t>
            </w:r>
          </w:p>
        </w:tc>
        <w:tc>
          <w:tcPr>
            <w:tcW w:w="1944" w:type="dxa"/>
            <w:tcMar>
              <w:top w:w="40" w:type="dxa"/>
              <w:left w:w="55" w:type="dxa"/>
              <w:bottom w:w="40" w:type="dxa"/>
              <w:right w:w="55" w:type="dxa"/>
            </w:tcMar>
            <w:vAlign w:val="center"/>
          </w:tcPr>
          <w:p w14:paraId="3B2CF56A" w14:textId="77777777" w:rsidR="00B44EF9" w:rsidRPr="0063577A" w:rsidRDefault="00000000" w:rsidP="0063577A">
            <w:pPr>
              <w:spacing w:line="360" w:lineRule="auto"/>
            </w:pPr>
            <w:r w:rsidRPr="0063577A">
              <w:t>Independent membership and evidence-based closure.</w:t>
            </w:r>
          </w:p>
        </w:tc>
      </w:tr>
      <w:tr w:rsidR="002D6F1C" w:rsidRPr="0063577A" w14:paraId="17BEBE76" w14:textId="77777777">
        <w:trPr>
          <w:cantSplit/>
          <w:jc w:val="center"/>
        </w:trPr>
        <w:tc>
          <w:tcPr>
            <w:tcW w:w="1440" w:type="dxa"/>
            <w:shd w:val="clear" w:color="auto" w:fill="F7FAFC"/>
            <w:tcMar>
              <w:top w:w="40" w:type="dxa"/>
              <w:left w:w="55" w:type="dxa"/>
              <w:bottom w:w="40" w:type="dxa"/>
              <w:right w:w="55" w:type="dxa"/>
            </w:tcMar>
            <w:vAlign w:val="center"/>
          </w:tcPr>
          <w:p w14:paraId="2B40C9C3" w14:textId="77777777" w:rsidR="00B44EF9" w:rsidRPr="0063577A" w:rsidRDefault="00000000" w:rsidP="0063577A">
            <w:pPr>
              <w:spacing w:line="360" w:lineRule="auto"/>
            </w:pPr>
            <w:r w:rsidRPr="0063577A">
              <w:t>Governance</w:t>
            </w:r>
          </w:p>
        </w:tc>
        <w:tc>
          <w:tcPr>
            <w:tcW w:w="1224" w:type="dxa"/>
            <w:shd w:val="clear" w:color="auto" w:fill="F7FAFC"/>
            <w:tcMar>
              <w:top w:w="40" w:type="dxa"/>
              <w:left w:w="55" w:type="dxa"/>
              <w:bottom w:w="40" w:type="dxa"/>
              <w:right w:w="55" w:type="dxa"/>
            </w:tcMar>
            <w:vAlign w:val="center"/>
          </w:tcPr>
          <w:p w14:paraId="6F8916A1" w14:textId="77777777" w:rsidR="00B44EF9" w:rsidRPr="0063577A" w:rsidRDefault="00000000" w:rsidP="0063577A">
            <w:pPr>
              <w:spacing w:line="360" w:lineRule="auto"/>
            </w:pPr>
            <w:r w:rsidRPr="0063577A">
              <w:t>Board quality committee</w:t>
            </w:r>
          </w:p>
        </w:tc>
        <w:tc>
          <w:tcPr>
            <w:tcW w:w="1800" w:type="dxa"/>
            <w:shd w:val="clear" w:color="auto" w:fill="F7FAFC"/>
            <w:tcMar>
              <w:top w:w="40" w:type="dxa"/>
              <w:left w:w="55" w:type="dxa"/>
              <w:bottom w:w="40" w:type="dxa"/>
              <w:right w:w="55" w:type="dxa"/>
            </w:tcMar>
            <w:vAlign w:val="center"/>
          </w:tcPr>
          <w:p w14:paraId="793601B1" w14:textId="77777777" w:rsidR="00B44EF9" w:rsidRPr="0063577A" w:rsidRDefault="00000000" w:rsidP="0063577A">
            <w:pPr>
              <w:spacing w:line="360" w:lineRule="auto"/>
            </w:pPr>
            <w:r w:rsidRPr="0063577A">
              <w:t>Study/Act; barriers, acceleration, institution</w:t>
            </w:r>
          </w:p>
        </w:tc>
        <w:tc>
          <w:tcPr>
            <w:tcW w:w="2664" w:type="dxa"/>
            <w:shd w:val="clear" w:color="auto" w:fill="F7FAFC"/>
            <w:tcMar>
              <w:top w:w="40" w:type="dxa"/>
              <w:left w:w="55" w:type="dxa"/>
              <w:bottom w:w="40" w:type="dxa"/>
              <w:right w:w="55" w:type="dxa"/>
            </w:tcMar>
            <w:vAlign w:val="center"/>
          </w:tcPr>
          <w:p w14:paraId="27EBD006" w14:textId="77777777" w:rsidR="00B44EF9" w:rsidRPr="0063577A" w:rsidRDefault="00000000" w:rsidP="0063577A">
            <w:pPr>
              <w:spacing w:line="360" w:lineRule="auto"/>
            </w:pPr>
            <w:r w:rsidRPr="0063577A">
              <w:t>Monthly report. Targets: all red risks escalated in-cycle; fewer than 10% actions overdue.</w:t>
            </w:r>
          </w:p>
        </w:tc>
        <w:tc>
          <w:tcPr>
            <w:tcW w:w="1944" w:type="dxa"/>
            <w:shd w:val="clear" w:color="auto" w:fill="F7FAFC"/>
            <w:tcMar>
              <w:top w:w="40" w:type="dxa"/>
              <w:left w:w="55" w:type="dxa"/>
              <w:bottom w:w="40" w:type="dxa"/>
              <w:right w:w="55" w:type="dxa"/>
            </w:tcMar>
            <w:vAlign w:val="center"/>
          </w:tcPr>
          <w:p w14:paraId="1C983F3D" w14:textId="77777777" w:rsidR="00B44EF9" w:rsidRPr="0063577A" w:rsidRDefault="00000000" w:rsidP="0063577A">
            <w:pPr>
              <w:spacing w:line="360" w:lineRule="auto"/>
            </w:pPr>
            <w:r w:rsidRPr="0063577A">
              <w:t>Non-executive challenge and named owners.</w:t>
            </w:r>
          </w:p>
        </w:tc>
      </w:tr>
      <w:tr w:rsidR="00B44EF9" w:rsidRPr="0063577A" w14:paraId="54EEB9C8" w14:textId="77777777">
        <w:trPr>
          <w:cantSplit/>
          <w:jc w:val="center"/>
        </w:trPr>
        <w:tc>
          <w:tcPr>
            <w:tcW w:w="1440" w:type="dxa"/>
            <w:tcMar>
              <w:top w:w="40" w:type="dxa"/>
              <w:left w:w="55" w:type="dxa"/>
              <w:bottom w:w="40" w:type="dxa"/>
              <w:right w:w="55" w:type="dxa"/>
            </w:tcMar>
            <w:vAlign w:val="center"/>
          </w:tcPr>
          <w:p w14:paraId="0B9D6A4B" w14:textId="77777777" w:rsidR="00B44EF9" w:rsidRPr="0063577A" w:rsidRDefault="00000000" w:rsidP="0063577A">
            <w:pPr>
              <w:spacing w:line="360" w:lineRule="auto"/>
            </w:pPr>
            <w:r w:rsidRPr="0063577A">
              <w:t>Family information</w:t>
            </w:r>
          </w:p>
        </w:tc>
        <w:tc>
          <w:tcPr>
            <w:tcW w:w="1224" w:type="dxa"/>
            <w:tcMar>
              <w:top w:w="40" w:type="dxa"/>
              <w:left w:w="55" w:type="dxa"/>
              <w:bottom w:w="40" w:type="dxa"/>
              <w:right w:w="55" w:type="dxa"/>
            </w:tcMar>
            <w:vAlign w:val="center"/>
          </w:tcPr>
          <w:p w14:paraId="31038648" w14:textId="77777777" w:rsidR="00B44EF9" w:rsidRPr="0063577A" w:rsidRDefault="00000000" w:rsidP="0063577A">
            <w:pPr>
              <w:spacing w:line="360" w:lineRule="auto"/>
            </w:pPr>
            <w:r w:rsidRPr="0063577A">
              <w:t xml:space="preserve">Clinical and experience </w:t>
            </w:r>
            <w:proofErr w:type="gramStart"/>
            <w:r w:rsidRPr="0063577A">
              <w:t>leads</w:t>
            </w:r>
            <w:proofErr w:type="gramEnd"/>
          </w:p>
        </w:tc>
        <w:tc>
          <w:tcPr>
            <w:tcW w:w="1800" w:type="dxa"/>
            <w:tcMar>
              <w:top w:w="40" w:type="dxa"/>
              <w:left w:w="55" w:type="dxa"/>
              <w:bottom w:w="40" w:type="dxa"/>
              <w:right w:w="55" w:type="dxa"/>
            </w:tcMar>
            <w:vAlign w:val="center"/>
          </w:tcPr>
          <w:p w14:paraId="6F43331F" w14:textId="77777777" w:rsidR="00B44EF9" w:rsidRPr="0063577A" w:rsidRDefault="00000000" w:rsidP="0063577A">
            <w:pPr>
              <w:spacing w:line="360" w:lineRule="auto"/>
            </w:pPr>
            <w:r w:rsidRPr="0063577A">
              <w:t>Plan/Do/Study; vision, communication, short wins</w:t>
            </w:r>
          </w:p>
        </w:tc>
        <w:tc>
          <w:tcPr>
            <w:tcW w:w="2664" w:type="dxa"/>
            <w:tcMar>
              <w:top w:w="40" w:type="dxa"/>
              <w:left w:w="55" w:type="dxa"/>
              <w:bottom w:w="40" w:type="dxa"/>
              <w:right w:w="55" w:type="dxa"/>
            </w:tcMar>
            <w:vAlign w:val="center"/>
          </w:tcPr>
          <w:p w14:paraId="000D2A98" w14:textId="77777777" w:rsidR="00B44EF9" w:rsidRPr="0063577A" w:rsidRDefault="00000000" w:rsidP="0063577A">
            <w:pPr>
              <w:spacing w:line="360" w:lineRule="auto"/>
            </w:pPr>
            <w:r w:rsidRPr="0063577A">
              <w:t>Pilot teach-back. Target: at least 90% of sampled records document risks, alternatives and second opinions.</w:t>
            </w:r>
          </w:p>
        </w:tc>
        <w:tc>
          <w:tcPr>
            <w:tcW w:w="1944" w:type="dxa"/>
            <w:tcMar>
              <w:top w:w="40" w:type="dxa"/>
              <w:left w:w="55" w:type="dxa"/>
              <w:bottom w:w="40" w:type="dxa"/>
              <w:right w:w="55" w:type="dxa"/>
            </w:tcMar>
            <w:vAlign w:val="center"/>
          </w:tcPr>
          <w:p w14:paraId="1427C64A" w14:textId="77777777" w:rsidR="00B44EF9" w:rsidRPr="0063577A" w:rsidRDefault="00000000" w:rsidP="0063577A">
            <w:pPr>
              <w:spacing w:line="360" w:lineRule="auto"/>
            </w:pPr>
            <w:r w:rsidRPr="0063577A">
              <w:t>Accessible formats, interpreters and family testing.</w:t>
            </w:r>
          </w:p>
        </w:tc>
      </w:tr>
    </w:tbl>
    <w:p w14:paraId="655A1E4A" w14:textId="77777777" w:rsidR="002D6F1C" w:rsidRDefault="00000000">
      <w:pPr>
        <w:spacing w:after="80" w:line="240" w:lineRule="auto"/>
        <w:jc w:val="center"/>
      </w:pPr>
      <w:r>
        <w:rPr>
          <w:i/>
          <w:sz w:val="18"/>
        </w:rPr>
        <w:t>Source: Author synthesis based on NHS England (2016; 2023a), Taylor et al. (2014), Reed and Card (2016), Kotter (1995; 2012), NICE (2021), GMC (2024), NHS England and NHS Improvement (2019), Kaplan et al. (2012) and NICOR (2025).</w:t>
      </w:r>
    </w:p>
    <w:p w14:paraId="4D48F571" w14:textId="77777777" w:rsidR="002D6F1C" w:rsidRDefault="00000000">
      <w:pPr>
        <w:spacing w:after="120" w:line="360" w:lineRule="auto"/>
        <w:jc w:val="both"/>
      </w:pPr>
      <w:r>
        <w:t>Table 4 assigns ownership, targets and implementation risk.</w:t>
      </w:r>
    </w:p>
    <w:p w14:paraId="02FCD3DC" w14:textId="3833B3D6" w:rsidR="002D6F1C" w:rsidRPr="0063577A" w:rsidRDefault="00000000" w:rsidP="00A43FDE">
      <w:pPr>
        <w:pStyle w:val="Heading1"/>
        <w:spacing w:before="200" w:after="100"/>
        <w:rPr>
          <w:rFonts w:ascii="Arial" w:hAnsi="Arial" w:cs="Arial"/>
          <w:color w:val="000000" w:themeColor="text1"/>
        </w:rPr>
      </w:pPr>
      <w:bookmarkStart w:id="19" w:name="_Toc235719386"/>
      <w:bookmarkStart w:id="20" w:name="_Toc235272007"/>
      <w:r w:rsidRPr="0063577A">
        <w:rPr>
          <w:rFonts w:ascii="Arial" w:eastAsia="Arial" w:hAnsi="Arial" w:cs="Arial"/>
          <w:color w:val="000000" w:themeColor="text1"/>
        </w:rPr>
        <w:lastRenderedPageBreak/>
        <w:t>5. Benchmarking</w:t>
      </w:r>
      <w:bookmarkEnd w:id="19"/>
      <w:r w:rsidRPr="0063577A">
        <w:rPr>
          <w:rFonts w:ascii="Arial" w:eastAsia="Arial" w:hAnsi="Arial" w:cs="Arial"/>
          <w:color w:val="000000" w:themeColor="text1"/>
        </w:rPr>
        <w:t xml:space="preserve"> </w:t>
      </w:r>
      <w:bookmarkEnd w:id="20"/>
    </w:p>
    <w:p w14:paraId="340ADEBA" w14:textId="2C17AFE0" w:rsidR="007B754B" w:rsidRDefault="007B754B">
      <w:pPr>
        <w:spacing w:after="120" w:line="360" w:lineRule="auto"/>
        <w:jc w:val="both"/>
      </w:pPr>
      <w:r w:rsidRPr="007B754B">
        <w:t>Component 1 identified failure to compare performance and act early. The assurance themes are further developed with current comparators and proposed local 12-month targets in Table 5. These are implementation indicators but not national requirements, transforming the Bristol gaps into an activity that can be tracked and improved with the help of PDSA (Kennedy, 2001; Keogh et al., 2004; NHS England, 2016; NICOR, 2025).</w:t>
      </w:r>
      <w:r w:rsidR="0063577A" w:rsidRPr="0063577A">
        <w:t xml:space="preserve"> </w:t>
      </w:r>
      <w:r w:rsidR="0063577A">
        <w:t>Table 5 links data with response times, independent scrutiny, family communication and board ownership.</w:t>
      </w:r>
    </w:p>
    <w:p w14:paraId="2F0D685A" w14:textId="77777777" w:rsidR="002D6F1C" w:rsidRDefault="00000000" w:rsidP="0063577A">
      <w:pPr>
        <w:spacing w:after="60" w:line="240" w:lineRule="auto"/>
      </w:pPr>
      <w:r>
        <w:rPr>
          <w:b/>
          <w:sz w:val="21"/>
        </w:rPr>
        <w:t>Table 5. Benchmarking against current standards with proposed local targets.</w:t>
      </w:r>
    </w:p>
    <w:tbl>
      <w:tblPr>
        <w:tblStyle w:val="TableGrid"/>
        <w:tblW w:w="0" w:type="auto"/>
        <w:jc w:val="center"/>
        <w:tblLayout w:type="fixed"/>
        <w:tblLook w:val="04A0" w:firstRow="1" w:lastRow="0" w:firstColumn="1" w:lastColumn="0" w:noHBand="0" w:noVBand="1"/>
      </w:tblPr>
      <w:tblGrid>
        <w:gridCol w:w="1296"/>
        <w:gridCol w:w="2664"/>
        <w:gridCol w:w="2088"/>
        <w:gridCol w:w="3024"/>
      </w:tblGrid>
      <w:tr w:rsidR="002D6F1C" w:rsidRPr="0063577A" w14:paraId="0301362B" w14:textId="77777777">
        <w:trPr>
          <w:tblHeader/>
          <w:jc w:val="center"/>
        </w:trPr>
        <w:tc>
          <w:tcPr>
            <w:tcW w:w="1296" w:type="dxa"/>
            <w:shd w:val="clear" w:color="auto" w:fill="D9EAF7"/>
            <w:tcMar>
              <w:top w:w="70" w:type="dxa"/>
              <w:left w:w="70" w:type="dxa"/>
              <w:bottom w:w="70" w:type="dxa"/>
              <w:right w:w="70" w:type="dxa"/>
            </w:tcMar>
            <w:vAlign w:val="center"/>
          </w:tcPr>
          <w:p w14:paraId="30690F07" w14:textId="77777777" w:rsidR="00B44EF9" w:rsidRPr="0063577A" w:rsidRDefault="00000000" w:rsidP="0063577A">
            <w:pPr>
              <w:spacing w:line="360" w:lineRule="auto"/>
              <w:rPr>
                <w:szCs w:val="24"/>
              </w:rPr>
            </w:pPr>
            <w:r w:rsidRPr="0063577A">
              <w:rPr>
                <w:b/>
                <w:szCs w:val="24"/>
              </w:rPr>
              <w:t>Indicator</w:t>
            </w:r>
          </w:p>
        </w:tc>
        <w:tc>
          <w:tcPr>
            <w:tcW w:w="2664" w:type="dxa"/>
            <w:shd w:val="clear" w:color="auto" w:fill="D9EAF7"/>
            <w:tcMar>
              <w:top w:w="70" w:type="dxa"/>
              <w:left w:w="70" w:type="dxa"/>
              <w:bottom w:w="70" w:type="dxa"/>
              <w:right w:w="70" w:type="dxa"/>
            </w:tcMar>
            <w:vAlign w:val="center"/>
          </w:tcPr>
          <w:p w14:paraId="49723A36" w14:textId="77777777" w:rsidR="00B44EF9" w:rsidRPr="0063577A" w:rsidRDefault="00000000" w:rsidP="0063577A">
            <w:pPr>
              <w:spacing w:line="360" w:lineRule="auto"/>
              <w:rPr>
                <w:szCs w:val="24"/>
              </w:rPr>
            </w:pPr>
            <w:r w:rsidRPr="0063577A">
              <w:rPr>
                <w:b/>
                <w:szCs w:val="24"/>
              </w:rPr>
              <w:t>Current comparator</w:t>
            </w:r>
          </w:p>
        </w:tc>
        <w:tc>
          <w:tcPr>
            <w:tcW w:w="2088" w:type="dxa"/>
            <w:shd w:val="clear" w:color="auto" w:fill="D9EAF7"/>
            <w:tcMar>
              <w:top w:w="70" w:type="dxa"/>
              <w:left w:w="70" w:type="dxa"/>
              <w:bottom w:w="70" w:type="dxa"/>
              <w:right w:w="70" w:type="dxa"/>
            </w:tcMar>
            <w:vAlign w:val="center"/>
          </w:tcPr>
          <w:p w14:paraId="3E300C13" w14:textId="77777777" w:rsidR="00B44EF9" w:rsidRPr="0063577A" w:rsidRDefault="00000000" w:rsidP="0063577A">
            <w:pPr>
              <w:spacing w:line="360" w:lineRule="auto"/>
              <w:rPr>
                <w:szCs w:val="24"/>
              </w:rPr>
            </w:pPr>
            <w:r w:rsidRPr="0063577A">
              <w:rPr>
                <w:b/>
                <w:szCs w:val="24"/>
              </w:rPr>
              <w:t>Historical gap</w:t>
            </w:r>
          </w:p>
        </w:tc>
        <w:tc>
          <w:tcPr>
            <w:tcW w:w="3024" w:type="dxa"/>
            <w:shd w:val="clear" w:color="auto" w:fill="D9EAF7"/>
            <w:tcMar>
              <w:top w:w="70" w:type="dxa"/>
              <w:left w:w="70" w:type="dxa"/>
              <w:bottom w:w="70" w:type="dxa"/>
              <w:right w:w="70" w:type="dxa"/>
            </w:tcMar>
            <w:vAlign w:val="center"/>
          </w:tcPr>
          <w:p w14:paraId="544C024D" w14:textId="77777777" w:rsidR="00B44EF9" w:rsidRPr="0063577A" w:rsidRDefault="00000000" w:rsidP="0063577A">
            <w:pPr>
              <w:spacing w:line="360" w:lineRule="auto"/>
              <w:rPr>
                <w:szCs w:val="24"/>
              </w:rPr>
            </w:pPr>
            <w:r w:rsidRPr="0063577A">
              <w:rPr>
                <w:b/>
                <w:szCs w:val="24"/>
              </w:rPr>
              <w:t>Proposed local 12-month target</w:t>
            </w:r>
          </w:p>
        </w:tc>
      </w:tr>
      <w:tr w:rsidR="002D6F1C" w:rsidRPr="0063577A" w14:paraId="32ED3B98" w14:textId="77777777">
        <w:trPr>
          <w:jc w:val="center"/>
        </w:trPr>
        <w:tc>
          <w:tcPr>
            <w:tcW w:w="1296" w:type="dxa"/>
            <w:tcMar>
              <w:top w:w="70" w:type="dxa"/>
              <w:left w:w="70" w:type="dxa"/>
              <w:bottom w:w="70" w:type="dxa"/>
              <w:right w:w="70" w:type="dxa"/>
            </w:tcMar>
            <w:vAlign w:val="center"/>
          </w:tcPr>
          <w:p w14:paraId="6087BC34" w14:textId="77777777" w:rsidR="00B44EF9" w:rsidRPr="0063577A" w:rsidRDefault="00000000" w:rsidP="0063577A">
            <w:pPr>
              <w:spacing w:line="360" w:lineRule="auto"/>
              <w:rPr>
                <w:szCs w:val="24"/>
              </w:rPr>
            </w:pPr>
            <w:r w:rsidRPr="0063577A">
              <w:rPr>
                <w:szCs w:val="24"/>
              </w:rPr>
              <w:t>Outcome monitoring</w:t>
            </w:r>
          </w:p>
        </w:tc>
        <w:tc>
          <w:tcPr>
            <w:tcW w:w="2664" w:type="dxa"/>
            <w:tcMar>
              <w:top w:w="70" w:type="dxa"/>
              <w:left w:w="70" w:type="dxa"/>
              <w:bottom w:w="70" w:type="dxa"/>
              <w:right w:w="70" w:type="dxa"/>
            </w:tcMar>
            <w:vAlign w:val="center"/>
          </w:tcPr>
          <w:p w14:paraId="524BF3A7" w14:textId="77777777" w:rsidR="00B44EF9" w:rsidRPr="0063577A" w:rsidRDefault="00000000" w:rsidP="0063577A">
            <w:pPr>
              <w:spacing w:line="360" w:lineRule="auto"/>
              <w:rPr>
                <w:szCs w:val="24"/>
              </w:rPr>
            </w:pPr>
            <w:r w:rsidRPr="0063577A">
              <w:rPr>
                <w:szCs w:val="24"/>
              </w:rPr>
              <w:t>NCHDA risk-adjusted 30-day mortality versus national performance.</w:t>
            </w:r>
          </w:p>
        </w:tc>
        <w:tc>
          <w:tcPr>
            <w:tcW w:w="2088" w:type="dxa"/>
            <w:tcMar>
              <w:top w:w="70" w:type="dxa"/>
              <w:left w:w="70" w:type="dxa"/>
              <w:bottom w:w="70" w:type="dxa"/>
              <w:right w:w="70" w:type="dxa"/>
            </w:tcMar>
            <w:vAlign w:val="center"/>
          </w:tcPr>
          <w:p w14:paraId="46CF3991" w14:textId="77777777" w:rsidR="00B44EF9" w:rsidRPr="0063577A" w:rsidRDefault="00000000" w:rsidP="0063577A">
            <w:pPr>
              <w:spacing w:line="360" w:lineRule="auto"/>
              <w:rPr>
                <w:szCs w:val="24"/>
              </w:rPr>
            </w:pPr>
            <w:r w:rsidRPr="0063577A">
              <w:rPr>
                <w:szCs w:val="24"/>
              </w:rPr>
              <w:t>Signals were not acted on promptly.</w:t>
            </w:r>
          </w:p>
        </w:tc>
        <w:tc>
          <w:tcPr>
            <w:tcW w:w="3024" w:type="dxa"/>
            <w:tcMar>
              <w:top w:w="70" w:type="dxa"/>
              <w:left w:w="70" w:type="dxa"/>
              <w:bottom w:w="70" w:type="dxa"/>
              <w:right w:w="70" w:type="dxa"/>
            </w:tcMar>
            <w:vAlign w:val="center"/>
          </w:tcPr>
          <w:p w14:paraId="16E038BC" w14:textId="77777777" w:rsidR="00B44EF9" w:rsidRPr="0063577A" w:rsidRDefault="00000000" w:rsidP="0063577A">
            <w:pPr>
              <w:spacing w:line="360" w:lineRule="auto"/>
              <w:rPr>
                <w:szCs w:val="24"/>
              </w:rPr>
            </w:pPr>
            <w:r w:rsidRPr="0063577A">
              <w:rPr>
                <w:szCs w:val="24"/>
              </w:rPr>
              <w:t>Monthly review in every cycle; all outliers reviewed within 10 working days.</w:t>
            </w:r>
          </w:p>
        </w:tc>
      </w:tr>
      <w:tr w:rsidR="002D6F1C" w:rsidRPr="0063577A" w14:paraId="52E15389" w14:textId="77777777">
        <w:trPr>
          <w:jc w:val="center"/>
        </w:trPr>
        <w:tc>
          <w:tcPr>
            <w:tcW w:w="1296" w:type="dxa"/>
            <w:shd w:val="clear" w:color="auto" w:fill="F7FAFC"/>
            <w:tcMar>
              <w:top w:w="70" w:type="dxa"/>
              <w:left w:w="70" w:type="dxa"/>
              <w:bottom w:w="70" w:type="dxa"/>
              <w:right w:w="70" w:type="dxa"/>
            </w:tcMar>
            <w:vAlign w:val="center"/>
          </w:tcPr>
          <w:p w14:paraId="52141201" w14:textId="77777777" w:rsidR="00B44EF9" w:rsidRPr="0063577A" w:rsidRDefault="00000000" w:rsidP="0063577A">
            <w:pPr>
              <w:spacing w:line="360" w:lineRule="auto"/>
              <w:rPr>
                <w:szCs w:val="24"/>
              </w:rPr>
            </w:pPr>
            <w:r w:rsidRPr="0063577A">
              <w:rPr>
                <w:szCs w:val="24"/>
              </w:rPr>
              <w:t>Audit and external review</w:t>
            </w:r>
          </w:p>
        </w:tc>
        <w:tc>
          <w:tcPr>
            <w:tcW w:w="2664" w:type="dxa"/>
            <w:shd w:val="clear" w:color="auto" w:fill="F7FAFC"/>
            <w:tcMar>
              <w:top w:w="70" w:type="dxa"/>
              <w:left w:w="70" w:type="dxa"/>
              <w:bottom w:w="70" w:type="dxa"/>
              <w:right w:w="70" w:type="dxa"/>
            </w:tcMar>
            <w:vAlign w:val="center"/>
          </w:tcPr>
          <w:p w14:paraId="67039DC2" w14:textId="77777777" w:rsidR="00B44EF9" w:rsidRPr="0063577A" w:rsidRDefault="00000000" w:rsidP="0063577A">
            <w:pPr>
              <w:spacing w:line="360" w:lineRule="auto"/>
              <w:rPr>
                <w:szCs w:val="24"/>
              </w:rPr>
            </w:pPr>
            <w:r w:rsidRPr="0063577A">
              <w:rPr>
                <w:szCs w:val="24"/>
              </w:rPr>
              <w:t>NHS CHD standards require governance and audit.</w:t>
            </w:r>
          </w:p>
        </w:tc>
        <w:tc>
          <w:tcPr>
            <w:tcW w:w="2088" w:type="dxa"/>
            <w:shd w:val="clear" w:color="auto" w:fill="F7FAFC"/>
            <w:tcMar>
              <w:top w:w="70" w:type="dxa"/>
              <w:left w:w="70" w:type="dxa"/>
              <w:bottom w:w="70" w:type="dxa"/>
              <w:right w:w="70" w:type="dxa"/>
            </w:tcMar>
            <w:vAlign w:val="center"/>
          </w:tcPr>
          <w:p w14:paraId="10C7FCD0" w14:textId="77777777" w:rsidR="00B44EF9" w:rsidRPr="0063577A" w:rsidRDefault="00000000" w:rsidP="0063577A">
            <w:pPr>
              <w:spacing w:line="360" w:lineRule="auto"/>
              <w:rPr>
                <w:szCs w:val="24"/>
              </w:rPr>
            </w:pPr>
            <w:r w:rsidRPr="0063577A">
              <w:rPr>
                <w:szCs w:val="24"/>
              </w:rPr>
              <w:t>Audit did not force change.</w:t>
            </w:r>
          </w:p>
        </w:tc>
        <w:tc>
          <w:tcPr>
            <w:tcW w:w="3024" w:type="dxa"/>
            <w:shd w:val="clear" w:color="auto" w:fill="F7FAFC"/>
            <w:tcMar>
              <w:top w:w="70" w:type="dxa"/>
              <w:left w:w="70" w:type="dxa"/>
              <w:bottom w:w="70" w:type="dxa"/>
              <w:right w:w="70" w:type="dxa"/>
            </w:tcMar>
            <w:vAlign w:val="center"/>
          </w:tcPr>
          <w:p w14:paraId="633A692A" w14:textId="77777777" w:rsidR="00B44EF9" w:rsidRPr="0063577A" w:rsidRDefault="00000000" w:rsidP="0063577A">
            <w:pPr>
              <w:spacing w:line="360" w:lineRule="auto"/>
              <w:rPr>
                <w:szCs w:val="24"/>
              </w:rPr>
            </w:pPr>
            <w:r w:rsidRPr="0063577A">
              <w:rPr>
                <w:szCs w:val="24"/>
              </w:rPr>
              <w:t>Annual independent MDT audit; all actions assigned and at least 90% closed on time.</w:t>
            </w:r>
          </w:p>
        </w:tc>
      </w:tr>
      <w:tr w:rsidR="002D6F1C" w:rsidRPr="0063577A" w14:paraId="62AAD85C" w14:textId="77777777">
        <w:trPr>
          <w:jc w:val="center"/>
        </w:trPr>
        <w:tc>
          <w:tcPr>
            <w:tcW w:w="1296" w:type="dxa"/>
            <w:tcMar>
              <w:top w:w="70" w:type="dxa"/>
              <w:left w:w="70" w:type="dxa"/>
              <w:bottom w:w="70" w:type="dxa"/>
              <w:right w:w="70" w:type="dxa"/>
            </w:tcMar>
            <w:vAlign w:val="center"/>
          </w:tcPr>
          <w:p w14:paraId="294EA276" w14:textId="77777777" w:rsidR="00B44EF9" w:rsidRPr="0063577A" w:rsidRDefault="00000000" w:rsidP="0063577A">
            <w:pPr>
              <w:spacing w:line="360" w:lineRule="auto"/>
              <w:rPr>
                <w:szCs w:val="24"/>
              </w:rPr>
            </w:pPr>
            <w:r w:rsidRPr="0063577A">
              <w:rPr>
                <w:szCs w:val="24"/>
              </w:rPr>
              <w:t>Escalation and speaking up</w:t>
            </w:r>
          </w:p>
        </w:tc>
        <w:tc>
          <w:tcPr>
            <w:tcW w:w="2664" w:type="dxa"/>
            <w:tcMar>
              <w:top w:w="70" w:type="dxa"/>
              <w:left w:w="70" w:type="dxa"/>
              <w:bottom w:w="70" w:type="dxa"/>
              <w:right w:w="70" w:type="dxa"/>
            </w:tcMar>
            <w:vAlign w:val="center"/>
          </w:tcPr>
          <w:p w14:paraId="48BB4DBA" w14:textId="77777777" w:rsidR="00B44EF9" w:rsidRPr="0063577A" w:rsidRDefault="00000000" w:rsidP="0063577A">
            <w:pPr>
              <w:spacing w:line="360" w:lineRule="auto"/>
              <w:rPr>
                <w:szCs w:val="24"/>
              </w:rPr>
            </w:pPr>
            <w:r w:rsidRPr="0063577A">
              <w:rPr>
                <w:szCs w:val="24"/>
              </w:rPr>
              <w:t>PSIRF and Regulation 17 require learning and accountable governance.</w:t>
            </w:r>
          </w:p>
        </w:tc>
        <w:tc>
          <w:tcPr>
            <w:tcW w:w="2088" w:type="dxa"/>
            <w:tcMar>
              <w:top w:w="70" w:type="dxa"/>
              <w:left w:w="70" w:type="dxa"/>
              <w:bottom w:w="70" w:type="dxa"/>
              <w:right w:w="70" w:type="dxa"/>
            </w:tcMar>
            <w:vAlign w:val="center"/>
          </w:tcPr>
          <w:p w14:paraId="54A1AFA3" w14:textId="77777777" w:rsidR="00B44EF9" w:rsidRPr="0063577A" w:rsidRDefault="00000000" w:rsidP="0063577A">
            <w:pPr>
              <w:spacing w:line="360" w:lineRule="auto"/>
              <w:rPr>
                <w:szCs w:val="24"/>
              </w:rPr>
            </w:pPr>
            <w:r w:rsidRPr="0063577A">
              <w:rPr>
                <w:szCs w:val="24"/>
              </w:rPr>
              <w:t>Hierarchy slowed action.</w:t>
            </w:r>
          </w:p>
        </w:tc>
        <w:tc>
          <w:tcPr>
            <w:tcW w:w="3024" w:type="dxa"/>
            <w:tcMar>
              <w:top w:w="70" w:type="dxa"/>
              <w:left w:w="70" w:type="dxa"/>
              <w:bottom w:w="70" w:type="dxa"/>
              <w:right w:w="70" w:type="dxa"/>
            </w:tcMar>
            <w:vAlign w:val="center"/>
          </w:tcPr>
          <w:p w14:paraId="59DBDC9A" w14:textId="77777777" w:rsidR="00B44EF9" w:rsidRPr="0063577A" w:rsidRDefault="00000000" w:rsidP="0063577A">
            <w:pPr>
              <w:spacing w:line="360" w:lineRule="auto"/>
              <w:rPr>
                <w:szCs w:val="24"/>
              </w:rPr>
            </w:pPr>
            <w:r w:rsidRPr="0063577A">
              <w:rPr>
                <w:szCs w:val="24"/>
              </w:rPr>
              <w:t>Concerns acknowledged within 2 working days and reviewed within 10; red risks escalated in-cycle.</w:t>
            </w:r>
          </w:p>
        </w:tc>
      </w:tr>
      <w:tr w:rsidR="002D6F1C" w:rsidRPr="0063577A" w14:paraId="5D7E38DD" w14:textId="77777777">
        <w:trPr>
          <w:jc w:val="center"/>
        </w:trPr>
        <w:tc>
          <w:tcPr>
            <w:tcW w:w="1296" w:type="dxa"/>
            <w:shd w:val="clear" w:color="auto" w:fill="F7FAFC"/>
            <w:tcMar>
              <w:top w:w="70" w:type="dxa"/>
              <w:left w:w="70" w:type="dxa"/>
              <w:bottom w:w="70" w:type="dxa"/>
              <w:right w:w="70" w:type="dxa"/>
            </w:tcMar>
            <w:vAlign w:val="center"/>
          </w:tcPr>
          <w:p w14:paraId="4F3B2826" w14:textId="77777777" w:rsidR="00B44EF9" w:rsidRPr="0063577A" w:rsidRDefault="00000000" w:rsidP="0063577A">
            <w:pPr>
              <w:spacing w:line="360" w:lineRule="auto"/>
              <w:rPr>
                <w:szCs w:val="24"/>
              </w:rPr>
            </w:pPr>
            <w:r w:rsidRPr="0063577A">
              <w:rPr>
                <w:szCs w:val="24"/>
              </w:rPr>
              <w:t>Parent information</w:t>
            </w:r>
          </w:p>
        </w:tc>
        <w:tc>
          <w:tcPr>
            <w:tcW w:w="2664" w:type="dxa"/>
            <w:shd w:val="clear" w:color="auto" w:fill="F7FAFC"/>
            <w:tcMar>
              <w:top w:w="70" w:type="dxa"/>
              <w:left w:w="70" w:type="dxa"/>
              <w:bottom w:w="70" w:type="dxa"/>
              <w:right w:w="70" w:type="dxa"/>
            </w:tcMar>
            <w:vAlign w:val="center"/>
          </w:tcPr>
          <w:p w14:paraId="2B8014C5" w14:textId="77777777" w:rsidR="00B44EF9" w:rsidRPr="0063577A" w:rsidRDefault="00000000" w:rsidP="0063577A">
            <w:pPr>
              <w:spacing w:line="360" w:lineRule="auto"/>
              <w:rPr>
                <w:szCs w:val="24"/>
              </w:rPr>
            </w:pPr>
            <w:r w:rsidRPr="0063577A">
              <w:rPr>
                <w:szCs w:val="24"/>
              </w:rPr>
              <w:t>CHD standards and NICE NG197 require clear, shared decisions.</w:t>
            </w:r>
          </w:p>
        </w:tc>
        <w:tc>
          <w:tcPr>
            <w:tcW w:w="2088" w:type="dxa"/>
            <w:shd w:val="clear" w:color="auto" w:fill="F7FAFC"/>
            <w:tcMar>
              <w:top w:w="70" w:type="dxa"/>
              <w:left w:w="70" w:type="dxa"/>
              <w:bottom w:w="70" w:type="dxa"/>
              <w:right w:w="70" w:type="dxa"/>
            </w:tcMar>
            <w:vAlign w:val="center"/>
          </w:tcPr>
          <w:p w14:paraId="6BA990AC" w14:textId="77777777" w:rsidR="00B44EF9" w:rsidRPr="0063577A" w:rsidRDefault="00000000" w:rsidP="0063577A">
            <w:pPr>
              <w:spacing w:line="360" w:lineRule="auto"/>
              <w:rPr>
                <w:szCs w:val="24"/>
              </w:rPr>
            </w:pPr>
            <w:r w:rsidRPr="0063577A">
              <w:rPr>
                <w:szCs w:val="24"/>
              </w:rPr>
              <w:t>Parents lacked risk, outcome and alternative information.</w:t>
            </w:r>
          </w:p>
        </w:tc>
        <w:tc>
          <w:tcPr>
            <w:tcW w:w="3024" w:type="dxa"/>
            <w:shd w:val="clear" w:color="auto" w:fill="F7FAFC"/>
            <w:tcMar>
              <w:top w:w="70" w:type="dxa"/>
              <w:left w:w="70" w:type="dxa"/>
              <w:bottom w:w="70" w:type="dxa"/>
              <w:right w:w="70" w:type="dxa"/>
            </w:tcMar>
            <w:vAlign w:val="center"/>
          </w:tcPr>
          <w:p w14:paraId="631FFEC8" w14:textId="77777777" w:rsidR="00B44EF9" w:rsidRPr="0063577A" w:rsidRDefault="00000000" w:rsidP="0063577A">
            <w:pPr>
              <w:spacing w:line="360" w:lineRule="auto"/>
              <w:rPr>
                <w:szCs w:val="24"/>
              </w:rPr>
            </w:pPr>
            <w:r w:rsidRPr="0063577A">
              <w:rPr>
                <w:szCs w:val="24"/>
              </w:rPr>
              <w:t>At least 90% of sampled records document risks, alternatives and second opinions.</w:t>
            </w:r>
          </w:p>
        </w:tc>
      </w:tr>
      <w:tr w:rsidR="002D6F1C" w:rsidRPr="0063577A" w14:paraId="16F8CE2A" w14:textId="77777777">
        <w:trPr>
          <w:jc w:val="center"/>
        </w:trPr>
        <w:tc>
          <w:tcPr>
            <w:tcW w:w="1296" w:type="dxa"/>
            <w:tcMar>
              <w:top w:w="70" w:type="dxa"/>
              <w:left w:w="70" w:type="dxa"/>
              <w:bottom w:w="70" w:type="dxa"/>
              <w:right w:w="70" w:type="dxa"/>
            </w:tcMar>
            <w:vAlign w:val="center"/>
          </w:tcPr>
          <w:p w14:paraId="4E5859F0" w14:textId="77777777" w:rsidR="00B44EF9" w:rsidRPr="0063577A" w:rsidRDefault="00000000" w:rsidP="0063577A">
            <w:pPr>
              <w:spacing w:line="360" w:lineRule="auto"/>
              <w:rPr>
                <w:szCs w:val="24"/>
              </w:rPr>
            </w:pPr>
            <w:r w:rsidRPr="0063577A">
              <w:rPr>
                <w:szCs w:val="24"/>
              </w:rPr>
              <w:t>Board oversight</w:t>
            </w:r>
          </w:p>
        </w:tc>
        <w:tc>
          <w:tcPr>
            <w:tcW w:w="2664" w:type="dxa"/>
            <w:tcMar>
              <w:top w:w="70" w:type="dxa"/>
              <w:left w:w="70" w:type="dxa"/>
              <w:bottom w:w="70" w:type="dxa"/>
              <w:right w:w="70" w:type="dxa"/>
            </w:tcMar>
            <w:vAlign w:val="center"/>
          </w:tcPr>
          <w:p w14:paraId="2E7F3C5B" w14:textId="77777777" w:rsidR="00B44EF9" w:rsidRPr="0063577A" w:rsidRDefault="00000000" w:rsidP="0063577A">
            <w:pPr>
              <w:spacing w:line="360" w:lineRule="auto"/>
              <w:rPr>
                <w:szCs w:val="24"/>
              </w:rPr>
            </w:pPr>
            <w:r w:rsidRPr="0063577A">
              <w:rPr>
                <w:szCs w:val="24"/>
              </w:rPr>
              <w:t>CQC Regulations 12 and 17 require safe care and governance.</w:t>
            </w:r>
          </w:p>
        </w:tc>
        <w:tc>
          <w:tcPr>
            <w:tcW w:w="2088" w:type="dxa"/>
            <w:tcMar>
              <w:top w:w="70" w:type="dxa"/>
              <w:left w:w="70" w:type="dxa"/>
              <w:bottom w:w="70" w:type="dxa"/>
              <w:right w:w="70" w:type="dxa"/>
            </w:tcMar>
            <w:vAlign w:val="center"/>
          </w:tcPr>
          <w:p w14:paraId="623B45AD" w14:textId="77777777" w:rsidR="00B44EF9" w:rsidRPr="0063577A" w:rsidRDefault="00000000" w:rsidP="0063577A">
            <w:pPr>
              <w:spacing w:line="360" w:lineRule="auto"/>
              <w:rPr>
                <w:szCs w:val="24"/>
              </w:rPr>
            </w:pPr>
            <w:r w:rsidRPr="0063577A">
              <w:rPr>
                <w:szCs w:val="24"/>
              </w:rPr>
              <w:t>Managers lacked grip on specialist outcomes.</w:t>
            </w:r>
          </w:p>
        </w:tc>
        <w:tc>
          <w:tcPr>
            <w:tcW w:w="3024" w:type="dxa"/>
            <w:tcMar>
              <w:top w:w="70" w:type="dxa"/>
              <w:left w:w="70" w:type="dxa"/>
              <w:bottom w:w="70" w:type="dxa"/>
              <w:right w:w="70" w:type="dxa"/>
            </w:tcMar>
            <w:vAlign w:val="center"/>
          </w:tcPr>
          <w:p w14:paraId="16ECD6CA" w14:textId="77777777" w:rsidR="00B44EF9" w:rsidRPr="0063577A" w:rsidRDefault="00000000" w:rsidP="0063577A">
            <w:pPr>
              <w:spacing w:line="360" w:lineRule="auto"/>
              <w:rPr>
                <w:szCs w:val="24"/>
              </w:rPr>
            </w:pPr>
            <w:r w:rsidRPr="0063577A">
              <w:rPr>
                <w:szCs w:val="24"/>
              </w:rPr>
              <w:t>Monthly report; every unresolved outlier has an owner, deadline and escalation status.</w:t>
            </w:r>
          </w:p>
        </w:tc>
      </w:tr>
    </w:tbl>
    <w:p w14:paraId="6209DF5F" w14:textId="77777777" w:rsidR="002D6F1C" w:rsidRPr="0063577A" w:rsidRDefault="00000000">
      <w:pPr>
        <w:spacing w:after="80" w:line="240" w:lineRule="auto"/>
        <w:jc w:val="center"/>
        <w:rPr>
          <w:sz w:val="28"/>
          <w:szCs w:val="28"/>
        </w:rPr>
      </w:pPr>
      <w:r w:rsidRPr="0063577A">
        <w:rPr>
          <w:i/>
          <w:szCs w:val="28"/>
        </w:rPr>
        <w:t xml:space="preserve">Source: Author synthesis based on Component 1 and Kennedy (2001), Department of Health (2002), Dyer (2001), Mayor (2001), Keogh et al. (2004), NHS England and NHS Improvement </w:t>
      </w:r>
      <w:r w:rsidRPr="0063577A">
        <w:rPr>
          <w:i/>
          <w:szCs w:val="28"/>
        </w:rPr>
        <w:lastRenderedPageBreak/>
        <w:t>(2019), NHS England (2016; 2022; 2023a), NICE (2021), Care Quality Commission (2025a; 2025b) and NICOR (2025).</w:t>
      </w:r>
    </w:p>
    <w:p w14:paraId="20EE1CF6" w14:textId="13C9AF6A" w:rsidR="002D6F1C" w:rsidRPr="0063577A" w:rsidRDefault="00000000" w:rsidP="0063577A">
      <w:pPr>
        <w:pStyle w:val="Heading1"/>
        <w:rPr>
          <w:rFonts w:ascii="Arial" w:hAnsi="Arial" w:cs="Arial"/>
          <w:color w:val="000000" w:themeColor="text1"/>
        </w:rPr>
      </w:pPr>
      <w:bookmarkStart w:id="21" w:name="_Toc235272008"/>
      <w:bookmarkStart w:id="22" w:name="_Toc235719387"/>
      <w:r w:rsidRPr="0063577A">
        <w:rPr>
          <w:rFonts w:ascii="Arial" w:hAnsi="Arial" w:cs="Arial"/>
          <w:color w:val="000000" w:themeColor="text1"/>
        </w:rPr>
        <w:t>Conclusion</w:t>
      </w:r>
      <w:bookmarkEnd w:id="21"/>
      <w:bookmarkEnd w:id="22"/>
    </w:p>
    <w:p w14:paraId="5744D1B7" w14:textId="77777777" w:rsidR="007B754B" w:rsidRDefault="007B754B">
      <w:pPr>
        <w:spacing w:after="120" w:line="360" w:lineRule="auto"/>
        <w:jc w:val="both"/>
      </w:pPr>
      <w:r w:rsidRPr="007B754B">
        <w:t xml:space="preserve">Bristol Royal Infirmary Inquiry demonstrates that assurance does not work when there is no linkage between outcomes, professional issues, governance and family information. It was not merely a case of failure on the part of surgical performance but failure to turn abnormal variation into action by the </w:t>
      </w:r>
      <w:proofErr w:type="spellStart"/>
      <w:r w:rsidRPr="007B754B">
        <w:t>organisation</w:t>
      </w:r>
      <w:proofErr w:type="spellEnd"/>
      <w:r w:rsidRPr="007B754B">
        <w:t xml:space="preserve"> in time. Component 1's Swiss Cheese analysis identified aligned failures in monitoring, audit, challenge, oversight and communication. This report derived that result following the structure-process-outcome logic presented by Donabedian and interacting causes presented by Fishbone and a step-by-step 5 Whys explanation of failed escalation.</w:t>
      </w:r>
    </w:p>
    <w:p w14:paraId="15387204" w14:textId="4435993F" w:rsidR="007B754B" w:rsidRDefault="007B754B">
      <w:pPr>
        <w:spacing w:after="120" w:line="360" w:lineRule="auto"/>
        <w:jc w:val="both"/>
      </w:pPr>
      <w:r w:rsidRPr="007B754B">
        <w:t xml:space="preserve"> There were also post-Bristol reforms of specialist services with clinical governance, national audit, regulation, networked congenital heart care with greater patient communication. However, the standards only guarantee the protection of patients provided local </w:t>
      </w:r>
      <w:proofErr w:type="spellStart"/>
      <w:r w:rsidRPr="007B754B">
        <w:t>organisations</w:t>
      </w:r>
      <w:proofErr w:type="spellEnd"/>
      <w:r w:rsidRPr="007B754B">
        <w:t xml:space="preserve"> possess valid data, adequacies in specialist and analytical capacity, secured audit time, open challenge, and boards willing to engage in commissioning independent review. The recommendations thus involve workforce and MDT standards, risk-adjusted surveillance, annual external multidisciplinary audit, specified escalation, board responsibility and shared decision-making. Kotter helps with the culture and leadership to maintain these processes, with PDSA testing them. The lean and DMAIC are still part of the refined workflow and data-control, which can be used in the future, yet it is the inability to focus on the entire governance failure. The growth of sustainable assurance is witnessed when reviewing of signals is timely, actions are near, family comprehends decisions and independent checks are considered before preventive harm is put in place.</w:t>
      </w:r>
    </w:p>
    <w:p w14:paraId="61AA1694" w14:textId="062E2C6E" w:rsidR="002D6F1C" w:rsidRDefault="002D6F1C">
      <w:pPr>
        <w:spacing w:after="120" w:line="360" w:lineRule="auto"/>
        <w:jc w:val="both"/>
      </w:pPr>
    </w:p>
    <w:p w14:paraId="553113C4" w14:textId="77777777" w:rsidR="007149B6" w:rsidRDefault="007149B6">
      <w:pPr>
        <w:rPr>
          <w:rFonts w:eastAsiaTheme="majorEastAsia" w:cs="Arial"/>
          <w:b/>
          <w:bCs/>
          <w:color w:val="000000" w:themeColor="text1"/>
          <w:sz w:val="28"/>
          <w:szCs w:val="28"/>
        </w:rPr>
      </w:pPr>
      <w:r>
        <w:rPr>
          <w:rFonts w:cs="Arial"/>
          <w:color w:val="000000" w:themeColor="text1"/>
        </w:rPr>
        <w:br w:type="page"/>
      </w:r>
    </w:p>
    <w:p w14:paraId="56D02489" w14:textId="77777777" w:rsidR="002D6F1C" w:rsidRPr="0063577A" w:rsidRDefault="00000000" w:rsidP="00A43FDE">
      <w:pPr>
        <w:pStyle w:val="Heading1"/>
        <w:spacing w:before="200" w:after="120" w:line="240" w:lineRule="auto"/>
        <w:rPr>
          <w:rFonts w:ascii="Arial" w:hAnsi="Arial" w:cs="Arial"/>
          <w:color w:val="000000" w:themeColor="text1"/>
        </w:rPr>
      </w:pPr>
      <w:bookmarkStart w:id="23" w:name="_Toc235719388"/>
      <w:r w:rsidRPr="0063577A">
        <w:rPr>
          <w:rFonts w:ascii="Arial" w:eastAsia="Arial" w:hAnsi="Arial"/>
          <w:color w:val="000000" w:themeColor="text1"/>
        </w:rPr>
        <w:lastRenderedPageBreak/>
        <w:t>References</w:t>
      </w:r>
      <w:bookmarkEnd w:id="23"/>
    </w:p>
    <w:p w14:paraId="0A168FE9" w14:textId="77777777" w:rsidR="00A43FDE" w:rsidRPr="0063577A" w:rsidRDefault="00A43FDE" w:rsidP="00111409">
      <w:pPr>
        <w:spacing w:before="240" w:after="80" w:line="240" w:lineRule="auto"/>
      </w:pPr>
      <w:r w:rsidRPr="0063577A">
        <w:t xml:space="preserve">Berwick, D.M. (2008) ‘The science of improvement’, </w:t>
      </w:r>
      <w:r w:rsidRPr="0063577A">
        <w:rPr>
          <w:i/>
          <w:iCs/>
        </w:rPr>
        <w:t>JAMA</w:t>
      </w:r>
      <w:r w:rsidRPr="0063577A">
        <w:t xml:space="preserve">, 299(10), pp. 1182–1184. Available at: </w:t>
      </w:r>
      <w:hyperlink r:id="rId13" w:tgtFrame="_new" w:history="1">
        <w:r w:rsidRPr="0063577A">
          <w:rPr>
            <w:rStyle w:val="Hyperlink"/>
          </w:rPr>
          <w:t>https://doi.org/10.1001/jama.299.10.1182</w:t>
        </w:r>
      </w:hyperlink>
      <w:r w:rsidRPr="0063577A">
        <w:t xml:space="preserve"> (Accessed: 18 July 2026).</w:t>
      </w:r>
    </w:p>
    <w:p w14:paraId="1E9BA5F4" w14:textId="77777777" w:rsidR="00A43FDE" w:rsidRPr="0063577A" w:rsidRDefault="00A43FDE" w:rsidP="00111409">
      <w:pPr>
        <w:spacing w:before="240" w:after="80" w:line="240" w:lineRule="auto"/>
      </w:pPr>
      <w:r w:rsidRPr="0063577A">
        <w:t xml:space="preserve">Card, A.J. (2017) ‘The problem with 5 whys’, </w:t>
      </w:r>
      <w:r w:rsidRPr="0063577A">
        <w:rPr>
          <w:i/>
          <w:iCs/>
        </w:rPr>
        <w:t>BMJ Quality &amp; Safety</w:t>
      </w:r>
      <w:r w:rsidRPr="0063577A">
        <w:t xml:space="preserve">, 26(8), pp. 671–677. Available at: </w:t>
      </w:r>
      <w:hyperlink r:id="rId14" w:tgtFrame="_new" w:history="1">
        <w:r w:rsidRPr="0063577A">
          <w:rPr>
            <w:rStyle w:val="Hyperlink"/>
          </w:rPr>
          <w:t>https://doi.org/10.1136/bmjqs-2016-005849</w:t>
        </w:r>
      </w:hyperlink>
      <w:r w:rsidRPr="0063577A">
        <w:t xml:space="preserve"> (Accessed: 18 July 2026).</w:t>
      </w:r>
    </w:p>
    <w:p w14:paraId="543A3FFB" w14:textId="77777777" w:rsidR="00A43FDE" w:rsidRPr="0063577A" w:rsidRDefault="00A43FDE" w:rsidP="00111409">
      <w:pPr>
        <w:spacing w:before="240" w:after="80" w:line="240" w:lineRule="auto"/>
      </w:pPr>
      <w:r w:rsidRPr="0063577A">
        <w:t xml:space="preserve">Care Quality Commission (CQC) (2025a) </w:t>
      </w:r>
      <w:r w:rsidRPr="0063577A">
        <w:rPr>
          <w:i/>
          <w:iCs/>
        </w:rPr>
        <w:t>Regulation 12: Safe care and treatment</w:t>
      </w:r>
      <w:r w:rsidRPr="0063577A">
        <w:t xml:space="preserve">. Available at: </w:t>
      </w:r>
      <w:hyperlink r:id="rId15" w:tgtFrame="_new" w:history="1">
        <w:r w:rsidRPr="0063577A">
          <w:rPr>
            <w:rStyle w:val="Hyperlink"/>
          </w:rPr>
          <w:t>https://www.cqc.org.uk/guidance-regulation/providers/regulations-service-providers-and-managers/health-social-care-act/regulation-12</w:t>
        </w:r>
      </w:hyperlink>
      <w:r w:rsidRPr="0063577A">
        <w:t xml:space="preserve"> (Accessed: 18 July 2026).</w:t>
      </w:r>
    </w:p>
    <w:p w14:paraId="59B55ED1" w14:textId="77777777" w:rsidR="00A43FDE" w:rsidRPr="0063577A" w:rsidRDefault="00A43FDE" w:rsidP="00111409">
      <w:pPr>
        <w:spacing w:before="240" w:after="80" w:line="240" w:lineRule="auto"/>
      </w:pPr>
      <w:r w:rsidRPr="0063577A">
        <w:t xml:space="preserve">Care Quality Commission (CQC) (2025b) </w:t>
      </w:r>
      <w:r w:rsidRPr="0063577A">
        <w:rPr>
          <w:i/>
          <w:iCs/>
        </w:rPr>
        <w:t>Regulation 17: Good governance</w:t>
      </w:r>
      <w:r w:rsidRPr="0063577A">
        <w:t xml:space="preserve">. Available at: </w:t>
      </w:r>
      <w:hyperlink r:id="rId16" w:tgtFrame="_new" w:history="1">
        <w:r w:rsidRPr="0063577A">
          <w:rPr>
            <w:rStyle w:val="Hyperlink"/>
          </w:rPr>
          <w:t>https://www.cqc.org.uk/guidance-regulation/providers/regulations-service-providers-and-managers/health-social-care-act/regulation-17</w:t>
        </w:r>
      </w:hyperlink>
      <w:r w:rsidRPr="0063577A">
        <w:t xml:space="preserve"> (Accessed: 18 July 2026).</w:t>
      </w:r>
    </w:p>
    <w:p w14:paraId="1E036194" w14:textId="77777777" w:rsidR="00A43FDE" w:rsidRPr="0063577A" w:rsidRDefault="00A43FDE" w:rsidP="00111409">
      <w:pPr>
        <w:spacing w:before="240" w:after="80" w:line="240" w:lineRule="auto"/>
      </w:pPr>
      <w:proofErr w:type="spellStart"/>
      <w:r w:rsidRPr="0063577A">
        <w:t>Checkland</w:t>
      </w:r>
      <w:proofErr w:type="spellEnd"/>
      <w:r w:rsidRPr="0063577A">
        <w:t xml:space="preserve">, P. and Scholes, J. (1990) </w:t>
      </w:r>
      <w:r w:rsidRPr="0063577A">
        <w:rPr>
          <w:i/>
          <w:iCs/>
        </w:rPr>
        <w:t>Soft Systems Methodology in Action</w:t>
      </w:r>
      <w:r w:rsidRPr="0063577A">
        <w:t>. Chichester: Wiley.</w:t>
      </w:r>
    </w:p>
    <w:p w14:paraId="02C32297" w14:textId="77777777" w:rsidR="00A43FDE" w:rsidRPr="0063577A" w:rsidRDefault="00A43FDE" w:rsidP="00111409">
      <w:pPr>
        <w:spacing w:before="240" w:after="80" w:line="240" w:lineRule="auto"/>
      </w:pPr>
      <w:r w:rsidRPr="0063577A">
        <w:t xml:space="preserve">Deming, W.E. (1986) </w:t>
      </w:r>
      <w:r w:rsidRPr="0063577A">
        <w:rPr>
          <w:i/>
          <w:iCs/>
        </w:rPr>
        <w:t>Out of the Crisis</w:t>
      </w:r>
      <w:r w:rsidRPr="0063577A">
        <w:t>. Cambridge, MA: MIT Press.</w:t>
      </w:r>
    </w:p>
    <w:p w14:paraId="1312BAB3" w14:textId="77777777" w:rsidR="00A43FDE" w:rsidRPr="0063577A" w:rsidRDefault="00A43FDE" w:rsidP="00111409">
      <w:pPr>
        <w:spacing w:before="240" w:after="80" w:line="240" w:lineRule="auto"/>
      </w:pPr>
      <w:r w:rsidRPr="0063577A">
        <w:t xml:space="preserve">Department of Health (2002) </w:t>
      </w:r>
      <w:r w:rsidRPr="0063577A">
        <w:rPr>
          <w:i/>
          <w:iCs/>
        </w:rPr>
        <w:t>Learning from Bristol: The Department of Health's response to the report of the Public Inquiry into Children's Heart Surgery at the Bristol Royal Infirmary 1984–1995</w:t>
      </w:r>
      <w:r w:rsidRPr="0063577A">
        <w:t xml:space="preserve">. Cm 5363. London: The Stationery Office. Available at: </w:t>
      </w:r>
      <w:hyperlink r:id="rId17" w:tgtFrame="_new" w:history="1">
        <w:r w:rsidRPr="0063577A">
          <w:rPr>
            <w:rStyle w:val="Hyperlink"/>
          </w:rPr>
          <w:t>https://www.gov.uk/government/publications/the-department-of-healths-response-to-the-report-of-the-public-inquiry-into-childrens-heart-surgery-at-the-bristol-royal-infirmary</w:t>
        </w:r>
      </w:hyperlink>
      <w:r w:rsidRPr="0063577A">
        <w:t xml:space="preserve"> (Accessed: 18 July 2026).</w:t>
      </w:r>
    </w:p>
    <w:p w14:paraId="50910F37" w14:textId="77777777" w:rsidR="00A43FDE" w:rsidRPr="0063577A" w:rsidRDefault="00A43FDE" w:rsidP="00111409">
      <w:pPr>
        <w:spacing w:before="240" w:after="80" w:line="240" w:lineRule="auto"/>
      </w:pPr>
      <w:r w:rsidRPr="0063577A">
        <w:t xml:space="preserve">Dixon-Woods, M. (2019) ‘How to improve healthcare improvement’, </w:t>
      </w:r>
      <w:r w:rsidRPr="0063577A">
        <w:rPr>
          <w:i/>
          <w:iCs/>
        </w:rPr>
        <w:t>BMJ</w:t>
      </w:r>
      <w:r w:rsidRPr="0063577A">
        <w:t xml:space="preserve">, 367, l5514. Available at: </w:t>
      </w:r>
      <w:hyperlink r:id="rId18" w:tgtFrame="_new" w:history="1">
        <w:r w:rsidRPr="0063577A">
          <w:rPr>
            <w:rStyle w:val="Hyperlink"/>
          </w:rPr>
          <w:t>https://doi.org/10.1136/bmj.l5514</w:t>
        </w:r>
      </w:hyperlink>
      <w:r w:rsidRPr="0063577A">
        <w:t xml:space="preserve"> (Accessed: 18 July 2026).</w:t>
      </w:r>
    </w:p>
    <w:p w14:paraId="68018593" w14:textId="77777777" w:rsidR="00A43FDE" w:rsidRPr="0063577A" w:rsidRDefault="00A43FDE" w:rsidP="00111409">
      <w:pPr>
        <w:spacing w:before="240" w:after="80" w:line="240" w:lineRule="auto"/>
      </w:pPr>
      <w:r w:rsidRPr="0063577A">
        <w:t xml:space="preserve">Donabedian, A. (1988) ‘The quality of care: How can it be assessed?’, </w:t>
      </w:r>
      <w:r w:rsidRPr="0063577A">
        <w:rPr>
          <w:i/>
          <w:iCs/>
        </w:rPr>
        <w:t>JAMA</w:t>
      </w:r>
      <w:r w:rsidRPr="0063577A">
        <w:t xml:space="preserve">, 260(12), pp. 1743–1748. Available at: </w:t>
      </w:r>
      <w:hyperlink r:id="rId19" w:tgtFrame="_new" w:history="1">
        <w:r w:rsidRPr="0063577A">
          <w:rPr>
            <w:rStyle w:val="Hyperlink"/>
          </w:rPr>
          <w:t>https://doi.org/10.1001/jama.1988.03410120089033</w:t>
        </w:r>
      </w:hyperlink>
      <w:r w:rsidRPr="0063577A">
        <w:t xml:space="preserve"> (Accessed: 18 July 2026).</w:t>
      </w:r>
    </w:p>
    <w:p w14:paraId="1D6E3504" w14:textId="77777777" w:rsidR="00A43FDE" w:rsidRPr="0063577A" w:rsidRDefault="00A43FDE" w:rsidP="00111409">
      <w:pPr>
        <w:spacing w:before="240" w:after="80" w:line="240" w:lineRule="auto"/>
      </w:pPr>
      <w:r w:rsidRPr="0063577A">
        <w:t xml:space="preserve">Dyer, C. (2001) ‘Bristol inquiry condemns hospital's “club culture”’, </w:t>
      </w:r>
      <w:r w:rsidRPr="0063577A">
        <w:rPr>
          <w:i/>
        </w:rPr>
        <w:t>BMJ</w:t>
      </w:r>
      <w:r w:rsidRPr="0063577A">
        <w:t xml:space="preserve">, 323(7306), p. 181. Available at: </w:t>
      </w:r>
      <w:hyperlink r:id="rId20">
        <w:r w:rsidRPr="0063577A">
          <w:rPr>
            <w:color w:val="0563C1"/>
            <w:u w:val="single"/>
          </w:rPr>
          <w:t>https://www.bmj.com/content/323/7306/181</w:t>
        </w:r>
      </w:hyperlink>
      <w:r w:rsidRPr="0063577A">
        <w:t xml:space="preserve"> (Accessed: 18 July 2026).</w:t>
      </w:r>
    </w:p>
    <w:p w14:paraId="27F4A169" w14:textId="77777777" w:rsidR="00A43FDE" w:rsidRPr="0063577A" w:rsidRDefault="00A43FDE" w:rsidP="00111409">
      <w:pPr>
        <w:spacing w:before="240" w:after="80" w:line="240" w:lineRule="auto"/>
      </w:pPr>
      <w:r w:rsidRPr="0063577A">
        <w:t xml:space="preserve">General Medical Council (GMC) (2024) </w:t>
      </w:r>
      <w:r w:rsidRPr="0063577A">
        <w:rPr>
          <w:i/>
          <w:iCs/>
        </w:rPr>
        <w:t>Good Medical Practice</w:t>
      </w:r>
      <w:r w:rsidRPr="0063577A">
        <w:t xml:space="preserve">. Available at: </w:t>
      </w:r>
      <w:hyperlink r:id="rId21" w:tgtFrame="_new" w:history="1">
        <w:r w:rsidRPr="0063577A">
          <w:rPr>
            <w:rStyle w:val="Hyperlink"/>
          </w:rPr>
          <w:t>https://www.gmc-uk.org/professional-standards/the-professional-standards/good-medical-practice</w:t>
        </w:r>
      </w:hyperlink>
      <w:r w:rsidRPr="0063577A">
        <w:t xml:space="preserve"> (Accessed: 18 July 2026).</w:t>
      </w:r>
    </w:p>
    <w:p w14:paraId="6EE11381" w14:textId="77777777" w:rsidR="00A43FDE" w:rsidRPr="0063577A" w:rsidRDefault="00A43FDE" w:rsidP="00111409">
      <w:pPr>
        <w:spacing w:before="240" w:after="80" w:line="240" w:lineRule="auto"/>
      </w:pPr>
      <w:r w:rsidRPr="0063577A">
        <w:t xml:space="preserve">Harrison, R., Fischer, S., Walpola, R.L., Chauhan, A., Babalola, T., Mears, S. and Le-Dao, H. (2021) ‘Where do models for change management, improvement and implementation meet? A systematic review of the applications of change management models in healthcare’, </w:t>
      </w:r>
      <w:r w:rsidRPr="0063577A">
        <w:rPr>
          <w:i/>
        </w:rPr>
        <w:t>Journal of Healthcare Leadership</w:t>
      </w:r>
      <w:r w:rsidRPr="0063577A">
        <w:t xml:space="preserve">, 13, pp. 85-108. Available at: </w:t>
      </w:r>
      <w:hyperlink r:id="rId22">
        <w:r w:rsidRPr="0063577A">
          <w:rPr>
            <w:color w:val="0563C1"/>
            <w:u w:val="single"/>
          </w:rPr>
          <w:t>https://doi.org/10.2147/JHL.S289176</w:t>
        </w:r>
      </w:hyperlink>
      <w:r w:rsidRPr="0063577A">
        <w:t xml:space="preserve"> (Accessed: 18 July 2026).</w:t>
      </w:r>
    </w:p>
    <w:p w14:paraId="4BB63E50" w14:textId="77777777" w:rsidR="00A43FDE" w:rsidRPr="0063577A" w:rsidRDefault="00A43FDE" w:rsidP="00111409">
      <w:pPr>
        <w:spacing w:before="240" w:after="80" w:line="240" w:lineRule="auto"/>
      </w:pPr>
      <w:r w:rsidRPr="0063577A">
        <w:t xml:space="preserve">The Health and Social Care Act 2008 (Regulated Activities) Regulations 2014, SI 2014/2936. Available at: </w:t>
      </w:r>
      <w:hyperlink r:id="rId23">
        <w:r w:rsidRPr="0063577A">
          <w:rPr>
            <w:color w:val="0563C1"/>
            <w:u w:val="single"/>
          </w:rPr>
          <w:t>https://www.legislation.gov.uk/uksi/2014/2936/contents</w:t>
        </w:r>
      </w:hyperlink>
      <w:r w:rsidRPr="0063577A">
        <w:t xml:space="preserve"> (Accessed: 18 July 2026).</w:t>
      </w:r>
    </w:p>
    <w:p w14:paraId="2981660B" w14:textId="77777777" w:rsidR="00A43FDE" w:rsidRPr="0063577A" w:rsidRDefault="00A43FDE" w:rsidP="00111409">
      <w:pPr>
        <w:spacing w:before="240" w:after="80" w:line="240" w:lineRule="auto"/>
      </w:pPr>
      <w:r w:rsidRPr="0063577A">
        <w:lastRenderedPageBreak/>
        <w:t xml:space="preserve">Helms, M.M. and Nixon, J. (2010) ‘Exploring SWOT analysis: Where are we now?’, </w:t>
      </w:r>
      <w:r w:rsidRPr="0063577A">
        <w:rPr>
          <w:i/>
          <w:iCs/>
        </w:rPr>
        <w:t>Journal of Strategy and Management</w:t>
      </w:r>
      <w:r w:rsidRPr="0063577A">
        <w:t xml:space="preserve">, 3(3), pp. 215–251. Available at: </w:t>
      </w:r>
      <w:hyperlink r:id="rId24" w:tgtFrame="_new" w:history="1">
        <w:r w:rsidRPr="0063577A">
          <w:rPr>
            <w:rStyle w:val="Hyperlink"/>
          </w:rPr>
          <w:t>https://doi.org/10.1108/17554251011064837</w:t>
        </w:r>
      </w:hyperlink>
      <w:r w:rsidRPr="0063577A">
        <w:t xml:space="preserve"> (Accessed: 18 July 2026).</w:t>
      </w:r>
    </w:p>
    <w:p w14:paraId="64348BCF" w14:textId="77777777" w:rsidR="00A43FDE" w:rsidRPr="0063577A" w:rsidRDefault="00A43FDE" w:rsidP="00111409">
      <w:pPr>
        <w:spacing w:before="240" w:after="80" w:line="240" w:lineRule="auto"/>
      </w:pPr>
      <w:r w:rsidRPr="0063577A">
        <w:t xml:space="preserve">Ishikawa, K. (1986) </w:t>
      </w:r>
      <w:r w:rsidRPr="0063577A">
        <w:rPr>
          <w:i/>
          <w:iCs/>
        </w:rPr>
        <w:t>Guide to Quality Control</w:t>
      </w:r>
      <w:r w:rsidRPr="0063577A">
        <w:t xml:space="preserve">. 2nd </w:t>
      </w:r>
      <w:proofErr w:type="spellStart"/>
      <w:r w:rsidRPr="0063577A">
        <w:t>edn</w:t>
      </w:r>
      <w:proofErr w:type="spellEnd"/>
      <w:r w:rsidRPr="0063577A">
        <w:t>. Tokyo: Asian Productivity Organization.</w:t>
      </w:r>
    </w:p>
    <w:p w14:paraId="4EE47FE8" w14:textId="77777777" w:rsidR="00A43FDE" w:rsidRPr="0063577A" w:rsidRDefault="00A43FDE" w:rsidP="00111409">
      <w:pPr>
        <w:spacing w:before="240" w:after="80" w:line="240" w:lineRule="auto"/>
      </w:pPr>
      <w:r w:rsidRPr="0063577A">
        <w:t xml:space="preserve">Kaplan, H.C., Provost, L.P., Froehle, C.M. and Margolis, P.A. (2012) ‘The Model for Understanding Success in Quality (MUSIQ): Building a theory of context in healthcare quality improvement’, </w:t>
      </w:r>
      <w:r w:rsidRPr="0063577A">
        <w:rPr>
          <w:i/>
        </w:rPr>
        <w:t>BMJ Quality &amp; Safety</w:t>
      </w:r>
      <w:r w:rsidRPr="0063577A">
        <w:t xml:space="preserve">, 21(1), pp. 13-20. Available at: </w:t>
      </w:r>
      <w:hyperlink r:id="rId25">
        <w:r w:rsidRPr="0063577A">
          <w:rPr>
            <w:color w:val="0563C1"/>
            <w:u w:val="single"/>
          </w:rPr>
          <w:t>https://doi.org/10.1136/bmjqs-2011-000010</w:t>
        </w:r>
      </w:hyperlink>
      <w:r w:rsidRPr="0063577A">
        <w:t xml:space="preserve"> (Accessed: 18 July 2026).</w:t>
      </w:r>
    </w:p>
    <w:p w14:paraId="2F0BBCDA" w14:textId="77777777" w:rsidR="00A43FDE" w:rsidRPr="0063577A" w:rsidRDefault="00A43FDE" w:rsidP="00111409">
      <w:pPr>
        <w:spacing w:before="240" w:after="80" w:line="240" w:lineRule="auto"/>
      </w:pPr>
      <w:r w:rsidRPr="0063577A">
        <w:t xml:space="preserve">Keogh, B., Spiegelhalter, D.J., Bailey, A., Roxburgh, J., Magee, P. and Hilton, C. (2004) ‘The legacy of Bristol: Public disclosure of individual surgeons' results’, </w:t>
      </w:r>
      <w:r w:rsidRPr="0063577A">
        <w:rPr>
          <w:i/>
          <w:iCs/>
        </w:rPr>
        <w:t>BMJ</w:t>
      </w:r>
      <w:r w:rsidRPr="0063577A">
        <w:t xml:space="preserve">, 329(7463), pp. 450–454. Available at: </w:t>
      </w:r>
      <w:hyperlink r:id="rId26" w:tgtFrame="_new" w:history="1">
        <w:r w:rsidRPr="0063577A">
          <w:rPr>
            <w:rStyle w:val="Hyperlink"/>
          </w:rPr>
          <w:t>https://doi.org/10.1136/bmj.329.7463.450</w:t>
        </w:r>
      </w:hyperlink>
      <w:r w:rsidRPr="0063577A">
        <w:t xml:space="preserve"> (Accessed: 18 July 2026).</w:t>
      </w:r>
    </w:p>
    <w:p w14:paraId="7058BB4D" w14:textId="77777777" w:rsidR="00A43FDE" w:rsidRPr="0063577A" w:rsidRDefault="00A43FDE" w:rsidP="00111409">
      <w:pPr>
        <w:spacing w:before="240" w:after="80" w:line="240" w:lineRule="auto"/>
      </w:pPr>
      <w:r w:rsidRPr="0063577A">
        <w:t xml:space="preserve">Kennedy, I. (2001) </w:t>
      </w:r>
      <w:r w:rsidRPr="0063577A">
        <w:rPr>
          <w:i/>
          <w:iCs/>
        </w:rPr>
        <w:t>Learning from Bristol: The report of the Public Inquiry into Children's Heart Surgery at the Bristol Royal Infirmary 1984–1995</w:t>
      </w:r>
      <w:r w:rsidRPr="0063577A">
        <w:t xml:space="preserve">. London: The Stationery Office. Available at: </w:t>
      </w:r>
      <w:hyperlink r:id="rId27" w:tgtFrame="_new" w:history="1">
        <w:r w:rsidRPr="0063577A">
          <w:rPr>
            <w:rStyle w:val="Hyperlink"/>
          </w:rPr>
          <w:t>https://www.bristol-inquiry.org.uk/final_report/the_report.pdf</w:t>
        </w:r>
      </w:hyperlink>
      <w:r w:rsidRPr="0063577A">
        <w:t xml:space="preserve"> (Accessed: 18 July 2026).</w:t>
      </w:r>
    </w:p>
    <w:p w14:paraId="17167D73" w14:textId="77777777" w:rsidR="00A43FDE" w:rsidRPr="0063577A" w:rsidRDefault="00A43FDE" w:rsidP="00111409">
      <w:pPr>
        <w:spacing w:before="240" w:after="80" w:line="240" w:lineRule="auto"/>
      </w:pPr>
      <w:r w:rsidRPr="0063577A">
        <w:t xml:space="preserve">Kotter, J.P. (1995) ‘Leading change: Why transformation efforts fail’, </w:t>
      </w:r>
      <w:r w:rsidRPr="0063577A">
        <w:rPr>
          <w:i/>
          <w:iCs/>
        </w:rPr>
        <w:t>Harvard Business Review</w:t>
      </w:r>
      <w:r w:rsidRPr="0063577A">
        <w:t>, 73(2), pp. 59–67.</w:t>
      </w:r>
    </w:p>
    <w:p w14:paraId="54D75DA6" w14:textId="77777777" w:rsidR="00A43FDE" w:rsidRPr="0063577A" w:rsidRDefault="00A43FDE" w:rsidP="00111409">
      <w:pPr>
        <w:spacing w:before="240" w:after="80" w:line="240" w:lineRule="auto"/>
      </w:pPr>
      <w:r w:rsidRPr="0063577A">
        <w:t xml:space="preserve">Kotter, J.P. (2012) </w:t>
      </w:r>
      <w:r w:rsidRPr="0063577A">
        <w:rPr>
          <w:i/>
          <w:iCs/>
        </w:rPr>
        <w:t>Leading Change</w:t>
      </w:r>
      <w:r w:rsidRPr="0063577A">
        <w:t>. Boston, MA: Harvard Business Review Press.</w:t>
      </w:r>
    </w:p>
    <w:p w14:paraId="65307DF9" w14:textId="77777777" w:rsidR="00A43FDE" w:rsidRPr="0063577A" w:rsidRDefault="00A43FDE" w:rsidP="00111409">
      <w:pPr>
        <w:spacing w:before="240" w:after="80" w:line="240" w:lineRule="auto"/>
      </w:pPr>
      <w:r w:rsidRPr="0063577A">
        <w:t xml:space="preserve">Langley, G.J., Moen, R., Nolan, K.M., Nolan, T.W., Norman, C.L. and Provost, L.P. (2009) </w:t>
      </w:r>
      <w:r w:rsidRPr="0063577A">
        <w:rPr>
          <w:i/>
          <w:iCs/>
        </w:rPr>
        <w:t>The Improvement Guide: A Practical Approach to Enhancing Organizational Performance</w:t>
      </w:r>
      <w:r w:rsidRPr="0063577A">
        <w:t xml:space="preserve">. 2nd </w:t>
      </w:r>
      <w:proofErr w:type="spellStart"/>
      <w:r w:rsidRPr="0063577A">
        <w:t>edn</w:t>
      </w:r>
      <w:proofErr w:type="spellEnd"/>
      <w:r w:rsidRPr="0063577A">
        <w:t>. San Francisco: Jossey-Bass.</w:t>
      </w:r>
    </w:p>
    <w:p w14:paraId="105D9D0A" w14:textId="77777777" w:rsidR="00A43FDE" w:rsidRPr="0063577A" w:rsidRDefault="00A43FDE" w:rsidP="00111409">
      <w:pPr>
        <w:spacing w:before="240" w:after="80" w:line="240" w:lineRule="auto"/>
      </w:pPr>
      <w:r w:rsidRPr="0063577A">
        <w:t xml:space="preserve">Mannion, R. and Davies, H. (2018) ‘Understanding </w:t>
      </w:r>
      <w:proofErr w:type="spellStart"/>
      <w:r w:rsidRPr="0063577A">
        <w:t>organisational</w:t>
      </w:r>
      <w:proofErr w:type="spellEnd"/>
      <w:r w:rsidRPr="0063577A">
        <w:t xml:space="preserve"> culture for healthcare quality improvement’, </w:t>
      </w:r>
      <w:r w:rsidRPr="0063577A">
        <w:rPr>
          <w:i/>
          <w:iCs/>
        </w:rPr>
        <w:t>BMJ</w:t>
      </w:r>
      <w:r w:rsidRPr="0063577A">
        <w:t xml:space="preserve">, 363, k4907. Available at: </w:t>
      </w:r>
      <w:hyperlink r:id="rId28" w:tgtFrame="_new" w:history="1">
        <w:r w:rsidRPr="0063577A">
          <w:rPr>
            <w:rStyle w:val="Hyperlink"/>
          </w:rPr>
          <w:t>https://doi.org/10.1136/bmj.k4907</w:t>
        </w:r>
      </w:hyperlink>
      <w:r w:rsidRPr="0063577A">
        <w:t xml:space="preserve"> (Accessed: 18 July 2026).</w:t>
      </w:r>
    </w:p>
    <w:p w14:paraId="725E4B77" w14:textId="77777777" w:rsidR="00A43FDE" w:rsidRPr="0063577A" w:rsidRDefault="00A43FDE" w:rsidP="00111409">
      <w:pPr>
        <w:spacing w:before="240" w:after="80" w:line="240" w:lineRule="auto"/>
      </w:pPr>
      <w:r w:rsidRPr="0063577A">
        <w:t xml:space="preserve">Mayor, S. (2001) ‘Mortality for </w:t>
      </w:r>
      <w:proofErr w:type="spellStart"/>
      <w:r w:rsidRPr="0063577A">
        <w:t>paediatric</w:t>
      </w:r>
      <w:proofErr w:type="spellEnd"/>
      <w:r w:rsidRPr="0063577A">
        <w:t xml:space="preserve"> cardiac surgery at Bristol was twice that at other </w:t>
      </w:r>
      <w:proofErr w:type="spellStart"/>
      <w:r w:rsidRPr="0063577A">
        <w:t>centres</w:t>
      </w:r>
      <w:proofErr w:type="spellEnd"/>
      <w:r w:rsidRPr="0063577A">
        <w:t xml:space="preserve">’, </w:t>
      </w:r>
      <w:r w:rsidRPr="0063577A">
        <w:rPr>
          <w:i/>
          <w:iCs/>
        </w:rPr>
        <w:t>BMJ</w:t>
      </w:r>
      <w:r w:rsidRPr="0063577A">
        <w:t xml:space="preserve">, 323(7305), p. 125. Available at: </w:t>
      </w:r>
      <w:hyperlink r:id="rId29" w:tgtFrame="_new" w:history="1">
        <w:r w:rsidRPr="0063577A">
          <w:rPr>
            <w:rStyle w:val="Hyperlink"/>
          </w:rPr>
          <w:t>https://www.bmj.com/content/323/7305/125.2</w:t>
        </w:r>
      </w:hyperlink>
      <w:r w:rsidRPr="0063577A">
        <w:t xml:space="preserve"> (Accessed: 18 July 2026).</w:t>
      </w:r>
    </w:p>
    <w:p w14:paraId="26821555" w14:textId="77777777" w:rsidR="00A43FDE" w:rsidRPr="0063577A" w:rsidRDefault="00A43FDE" w:rsidP="00111409">
      <w:pPr>
        <w:spacing w:before="240" w:after="80" w:line="240" w:lineRule="auto"/>
      </w:pPr>
      <w:r w:rsidRPr="0063577A">
        <w:t xml:space="preserve">National Institute for Cardiovascular Outcomes Research (NICOR) (2025) </w:t>
      </w:r>
      <w:r w:rsidRPr="0063577A">
        <w:rPr>
          <w:i/>
          <w:iCs/>
        </w:rPr>
        <w:t>2025 Annual Summary Reports: National Congenital Heart Disease Audit (NCHDA) – 2025 Annual Report</w:t>
      </w:r>
      <w:r w:rsidRPr="0063577A">
        <w:t xml:space="preserve">. Available at: </w:t>
      </w:r>
      <w:hyperlink r:id="rId30" w:tgtFrame="_new" w:history="1">
        <w:r w:rsidRPr="0063577A">
          <w:rPr>
            <w:rStyle w:val="Hyperlink"/>
          </w:rPr>
          <w:t>https://www.nicor.org.uk/2025-annual-summary-reports</w:t>
        </w:r>
      </w:hyperlink>
      <w:r w:rsidRPr="0063577A">
        <w:t xml:space="preserve"> (Accessed: 18 July 2026).</w:t>
      </w:r>
    </w:p>
    <w:p w14:paraId="67793684" w14:textId="77777777" w:rsidR="00A43FDE" w:rsidRPr="0063577A" w:rsidRDefault="00A43FDE" w:rsidP="00111409">
      <w:pPr>
        <w:spacing w:before="240" w:after="80" w:line="240" w:lineRule="auto"/>
      </w:pPr>
      <w:r w:rsidRPr="0063577A">
        <w:t xml:space="preserve">National Institute for Health and Care Excellence (NICE) (2021) </w:t>
      </w:r>
      <w:r w:rsidRPr="0063577A">
        <w:rPr>
          <w:i/>
          <w:iCs/>
        </w:rPr>
        <w:t>Shared Decision Making</w:t>
      </w:r>
      <w:r w:rsidRPr="0063577A">
        <w:t xml:space="preserve">. NICE guideline NG197. Available at: </w:t>
      </w:r>
      <w:hyperlink r:id="rId31" w:tgtFrame="_new" w:history="1">
        <w:r w:rsidRPr="0063577A">
          <w:rPr>
            <w:rStyle w:val="Hyperlink"/>
          </w:rPr>
          <w:t>https://www.nice.org.uk/guidance/ng197</w:t>
        </w:r>
      </w:hyperlink>
      <w:r w:rsidRPr="0063577A">
        <w:t xml:space="preserve"> (Accessed: 18 July 2026).</w:t>
      </w:r>
    </w:p>
    <w:p w14:paraId="302D6196" w14:textId="77777777" w:rsidR="00A43FDE" w:rsidRPr="0063577A" w:rsidRDefault="00A43FDE" w:rsidP="00111409">
      <w:pPr>
        <w:spacing w:before="240" w:after="80" w:line="240" w:lineRule="auto"/>
      </w:pPr>
      <w:r w:rsidRPr="0063577A">
        <w:t xml:space="preserve">NHS England and NHS Improvement (2019) </w:t>
      </w:r>
      <w:r w:rsidRPr="0063577A">
        <w:rPr>
          <w:i/>
        </w:rPr>
        <w:t>The NHS Patient Safety Strategy: Safer culture, safer systems, safer patients</w:t>
      </w:r>
      <w:r w:rsidRPr="0063577A">
        <w:t xml:space="preserve">. London: NHS England and NHS Improvement. Available at: </w:t>
      </w:r>
      <w:hyperlink r:id="rId32">
        <w:r w:rsidRPr="0063577A">
          <w:rPr>
            <w:color w:val="0563C1"/>
            <w:u w:val="single"/>
          </w:rPr>
          <w:t>https://www.england.nhs.uk/patient-safety/the-nhs-patient-safety-strategy/</w:t>
        </w:r>
      </w:hyperlink>
      <w:r w:rsidRPr="0063577A">
        <w:t xml:space="preserve"> (Accessed: 18 July 2026).</w:t>
      </w:r>
    </w:p>
    <w:p w14:paraId="58058617" w14:textId="77777777" w:rsidR="00A43FDE" w:rsidRPr="0063577A" w:rsidRDefault="00A43FDE" w:rsidP="00111409">
      <w:pPr>
        <w:spacing w:before="240" w:after="80" w:line="240" w:lineRule="auto"/>
      </w:pPr>
      <w:r w:rsidRPr="0063577A">
        <w:lastRenderedPageBreak/>
        <w:t xml:space="preserve">NHS England (2022) </w:t>
      </w:r>
      <w:r w:rsidRPr="0063577A">
        <w:rPr>
          <w:i/>
          <w:iCs/>
        </w:rPr>
        <w:t>Patient Safety Incident Response Framework</w:t>
      </w:r>
      <w:r w:rsidRPr="0063577A">
        <w:t xml:space="preserve">. London: NHS England. Available at: </w:t>
      </w:r>
      <w:hyperlink r:id="rId33" w:tgtFrame="_new" w:history="1">
        <w:r w:rsidRPr="0063577A">
          <w:rPr>
            <w:rStyle w:val="Hyperlink"/>
          </w:rPr>
          <w:t>https://www.england.nhs.uk/patient-safety/patient-safety-insight/incident-response-framework/</w:t>
        </w:r>
      </w:hyperlink>
      <w:r w:rsidRPr="0063577A">
        <w:t xml:space="preserve"> (Accessed: 18 July 2026).</w:t>
      </w:r>
    </w:p>
    <w:p w14:paraId="66F60EF3" w14:textId="77777777" w:rsidR="00A43FDE" w:rsidRPr="0063577A" w:rsidRDefault="00A43FDE" w:rsidP="00111409">
      <w:pPr>
        <w:spacing w:before="240" w:after="80" w:line="240" w:lineRule="auto"/>
      </w:pPr>
      <w:r w:rsidRPr="0063577A">
        <w:t xml:space="preserve">NHS England (2016) </w:t>
      </w:r>
      <w:r w:rsidRPr="0063577A">
        <w:rPr>
          <w:i/>
        </w:rPr>
        <w:t>Congenital Heart Disease Standards and Specifications</w:t>
      </w:r>
      <w:r w:rsidRPr="0063577A">
        <w:t xml:space="preserve">. London: NHS England. Available at: </w:t>
      </w:r>
      <w:hyperlink r:id="rId34">
        <w:r w:rsidRPr="0063577A">
          <w:rPr>
            <w:color w:val="0563C1"/>
            <w:u w:val="single"/>
          </w:rPr>
          <w:t>https://www.england.nhs.uk/wp-content/uploads/2018/08/Congenital-heart-disease-standards-and-specifications.pdf</w:t>
        </w:r>
      </w:hyperlink>
      <w:r w:rsidRPr="0063577A">
        <w:t xml:space="preserve"> (Accessed: 18 July 2026).</w:t>
      </w:r>
    </w:p>
    <w:p w14:paraId="08A85E04" w14:textId="77777777" w:rsidR="00B44EF9" w:rsidRPr="0063577A" w:rsidRDefault="00000000" w:rsidP="00111409">
      <w:pPr>
        <w:spacing w:before="240" w:after="80" w:line="240" w:lineRule="auto"/>
      </w:pPr>
      <w:r w:rsidRPr="0063577A">
        <w:t xml:space="preserve">NHS England (2023a) </w:t>
      </w:r>
      <w:proofErr w:type="gramStart"/>
      <w:r w:rsidRPr="0063577A">
        <w:rPr>
          <w:i/>
        </w:rPr>
        <w:t>Congenital Heart Disease</w:t>
      </w:r>
      <w:proofErr w:type="gramEnd"/>
      <w:r w:rsidRPr="0063577A">
        <w:rPr>
          <w:i/>
        </w:rPr>
        <w:t xml:space="preserve"> and Paediatric Cardiac Clinical Network Specification</w:t>
      </w:r>
      <w:r w:rsidRPr="0063577A">
        <w:t xml:space="preserve">. London: NHS England. Available at: </w:t>
      </w:r>
      <w:hyperlink r:id="rId35">
        <w:r w:rsidR="00B44EF9" w:rsidRPr="0063577A">
          <w:rPr>
            <w:color w:val="0563C1"/>
            <w:u w:val="single"/>
          </w:rPr>
          <w:t>https://www.england.nhs.uk/wp-content/uploads/2024/05/PRN231104-chd-paediatric-cardiac-network-specification-2023-.pdf</w:t>
        </w:r>
      </w:hyperlink>
      <w:r w:rsidRPr="0063577A">
        <w:t xml:space="preserve"> (Accessed: 18 July 2026).</w:t>
      </w:r>
    </w:p>
    <w:p w14:paraId="3E2B7BD9" w14:textId="77777777" w:rsidR="00A43FDE" w:rsidRPr="0063577A" w:rsidRDefault="00A43FDE" w:rsidP="00111409">
      <w:pPr>
        <w:spacing w:before="240" w:after="80" w:line="240" w:lineRule="auto"/>
      </w:pPr>
      <w:r w:rsidRPr="0063577A">
        <w:t xml:space="preserve">NHS England (2023b) </w:t>
      </w:r>
      <w:r w:rsidRPr="0063577A">
        <w:rPr>
          <w:i/>
        </w:rPr>
        <w:t>Learn from patient safety events (LFPSE) service</w:t>
      </w:r>
      <w:r w:rsidRPr="0063577A">
        <w:t xml:space="preserve">. Available at: </w:t>
      </w:r>
      <w:hyperlink r:id="rId36">
        <w:r w:rsidRPr="0063577A">
          <w:rPr>
            <w:color w:val="0563C1"/>
            <w:u w:val="single"/>
          </w:rPr>
          <w:t>https://www.england.nhs.uk/patient-safety/patient-safety-insight/learning-from-patient-safety-events/learn-from-patient-safety-events-service/</w:t>
        </w:r>
      </w:hyperlink>
      <w:r w:rsidRPr="0063577A">
        <w:t xml:space="preserve"> (Accessed: 18 July 2026).</w:t>
      </w:r>
    </w:p>
    <w:p w14:paraId="253AF6BF" w14:textId="77777777" w:rsidR="00B44EF9" w:rsidRPr="0063577A" w:rsidRDefault="00000000" w:rsidP="00111409">
      <w:pPr>
        <w:spacing w:before="240" w:after="80" w:line="240" w:lineRule="auto"/>
      </w:pPr>
      <w:r w:rsidRPr="0063577A">
        <w:t xml:space="preserve">Ohno, T. (1988) </w:t>
      </w:r>
      <w:r w:rsidRPr="0063577A">
        <w:rPr>
          <w:i/>
        </w:rPr>
        <w:t>Toyota Production System: Beyond Large-Scale Production</w:t>
      </w:r>
      <w:r w:rsidRPr="0063577A">
        <w:t>. Portland, OR: Productivity Press.</w:t>
      </w:r>
    </w:p>
    <w:p w14:paraId="6218B8BA" w14:textId="77777777" w:rsidR="00B44EF9" w:rsidRPr="0063577A" w:rsidRDefault="00000000" w:rsidP="00111409">
      <w:pPr>
        <w:spacing w:before="240" w:after="80" w:line="240" w:lineRule="auto"/>
      </w:pPr>
      <w:r w:rsidRPr="0063577A">
        <w:t xml:space="preserve">Pande, P.S., Neuman, R.P. and Cavanagh, R.R. (2000) </w:t>
      </w:r>
      <w:r w:rsidRPr="0063577A">
        <w:rPr>
          <w:i/>
        </w:rPr>
        <w:t>The Six Sigma Way: How GE, Motorola, and Other Top Companies are Honing Their Performance</w:t>
      </w:r>
      <w:r w:rsidRPr="0063577A">
        <w:t>. New York: McGraw-Hill.</w:t>
      </w:r>
    </w:p>
    <w:p w14:paraId="6973B260" w14:textId="77777777" w:rsidR="00A43FDE" w:rsidRPr="0063577A" w:rsidRDefault="00A43FDE" w:rsidP="00111409">
      <w:pPr>
        <w:spacing w:before="240" w:after="80" w:line="240" w:lineRule="auto"/>
      </w:pPr>
      <w:r w:rsidRPr="0063577A">
        <w:t xml:space="preserve">Reason, J. (2000) ‘Human error: Models and management’, </w:t>
      </w:r>
      <w:r w:rsidRPr="0063577A">
        <w:rPr>
          <w:i/>
          <w:iCs/>
        </w:rPr>
        <w:t>BMJ</w:t>
      </w:r>
      <w:r w:rsidRPr="0063577A">
        <w:t xml:space="preserve">, 320(7237), pp. 768–770. Available at: </w:t>
      </w:r>
      <w:hyperlink r:id="rId37" w:tgtFrame="_new" w:history="1">
        <w:r w:rsidRPr="0063577A">
          <w:rPr>
            <w:rStyle w:val="Hyperlink"/>
          </w:rPr>
          <w:t>https://doi.org/10.1136/bmj.320.7237.768</w:t>
        </w:r>
      </w:hyperlink>
      <w:r w:rsidRPr="0063577A">
        <w:t xml:space="preserve"> (Accessed: 18 July 2026).</w:t>
      </w:r>
    </w:p>
    <w:p w14:paraId="168F01EA" w14:textId="77777777" w:rsidR="00A43FDE" w:rsidRPr="0063577A" w:rsidRDefault="00A43FDE" w:rsidP="00111409">
      <w:pPr>
        <w:spacing w:before="240" w:after="80" w:line="240" w:lineRule="auto"/>
      </w:pPr>
      <w:r w:rsidRPr="0063577A">
        <w:t xml:space="preserve">Reed, J.E. and Card, A.J. (2016) ‘The problem with Plan–Do–Study–Act cycles’, </w:t>
      </w:r>
      <w:r w:rsidRPr="0063577A">
        <w:rPr>
          <w:i/>
          <w:iCs/>
        </w:rPr>
        <w:t>BMJ Quality &amp; Safety</w:t>
      </w:r>
      <w:r w:rsidRPr="0063577A">
        <w:t xml:space="preserve">, 25(3), pp. 147–152. Available at: </w:t>
      </w:r>
      <w:hyperlink r:id="rId38" w:tgtFrame="_new" w:history="1">
        <w:r w:rsidRPr="0063577A">
          <w:rPr>
            <w:rStyle w:val="Hyperlink"/>
          </w:rPr>
          <w:t>https://doi.org/10.1136/bmjqs-2015-005076</w:t>
        </w:r>
      </w:hyperlink>
      <w:r w:rsidRPr="0063577A">
        <w:t xml:space="preserve"> (Accessed: 18 July 2026).</w:t>
      </w:r>
    </w:p>
    <w:p w14:paraId="07493D36" w14:textId="77777777" w:rsidR="00A43FDE" w:rsidRPr="0063577A" w:rsidRDefault="00A43FDE" w:rsidP="00111409">
      <w:pPr>
        <w:spacing w:before="240" w:after="80" w:line="240" w:lineRule="auto"/>
      </w:pPr>
      <w:r w:rsidRPr="0063577A">
        <w:t xml:space="preserve">Scally, G. and Donaldson, L.J. (1998) ‘Clinical governance and the drive for quality improvement in the new NHS in England’, </w:t>
      </w:r>
      <w:r w:rsidRPr="0063577A">
        <w:rPr>
          <w:i/>
          <w:iCs/>
        </w:rPr>
        <w:t>BMJ</w:t>
      </w:r>
      <w:r w:rsidRPr="0063577A">
        <w:t xml:space="preserve">, 317(7150), pp. 61–65. Available at: </w:t>
      </w:r>
      <w:hyperlink r:id="rId39" w:tgtFrame="_new" w:history="1">
        <w:r w:rsidRPr="0063577A">
          <w:rPr>
            <w:rStyle w:val="Hyperlink"/>
          </w:rPr>
          <w:t>https://doi.org/10.1136/bmj.317.7150.61</w:t>
        </w:r>
      </w:hyperlink>
      <w:r w:rsidRPr="0063577A">
        <w:t xml:space="preserve"> (Accessed: 18 July 2026).</w:t>
      </w:r>
    </w:p>
    <w:p w14:paraId="1FBDF3DF" w14:textId="77777777" w:rsidR="00A43FDE" w:rsidRPr="0063577A" w:rsidRDefault="00A43FDE" w:rsidP="00111409">
      <w:pPr>
        <w:spacing w:before="240" w:after="80" w:line="240" w:lineRule="auto"/>
      </w:pPr>
      <w:r w:rsidRPr="0063577A">
        <w:t xml:space="preserve">Spiegelhalter, D.J., Aylin, P., Best, N.G., Evans, S.J.W. and Murray, G.D. (2002) ‘Mortality and volume of cases in paediatric cardiac surgery: Retrospective study based on routinely collected data’, </w:t>
      </w:r>
      <w:r w:rsidRPr="0063577A">
        <w:rPr>
          <w:i/>
        </w:rPr>
        <w:t>BMJ</w:t>
      </w:r>
      <w:r w:rsidRPr="0063577A">
        <w:t xml:space="preserve">, 324(7332), pp. 261-263. Available at: </w:t>
      </w:r>
      <w:hyperlink r:id="rId40">
        <w:r w:rsidRPr="0063577A">
          <w:rPr>
            <w:color w:val="0563C1"/>
            <w:u w:val="single"/>
          </w:rPr>
          <w:t>https://doi.org/10.1136/bmj.324.7332.261</w:t>
        </w:r>
      </w:hyperlink>
      <w:r w:rsidRPr="0063577A">
        <w:t xml:space="preserve"> (Accessed: 18 July 2026).</w:t>
      </w:r>
    </w:p>
    <w:p w14:paraId="55416EC7" w14:textId="77777777" w:rsidR="00A43FDE" w:rsidRPr="0063577A" w:rsidRDefault="00A43FDE" w:rsidP="00111409">
      <w:pPr>
        <w:spacing w:before="240" w:after="80" w:line="240" w:lineRule="auto"/>
      </w:pPr>
      <w:r w:rsidRPr="0063577A">
        <w:t xml:space="preserve">Taylor, M.J., McNicholas, C., Nicolay, C., Darzi, A., Bell, D. and Reed, J.E. (2014) ‘Systematic review of the application of the Plan–Do–Study–Act method to improve quality in healthcare’, </w:t>
      </w:r>
      <w:r w:rsidRPr="0063577A">
        <w:rPr>
          <w:i/>
          <w:iCs/>
        </w:rPr>
        <w:t>BMJ Quality &amp; Safety</w:t>
      </w:r>
      <w:r w:rsidRPr="0063577A">
        <w:t xml:space="preserve">, 23(4), pp. 290–298. Available at: </w:t>
      </w:r>
      <w:hyperlink r:id="rId41" w:tgtFrame="_new" w:history="1">
        <w:r w:rsidRPr="0063577A">
          <w:rPr>
            <w:rStyle w:val="Hyperlink"/>
          </w:rPr>
          <w:t>https://doi.org/10.1136/bmjqs-2013-001862</w:t>
        </w:r>
      </w:hyperlink>
      <w:r w:rsidRPr="0063577A">
        <w:t xml:space="preserve"> (Accessed: 18 July 2026).</w:t>
      </w:r>
    </w:p>
    <w:p w14:paraId="4A43AE0C" w14:textId="77777777" w:rsidR="00A43FDE" w:rsidRPr="0063577A" w:rsidRDefault="00A43FDE" w:rsidP="00111409">
      <w:pPr>
        <w:spacing w:before="240" w:after="80" w:line="240" w:lineRule="auto"/>
      </w:pPr>
      <w:r w:rsidRPr="0063577A">
        <w:t xml:space="preserve">Vincent, C. (2010) </w:t>
      </w:r>
      <w:r w:rsidRPr="0063577A">
        <w:rPr>
          <w:i/>
          <w:iCs/>
        </w:rPr>
        <w:t>Patient Safety</w:t>
      </w:r>
      <w:r w:rsidRPr="0063577A">
        <w:t xml:space="preserve">. 2nd </w:t>
      </w:r>
      <w:proofErr w:type="spellStart"/>
      <w:r w:rsidRPr="0063577A">
        <w:t>edn</w:t>
      </w:r>
      <w:proofErr w:type="spellEnd"/>
      <w:r w:rsidRPr="0063577A">
        <w:t>. Oxford: Wiley-Blackwell.</w:t>
      </w:r>
    </w:p>
    <w:p w14:paraId="2178CF76" w14:textId="77777777" w:rsidR="00A43FDE" w:rsidRPr="0063577A" w:rsidRDefault="00A43FDE" w:rsidP="00111409">
      <w:pPr>
        <w:spacing w:before="240" w:after="80" w:line="240" w:lineRule="auto"/>
      </w:pPr>
      <w:r w:rsidRPr="0063577A">
        <w:t xml:space="preserve">Wiegmann, D.A., Wood, L.J., Cohen, T.N. and Shappell, S.A. (2022) ‘Understanding the Swiss Cheese Model and its application to patient safety’, </w:t>
      </w:r>
      <w:r w:rsidRPr="0063577A">
        <w:rPr>
          <w:i/>
          <w:iCs/>
        </w:rPr>
        <w:t>Journal of Patient Safety</w:t>
      </w:r>
      <w:r w:rsidRPr="0063577A">
        <w:t xml:space="preserve">, 18(2), pp. 119–123. Available at: </w:t>
      </w:r>
      <w:hyperlink r:id="rId42" w:tgtFrame="_new" w:history="1">
        <w:r w:rsidRPr="0063577A">
          <w:rPr>
            <w:rStyle w:val="Hyperlink"/>
          </w:rPr>
          <w:t>https://doi.org/10.1097/PTS.0000000000000810</w:t>
        </w:r>
      </w:hyperlink>
      <w:r w:rsidRPr="0063577A">
        <w:t xml:space="preserve"> (Accessed: 18 July 2026).</w:t>
      </w:r>
    </w:p>
    <w:p w14:paraId="32BBB830" w14:textId="77777777" w:rsidR="002D6F1C" w:rsidRDefault="002D6F1C">
      <w:pPr>
        <w:spacing w:after="80" w:line="360" w:lineRule="auto"/>
      </w:pPr>
    </w:p>
    <w:sectPr w:rsidR="002D6F1C">
      <w:footerReference w:type="default" r:id="rId4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B18B24" w14:textId="77777777" w:rsidR="00B945B5" w:rsidRDefault="00B945B5">
      <w:pPr>
        <w:spacing w:after="0" w:line="240" w:lineRule="auto"/>
      </w:pPr>
      <w:r>
        <w:separator/>
      </w:r>
    </w:p>
  </w:endnote>
  <w:endnote w:type="continuationSeparator" w:id="0">
    <w:p w14:paraId="5E14AEFE" w14:textId="77777777" w:rsidR="00B945B5" w:rsidRDefault="00B945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737733" w14:textId="5D547B13" w:rsidR="002D6F1C" w:rsidRDefault="002D6F1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3246F0" w14:textId="77777777" w:rsidR="00B945B5" w:rsidRDefault="00B945B5">
      <w:pPr>
        <w:spacing w:after="0" w:line="240" w:lineRule="auto"/>
      </w:pPr>
      <w:r>
        <w:separator/>
      </w:r>
    </w:p>
  </w:footnote>
  <w:footnote w:type="continuationSeparator" w:id="0">
    <w:p w14:paraId="526C44E4" w14:textId="77777777" w:rsidR="00B945B5" w:rsidRDefault="00B945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314604385">
    <w:abstractNumId w:val="8"/>
  </w:num>
  <w:num w:numId="2" w16cid:durableId="144587211">
    <w:abstractNumId w:val="6"/>
  </w:num>
  <w:num w:numId="3" w16cid:durableId="87821091">
    <w:abstractNumId w:val="5"/>
  </w:num>
  <w:num w:numId="4" w16cid:durableId="1239559172">
    <w:abstractNumId w:val="4"/>
  </w:num>
  <w:num w:numId="5" w16cid:durableId="1673095617">
    <w:abstractNumId w:val="7"/>
  </w:num>
  <w:num w:numId="6" w16cid:durableId="1647319322">
    <w:abstractNumId w:val="3"/>
  </w:num>
  <w:num w:numId="7" w16cid:durableId="1271477140">
    <w:abstractNumId w:val="2"/>
  </w:num>
  <w:num w:numId="8" w16cid:durableId="2137943657">
    <w:abstractNumId w:val="1"/>
  </w:num>
  <w:num w:numId="9" w16cid:durableId="20819070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C2612"/>
    <w:rsid w:val="00111409"/>
    <w:rsid w:val="0015074B"/>
    <w:rsid w:val="002359B3"/>
    <w:rsid w:val="00245DA2"/>
    <w:rsid w:val="00281613"/>
    <w:rsid w:val="0029639D"/>
    <w:rsid w:val="002D6F1C"/>
    <w:rsid w:val="00326F90"/>
    <w:rsid w:val="003D2A48"/>
    <w:rsid w:val="00431EAF"/>
    <w:rsid w:val="00486D7E"/>
    <w:rsid w:val="005935C8"/>
    <w:rsid w:val="00596B22"/>
    <w:rsid w:val="005B70EF"/>
    <w:rsid w:val="0063577A"/>
    <w:rsid w:val="007149B6"/>
    <w:rsid w:val="007B754B"/>
    <w:rsid w:val="00892CA8"/>
    <w:rsid w:val="00895A07"/>
    <w:rsid w:val="00A43FDE"/>
    <w:rsid w:val="00AA1D8D"/>
    <w:rsid w:val="00B44EF9"/>
    <w:rsid w:val="00B47730"/>
    <w:rsid w:val="00B80F1A"/>
    <w:rsid w:val="00B945B5"/>
    <w:rsid w:val="00C6773A"/>
    <w:rsid w:val="00CA43A2"/>
    <w:rsid w:val="00CB0664"/>
    <w:rsid w:val="00CD34D6"/>
    <w:rsid w:val="00E97765"/>
    <w:rsid w:val="00EA0721"/>
    <w:rsid w:val="00F76988"/>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AF54162"/>
  <w14:defaultImageDpi w14:val="300"/>
  <w15:docId w15:val="{58587BE2-4A9F-4E8A-A506-6A7990643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eastAsia="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1F4E79"/>
      <w:sz w:val="30"/>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1F4E79"/>
      <w:sz w:val="25"/>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A43FDE"/>
    <w:pPr>
      <w:spacing w:after="100"/>
    </w:pPr>
  </w:style>
  <w:style w:type="paragraph" w:styleId="TOC2">
    <w:name w:val="toc 2"/>
    <w:basedOn w:val="Normal"/>
    <w:next w:val="Normal"/>
    <w:autoRedefine/>
    <w:uiPriority w:val="39"/>
    <w:unhideWhenUsed/>
    <w:rsid w:val="00A43FDE"/>
    <w:pPr>
      <w:spacing w:after="100"/>
      <w:ind w:left="220"/>
    </w:pPr>
  </w:style>
  <w:style w:type="character" w:styleId="Hyperlink">
    <w:name w:val="Hyperlink"/>
    <w:basedOn w:val="DefaultParagraphFont"/>
    <w:uiPriority w:val="99"/>
    <w:unhideWhenUsed/>
    <w:rsid w:val="00A43FDE"/>
    <w:rPr>
      <w:color w:val="0000FF" w:themeColor="hyperlink"/>
      <w:u w:val="single"/>
    </w:rPr>
  </w:style>
  <w:style w:type="character" w:styleId="UnresolvedMention">
    <w:name w:val="Unresolved Mention"/>
    <w:basedOn w:val="DefaultParagraphFont"/>
    <w:uiPriority w:val="99"/>
    <w:semiHidden/>
    <w:unhideWhenUsed/>
    <w:rsid w:val="00A43FD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1/jama.299.10.1182" TargetMode="External"/><Relationship Id="rId18" Type="http://schemas.openxmlformats.org/officeDocument/2006/relationships/hyperlink" Target="https://doi.org/10.1136/bmj.l5514" TargetMode="External"/><Relationship Id="rId26" Type="http://schemas.openxmlformats.org/officeDocument/2006/relationships/hyperlink" Target="https://doi.org/10.1136/bmj.329.7463.450" TargetMode="External"/><Relationship Id="rId39" Type="http://schemas.openxmlformats.org/officeDocument/2006/relationships/hyperlink" Target="https://doi.org/10.1136/bmj.317.7150.61" TargetMode="External"/><Relationship Id="rId21" Type="http://schemas.openxmlformats.org/officeDocument/2006/relationships/hyperlink" Target="https://www.gmc-uk.org/professional-standards/the-professional-standards/good-medical-practice" TargetMode="External"/><Relationship Id="rId34" Type="http://schemas.openxmlformats.org/officeDocument/2006/relationships/hyperlink" Target="https://www.england.nhs.uk/wp-content/uploads/2018/08/Congenital-heart-disease-standards-and-specifications.pdf" TargetMode="External"/><Relationship Id="rId42" Type="http://schemas.openxmlformats.org/officeDocument/2006/relationships/hyperlink" Target="https://doi.org/10.1097/PTS.0000000000000810"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qc.org.uk/guidance-regulation/providers/regulations-service-providers-and-managers/health-social-care-act/regulation-17" TargetMode="External"/><Relationship Id="rId29" Type="http://schemas.openxmlformats.org/officeDocument/2006/relationships/hyperlink" Target="https://www.bmj.com/content/323/7305/125.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1108/17554251011064837" TargetMode="External"/><Relationship Id="rId32" Type="http://schemas.openxmlformats.org/officeDocument/2006/relationships/hyperlink" Target="https://www.england.nhs.uk/patient-safety/the-nhs-patient-safety-strategy/" TargetMode="External"/><Relationship Id="rId37" Type="http://schemas.openxmlformats.org/officeDocument/2006/relationships/hyperlink" Target="https://doi.org/10.1136/bmj.320.7237.768" TargetMode="External"/><Relationship Id="rId40" Type="http://schemas.openxmlformats.org/officeDocument/2006/relationships/hyperlink" Target="https://doi.org/10.1136/bmj.324.7332.261"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cqc.org.uk/guidance-regulation/providers/regulations-service-providers-and-managers/health-social-care-act/regulation-12" TargetMode="External"/><Relationship Id="rId23" Type="http://schemas.openxmlformats.org/officeDocument/2006/relationships/hyperlink" Target="https://www.legislation.gov.uk/uksi/2014/2936/contents" TargetMode="External"/><Relationship Id="rId28" Type="http://schemas.openxmlformats.org/officeDocument/2006/relationships/hyperlink" Target="https://doi.org/10.1136/bmj.k4907" TargetMode="External"/><Relationship Id="rId36" Type="http://schemas.openxmlformats.org/officeDocument/2006/relationships/hyperlink" Target="https://www.england.nhs.uk/patient-safety/patient-safety-insight/learning-from-patient-safety-events/learn-from-patient-safety-events-service/" TargetMode="External"/><Relationship Id="rId10" Type="http://schemas.openxmlformats.org/officeDocument/2006/relationships/image" Target="media/image3.png"/><Relationship Id="rId19" Type="http://schemas.openxmlformats.org/officeDocument/2006/relationships/hyperlink" Target="https://doi.org/10.1001/jama.1988.03410120089033" TargetMode="External"/><Relationship Id="rId31" Type="http://schemas.openxmlformats.org/officeDocument/2006/relationships/hyperlink" Target="https://www.nice.org.uk/guidance/ng197"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136/bmjqs-2016-005849" TargetMode="External"/><Relationship Id="rId22" Type="http://schemas.openxmlformats.org/officeDocument/2006/relationships/hyperlink" Target="https://doi.org/10.2147/JHL.S289176" TargetMode="External"/><Relationship Id="rId27" Type="http://schemas.openxmlformats.org/officeDocument/2006/relationships/hyperlink" Target="https://www.bristol-inquiry.org.uk/final_report/the_report.pdf" TargetMode="External"/><Relationship Id="rId30" Type="http://schemas.openxmlformats.org/officeDocument/2006/relationships/hyperlink" Target="https://www.nicor.org.uk/2025-annual-summary-reports" TargetMode="External"/><Relationship Id="rId35" Type="http://schemas.openxmlformats.org/officeDocument/2006/relationships/hyperlink" Target="https://www.england.nhs.uk/wp-content/uploads/2024/05/PRN231104-chd-paediatric-cardiac-network-specification-2023-.pdf" TargetMode="External"/><Relationship Id="rId43"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gov.uk/government/publications/the-department-of-healths-response-to-the-report-of-the-public-inquiry-into-childrens-heart-surgery-at-the-bristol-royal-infirmary" TargetMode="External"/><Relationship Id="rId25" Type="http://schemas.openxmlformats.org/officeDocument/2006/relationships/hyperlink" Target="https://doi.org/10.1136/bmjqs-2011-000010" TargetMode="External"/><Relationship Id="rId33" Type="http://schemas.openxmlformats.org/officeDocument/2006/relationships/hyperlink" Target="https://www.england.nhs.uk/patient-safety/patient-safety-insight/incident-response-framework/" TargetMode="External"/><Relationship Id="rId38" Type="http://schemas.openxmlformats.org/officeDocument/2006/relationships/hyperlink" Target="https://doi.org/10.1136/bmjqs-2015-005076" TargetMode="External"/><Relationship Id="rId20" Type="http://schemas.openxmlformats.org/officeDocument/2006/relationships/hyperlink" Target="https://www.bmj.com/content/323/7306/181" TargetMode="External"/><Relationship Id="rId41" Type="http://schemas.openxmlformats.org/officeDocument/2006/relationships/hyperlink" Target="https://doi.org/10.1136/bmjqs-2013-00186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17</Pages>
  <Words>5376</Words>
  <Characters>30645</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When Paediatric Cardiac Care Lost Its Assurance Signal: The Bristol Royal Infirmary Inquiry</vt:lpstr>
    </vt:vector>
  </TitlesOfParts>
  <Manager/>
  <Company/>
  <LinksUpToDate>false</LinksUpToDate>
  <CharactersWithSpaces>35950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When Paediatric Cardiac Care Lost Its Assurance Signal: The Bristol Royal Infirmary Inquiry</dc:title>
  <dc:subject>LCHS7006 Component 2 Service Improvement Report</dc:subject>
  <dc:creator>hp</dc:creator>
  <cp:keywords/>
  <dc:description/>
  <cp:lastModifiedBy>Ritu Panna Saha</cp:lastModifiedBy>
  <cp:revision>7</cp:revision>
  <dcterms:created xsi:type="dcterms:W3CDTF">2026-07-23T07:22:00Z</dcterms:created>
  <dcterms:modified xsi:type="dcterms:W3CDTF">2026-07-23T18:46:00Z</dcterms:modified>
  <cp:category/>
</cp:coreProperties>
</file>