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19552E" w14:textId="5B206CD8" w:rsidR="00A22258" w:rsidRDefault="00F71E20" w:rsidP="00F71E20">
      <w:pPr>
        <w:rPr>
          <w:rFonts w:ascii="Times New Roman" w:eastAsia="Times New Roman" w:hAnsi="Times New Roman" w:cs="Times New Roman"/>
          <w:b/>
          <w:sz w:val="32"/>
          <w:szCs w:val="32"/>
        </w:rPr>
      </w:pPr>
      <w:r w:rsidRPr="00A92050">
        <w:rPr>
          <w:noProof/>
        </w:rPr>
        <w:drawing>
          <wp:inline distT="0" distB="0" distL="0" distR="0" wp14:anchorId="05FC7A4E" wp14:editId="41ECC206">
            <wp:extent cx="2766060" cy="917292"/>
            <wp:effectExtent l="0" t="0" r="0" b="0"/>
            <wp:docPr id="18013283" name="Picture 1801328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5384" cy="923700"/>
                    </a:xfrm>
                    <a:prstGeom prst="rect">
                      <a:avLst/>
                    </a:prstGeom>
                    <a:noFill/>
                    <a:ln>
                      <a:noFill/>
                    </a:ln>
                  </pic:spPr>
                </pic:pic>
              </a:graphicData>
            </a:graphic>
          </wp:inline>
        </w:drawing>
      </w:r>
    </w:p>
    <w:p w14:paraId="0B19552F" w14:textId="77777777" w:rsidR="00A22258" w:rsidRDefault="00A22258" w:rsidP="00A22258">
      <w:pPr>
        <w:jc w:val="center"/>
        <w:rPr>
          <w:rFonts w:ascii="Times New Roman" w:eastAsia="Times New Roman" w:hAnsi="Times New Roman" w:cs="Times New Roman"/>
          <w:b/>
          <w:sz w:val="32"/>
          <w:szCs w:val="32"/>
        </w:rPr>
      </w:pPr>
    </w:p>
    <w:p w14:paraId="2699455D" w14:textId="77777777" w:rsidR="005167B6" w:rsidRDefault="005167B6" w:rsidP="00A22258">
      <w:pPr>
        <w:jc w:val="center"/>
        <w:rPr>
          <w:rFonts w:ascii="Times New Roman" w:eastAsia="Times New Roman" w:hAnsi="Times New Roman" w:cs="Times New Roman"/>
          <w:b/>
          <w:sz w:val="32"/>
          <w:szCs w:val="32"/>
        </w:rPr>
      </w:pPr>
    </w:p>
    <w:p w14:paraId="5AD0ADE8" w14:textId="77777777" w:rsidR="005167B6" w:rsidRDefault="005167B6" w:rsidP="00A22258">
      <w:pPr>
        <w:jc w:val="center"/>
        <w:rPr>
          <w:rFonts w:ascii="Times New Roman" w:eastAsia="Times New Roman" w:hAnsi="Times New Roman" w:cs="Times New Roman"/>
          <w:b/>
          <w:sz w:val="32"/>
          <w:szCs w:val="32"/>
        </w:rPr>
      </w:pPr>
    </w:p>
    <w:p w14:paraId="7D17F54B" w14:textId="77777777" w:rsidR="005167B6" w:rsidRDefault="005167B6" w:rsidP="00A22258">
      <w:pPr>
        <w:jc w:val="center"/>
        <w:rPr>
          <w:rFonts w:ascii="Times New Roman" w:eastAsia="Times New Roman" w:hAnsi="Times New Roman" w:cs="Times New Roman"/>
          <w:b/>
          <w:sz w:val="32"/>
          <w:szCs w:val="32"/>
        </w:rPr>
      </w:pPr>
    </w:p>
    <w:p w14:paraId="0B195530" w14:textId="77777777" w:rsidR="00A22258" w:rsidRDefault="00A22258" w:rsidP="00A22258">
      <w:pPr>
        <w:jc w:val="center"/>
        <w:rPr>
          <w:rFonts w:ascii="Times New Roman" w:eastAsia="Times New Roman" w:hAnsi="Times New Roman" w:cs="Times New Roman"/>
          <w:b/>
          <w:sz w:val="32"/>
          <w:szCs w:val="32"/>
        </w:rPr>
      </w:pPr>
    </w:p>
    <w:p w14:paraId="3E9302C0" w14:textId="77777777" w:rsidR="005167B6" w:rsidRPr="00BA1666" w:rsidRDefault="005167B6" w:rsidP="005167B6">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BUSSINESS MANAGEMENT</w:t>
      </w:r>
    </w:p>
    <w:p w14:paraId="28DD58EB" w14:textId="3EA40602" w:rsidR="005167B6" w:rsidRDefault="005167B6" w:rsidP="005167B6">
      <w:pPr>
        <w:pStyle w:val="Normal1"/>
        <w:spacing w:before="200" w:line="360" w:lineRule="auto"/>
        <w:jc w:val="center"/>
        <w:rPr>
          <w:rFonts w:ascii="Times New Roman" w:eastAsia="Times New Roman" w:hAnsi="Times New Roman" w:cs="Times New Roman"/>
          <w:b/>
          <w:sz w:val="32"/>
          <w:szCs w:val="32"/>
        </w:rPr>
      </w:pPr>
      <w:r w:rsidRPr="00BA1666">
        <w:rPr>
          <w:rFonts w:ascii="Times New Roman" w:eastAsia="Times New Roman" w:hAnsi="Times New Roman" w:cs="Times New Roman"/>
          <w:b/>
          <w:sz w:val="32"/>
          <w:szCs w:val="32"/>
        </w:rPr>
        <w:t xml:space="preserve">INTERNATIONAL </w:t>
      </w:r>
      <w:r w:rsidR="00991B7A">
        <w:rPr>
          <w:rFonts w:ascii="Times New Roman" w:eastAsia="Times New Roman" w:hAnsi="Times New Roman" w:cs="Times New Roman"/>
          <w:b/>
          <w:sz w:val="32"/>
          <w:szCs w:val="32"/>
        </w:rPr>
        <w:t>FINANCIAL MANAGEMENT</w:t>
      </w:r>
    </w:p>
    <w:p w14:paraId="4EA8E8B1" w14:textId="2155DF7F" w:rsidR="005167B6" w:rsidRDefault="005167B6" w:rsidP="005167B6">
      <w:pPr>
        <w:pStyle w:val="Normal1"/>
        <w:spacing w:before="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1</w:t>
      </w:r>
      <w:r w:rsidR="009A0EB1">
        <w:rPr>
          <w:rFonts w:ascii="Times New Roman" w:eastAsia="Times New Roman" w:hAnsi="Times New Roman" w:cs="Times New Roman"/>
          <w:b/>
          <w:sz w:val="32"/>
          <w:szCs w:val="32"/>
        </w:rPr>
        <w:t>-Written Report</w:t>
      </w:r>
    </w:p>
    <w:p w14:paraId="40F3A66B" w14:textId="77777777" w:rsidR="005167B6" w:rsidRDefault="005167B6" w:rsidP="005167B6">
      <w:pPr>
        <w:pStyle w:val="Normal1"/>
        <w:spacing w:before="200" w:line="360" w:lineRule="auto"/>
        <w:jc w:val="center"/>
        <w:rPr>
          <w:rFonts w:ascii="Times New Roman" w:eastAsia="Times New Roman" w:hAnsi="Times New Roman" w:cs="Times New Roman"/>
          <w:b/>
          <w:sz w:val="32"/>
          <w:szCs w:val="32"/>
        </w:rPr>
      </w:pPr>
    </w:p>
    <w:p w14:paraId="5E4421B9" w14:textId="77777777" w:rsidR="005167B6" w:rsidRDefault="005167B6" w:rsidP="005167B6">
      <w:pPr>
        <w:pStyle w:val="Normal1"/>
        <w:spacing w:before="200" w:line="360" w:lineRule="auto"/>
        <w:jc w:val="center"/>
        <w:rPr>
          <w:rFonts w:ascii="Times New Roman" w:eastAsia="Times New Roman" w:hAnsi="Times New Roman" w:cs="Times New Roman"/>
          <w:b/>
          <w:sz w:val="32"/>
          <w:szCs w:val="32"/>
        </w:rPr>
      </w:pPr>
    </w:p>
    <w:p w14:paraId="7F37C5F6" w14:textId="625624EB" w:rsidR="00317E94" w:rsidRPr="00D42895" w:rsidRDefault="005167B6" w:rsidP="00317E94">
      <w:pPr>
        <w:pStyle w:val="Normal1"/>
        <w:spacing w:before="200" w:line="480" w:lineRule="auto"/>
        <w:jc w:val="both"/>
        <w:rPr>
          <w:rFonts w:ascii="Times New Roman" w:eastAsia="Times New Roman" w:hAnsi="Times New Roman" w:cs="Times New Roman"/>
          <w:sz w:val="28"/>
          <w:szCs w:val="28"/>
        </w:rPr>
      </w:pPr>
      <w:r w:rsidRPr="00D42895">
        <w:rPr>
          <w:rFonts w:ascii="Times New Roman" w:eastAsia="Times New Roman" w:hAnsi="Times New Roman" w:cs="Times New Roman"/>
          <w:sz w:val="28"/>
          <w:szCs w:val="28"/>
        </w:rPr>
        <w:t>Module Code: LCBB600</w:t>
      </w:r>
      <w:r w:rsidR="009A0EB1">
        <w:rPr>
          <w:rFonts w:ascii="Times New Roman" w:eastAsia="Times New Roman" w:hAnsi="Times New Roman" w:cs="Times New Roman"/>
          <w:sz w:val="28"/>
          <w:szCs w:val="28"/>
        </w:rPr>
        <w:t>2</w:t>
      </w:r>
    </w:p>
    <w:p w14:paraId="0DF3B6AE" w14:textId="678EC60C" w:rsidR="005167B6" w:rsidRPr="00C00305" w:rsidRDefault="005167B6" w:rsidP="00317E94">
      <w:pPr>
        <w:pStyle w:val="Default"/>
        <w:spacing w:line="480" w:lineRule="auto"/>
      </w:pPr>
      <w:r w:rsidRPr="00D42895">
        <w:rPr>
          <w:rFonts w:ascii="Times New Roman" w:eastAsia="Times New Roman" w:hAnsi="Times New Roman" w:cs="Times New Roman"/>
          <w:sz w:val="28"/>
          <w:szCs w:val="28"/>
        </w:rPr>
        <w:t xml:space="preserve">Lecturer: </w:t>
      </w:r>
      <w:r w:rsidR="00C00305" w:rsidRPr="00C00305">
        <w:rPr>
          <w:rFonts w:ascii="Times New Roman" w:eastAsia="Times New Roman" w:hAnsi="Times New Roman" w:cs="Times New Roman"/>
          <w:sz w:val="28"/>
          <w:szCs w:val="28"/>
        </w:rPr>
        <w:t>Dr Andry Rakotovololona</w:t>
      </w:r>
    </w:p>
    <w:p w14:paraId="59B3EB6E" w14:textId="77777777" w:rsidR="005167B6" w:rsidRPr="00D42895" w:rsidRDefault="005167B6" w:rsidP="00317E94">
      <w:pPr>
        <w:pStyle w:val="Normal1"/>
        <w:spacing w:before="200" w:line="480" w:lineRule="auto"/>
        <w:jc w:val="both"/>
        <w:rPr>
          <w:rFonts w:ascii="Times New Roman" w:eastAsia="Times New Roman" w:hAnsi="Times New Roman" w:cs="Times New Roman"/>
          <w:sz w:val="28"/>
          <w:szCs w:val="28"/>
        </w:rPr>
      </w:pPr>
      <w:r w:rsidRPr="00D42895">
        <w:rPr>
          <w:rFonts w:ascii="Times New Roman" w:eastAsia="Times New Roman" w:hAnsi="Times New Roman" w:cs="Times New Roman"/>
          <w:sz w:val="28"/>
          <w:szCs w:val="28"/>
        </w:rPr>
        <w:t>Student: Cristina-Loredana Balaban, 2030114</w:t>
      </w:r>
    </w:p>
    <w:p w14:paraId="665BB9F8" w14:textId="77777777" w:rsidR="005167B6" w:rsidRPr="00BA1666" w:rsidRDefault="005167B6" w:rsidP="005167B6">
      <w:pPr>
        <w:pStyle w:val="Normal1"/>
        <w:spacing w:before="200" w:line="360" w:lineRule="auto"/>
        <w:jc w:val="both"/>
        <w:rPr>
          <w:rFonts w:ascii="Times New Roman" w:eastAsia="Times New Roman" w:hAnsi="Times New Roman" w:cs="Times New Roman"/>
          <w:sz w:val="24"/>
          <w:szCs w:val="24"/>
        </w:rPr>
      </w:pPr>
    </w:p>
    <w:p w14:paraId="67FA4538" w14:textId="77777777" w:rsidR="005167B6" w:rsidRDefault="005167B6" w:rsidP="005167B6">
      <w:pPr>
        <w:pStyle w:val="Heading1"/>
      </w:pPr>
    </w:p>
    <w:p w14:paraId="073E654A" w14:textId="77777777" w:rsidR="005167B6" w:rsidRDefault="005167B6" w:rsidP="005167B6">
      <w:pPr>
        <w:pStyle w:val="Normal1"/>
      </w:pPr>
    </w:p>
    <w:p w14:paraId="7FC08997" w14:textId="77777777" w:rsidR="005167B6" w:rsidRDefault="005167B6" w:rsidP="005167B6">
      <w:pPr>
        <w:pStyle w:val="Normal1"/>
      </w:pPr>
    </w:p>
    <w:p w14:paraId="186B7186" w14:textId="77777777" w:rsidR="005167B6" w:rsidRDefault="005167B6" w:rsidP="005167B6">
      <w:pPr>
        <w:pStyle w:val="Normal1"/>
      </w:pPr>
    </w:p>
    <w:p w14:paraId="0B195531" w14:textId="7B4F0B66" w:rsidR="00A22258" w:rsidRDefault="005167B6" w:rsidP="009A0EB1">
      <w:pPr>
        <w:rPr>
          <w:rFonts w:ascii="Times New Roman" w:eastAsia="Times New Roman" w:hAnsi="Times New Roman" w:cs="Times New Roman"/>
          <w:b/>
          <w:sz w:val="32"/>
          <w:szCs w:val="32"/>
        </w:rPr>
      </w:pPr>
      <w:r>
        <w:t xml:space="preserve">                                                                 </w:t>
      </w:r>
      <w:r w:rsidRPr="00AD22B2">
        <w:rPr>
          <w:i/>
          <w:iCs/>
        </w:rPr>
        <w:t>2</w:t>
      </w:r>
      <w:r w:rsidR="009A0EB1">
        <w:rPr>
          <w:i/>
          <w:iCs/>
        </w:rPr>
        <w:t>1</w:t>
      </w:r>
      <w:r w:rsidRPr="00AD22B2">
        <w:rPr>
          <w:i/>
          <w:iCs/>
        </w:rPr>
        <w:t xml:space="preserve"> of August 2024</w:t>
      </w:r>
    </w:p>
    <w:p w14:paraId="0B19553C" w14:textId="0CE16958" w:rsidR="00A22258" w:rsidRPr="00A22258" w:rsidRDefault="00A22258" w:rsidP="00BF03F5">
      <w:pPr>
        <w:rPr>
          <w:rFonts w:ascii="Times New Roman" w:eastAsia="Times New Roman" w:hAnsi="Times New Roman" w:cs="Times New Roman"/>
          <w:b/>
          <w:sz w:val="32"/>
          <w:szCs w:val="32"/>
        </w:rPr>
      </w:pPr>
      <w:r w:rsidRPr="00A22258">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val="en" w:eastAsia="en-GB"/>
        </w:rPr>
        <w:id w:val="1754847851"/>
        <w:docPartObj>
          <w:docPartGallery w:val="Table of Contents"/>
          <w:docPartUnique/>
        </w:docPartObj>
      </w:sdtPr>
      <w:sdtEndPr>
        <w:rPr>
          <w:noProof/>
        </w:rPr>
      </w:sdtEndPr>
      <w:sdtContent>
        <w:p w14:paraId="62B06A9D" w14:textId="77777777" w:rsidR="00EC135C" w:rsidRDefault="00EC135C" w:rsidP="00A22258">
          <w:pPr>
            <w:pStyle w:val="TOCHeading"/>
            <w:jc w:val="center"/>
            <w:rPr>
              <w:rFonts w:ascii="Arial" w:eastAsia="Arial" w:hAnsi="Arial" w:cs="Arial"/>
              <w:b w:val="0"/>
              <w:bCs w:val="0"/>
              <w:color w:val="auto"/>
              <w:sz w:val="22"/>
              <w:szCs w:val="22"/>
              <w:lang w:val="en" w:eastAsia="en-GB"/>
            </w:rPr>
          </w:pPr>
        </w:p>
        <w:p w14:paraId="0B19553D" w14:textId="464BBD77" w:rsidR="00A22258" w:rsidRPr="00F87366" w:rsidRDefault="00A22258" w:rsidP="00F87366">
          <w:pPr>
            <w:pStyle w:val="TOCHeading"/>
            <w:spacing w:line="480" w:lineRule="auto"/>
            <w:jc w:val="center"/>
            <w:rPr>
              <w:rFonts w:ascii="Times New Roman" w:hAnsi="Times New Roman" w:cs="Times New Roman"/>
              <w:i/>
              <w:iCs/>
              <w:color w:val="000000" w:themeColor="text1"/>
            </w:rPr>
          </w:pPr>
          <w:r w:rsidRPr="00F87366">
            <w:rPr>
              <w:rFonts w:ascii="Times New Roman" w:hAnsi="Times New Roman" w:cs="Times New Roman"/>
              <w:i/>
              <w:iCs/>
              <w:color w:val="000000" w:themeColor="text1"/>
            </w:rPr>
            <w:t>Table of Contents</w:t>
          </w:r>
        </w:p>
        <w:p w14:paraId="643094D6" w14:textId="33477E18" w:rsidR="00D46907" w:rsidRPr="00F87366" w:rsidRDefault="00A22258"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r w:rsidRPr="00F87366">
            <w:rPr>
              <w:rFonts w:ascii="Times New Roman" w:hAnsi="Times New Roman" w:cs="Times New Roman"/>
              <w:sz w:val="28"/>
              <w:szCs w:val="28"/>
            </w:rPr>
            <w:fldChar w:fldCharType="begin"/>
          </w:r>
          <w:r w:rsidRPr="00F87366">
            <w:rPr>
              <w:rFonts w:ascii="Times New Roman" w:hAnsi="Times New Roman" w:cs="Times New Roman"/>
              <w:sz w:val="28"/>
              <w:szCs w:val="28"/>
            </w:rPr>
            <w:instrText xml:space="preserve"> TOC \o "1-3" \h \z \u </w:instrText>
          </w:r>
          <w:r w:rsidRPr="00F87366">
            <w:rPr>
              <w:rFonts w:ascii="Times New Roman" w:hAnsi="Times New Roman" w:cs="Times New Roman"/>
              <w:sz w:val="28"/>
              <w:szCs w:val="28"/>
            </w:rPr>
            <w:fldChar w:fldCharType="separate"/>
          </w:r>
          <w:hyperlink w:anchor="_Toc174982001" w:history="1">
            <w:r w:rsidR="00D46907" w:rsidRPr="00F87366">
              <w:rPr>
                <w:rStyle w:val="Hyperlink"/>
                <w:rFonts w:ascii="Times New Roman" w:hAnsi="Times New Roman" w:cs="Times New Roman"/>
                <w:noProof/>
                <w:sz w:val="28"/>
                <w:szCs w:val="28"/>
              </w:rPr>
              <w:t>Introduction</w:t>
            </w:r>
            <w:r w:rsidR="00D46907" w:rsidRPr="00F87366">
              <w:rPr>
                <w:rFonts w:ascii="Times New Roman" w:hAnsi="Times New Roman" w:cs="Times New Roman"/>
                <w:noProof/>
                <w:webHidden/>
                <w:sz w:val="28"/>
                <w:szCs w:val="28"/>
              </w:rPr>
              <w:tab/>
            </w:r>
            <w:r w:rsidR="00D46907" w:rsidRPr="00F87366">
              <w:rPr>
                <w:rFonts w:ascii="Times New Roman" w:hAnsi="Times New Roman" w:cs="Times New Roman"/>
                <w:noProof/>
                <w:webHidden/>
                <w:sz w:val="28"/>
                <w:szCs w:val="28"/>
              </w:rPr>
              <w:fldChar w:fldCharType="begin"/>
            </w:r>
            <w:r w:rsidR="00D46907" w:rsidRPr="00F87366">
              <w:rPr>
                <w:rFonts w:ascii="Times New Roman" w:hAnsi="Times New Roman" w:cs="Times New Roman"/>
                <w:noProof/>
                <w:webHidden/>
                <w:sz w:val="28"/>
                <w:szCs w:val="28"/>
              </w:rPr>
              <w:instrText xml:space="preserve"> PAGEREF _Toc174982001 \h </w:instrText>
            </w:r>
            <w:r w:rsidR="00D46907" w:rsidRPr="00F87366">
              <w:rPr>
                <w:rFonts w:ascii="Times New Roman" w:hAnsi="Times New Roman" w:cs="Times New Roman"/>
                <w:noProof/>
                <w:webHidden/>
                <w:sz w:val="28"/>
                <w:szCs w:val="28"/>
              </w:rPr>
            </w:r>
            <w:r w:rsidR="00D46907" w:rsidRPr="00F87366">
              <w:rPr>
                <w:rFonts w:ascii="Times New Roman" w:hAnsi="Times New Roman" w:cs="Times New Roman"/>
                <w:noProof/>
                <w:webHidden/>
                <w:sz w:val="28"/>
                <w:szCs w:val="28"/>
              </w:rPr>
              <w:fldChar w:fldCharType="separate"/>
            </w:r>
            <w:r w:rsidR="00D46907" w:rsidRPr="00F87366">
              <w:rPr>
                <w:rFonts w:ascii="Times New Roman" w:hAnsi="Times New Roman" w:cs="Times New Roman"/>
                <w:noProof/>
                <w:webHidden/>
                <w:sz w:val="28"/>
                <w:szCs w:val="28"/>
              </w:rPr>
              <w:t>3</w:t>
            </w:r>
            <w:r w:rsidR="00D46907" w:rsidRPr="00F87366">
              <w:rPr>
                <w:rFonts w:ascii="Times New Roman" w:hAnsi="Times New Roman" w:cs="Times New Roman"/>
                <w:noProof/>
                <w:webHidden/>
                <w:sz w:val="28"/>
                <w:szCs w:val="28"/>
              </w:rPr>
              <w:fldChar w:fldCharType="end"/>
            </w:r>
          </w:hyperlink>
        </w:p>
        <w:p w14:paraId="36CAB3C7" w14:textId="6C582CD4" w:rsidR="00D46907" w:rsidRPr="00F87366" w:rsidRDefault="00D46907"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hyperlink w:anchor="_Toc174982002" w:history="1">
            <w:r w:rsidRPr="00F87366">
              <w:rPr>
                <w:rStyle w:val="Hyperlink"/>
                <w:rFonts w:ascii="Times New Roman" w:hAnsi="Times New Roman" w:cs="Times New Roman"/>
                <w:noProof/>
                <w:sz w:val="28"/>
                <w:szCs w:val="28"/>
              </w:rPr>
              <w:t>Theoretical Frameworks related to International Financial Management for Tesco</w:t>
            </w:r>
            <w:r w:rsidRPr="00F87366">
              <w:rPr>
                <w:rFonts w:ascii="Times New Roman" w:hAnsi="Times New Roman" w:cs="Times New Roman"/>
                <w:noProof/>
                <w:webHidden/>
                <w:sz w:val="28"/>
                <w:szCs w:val="28"/>
              </w:rPr>
              <w:tab/>
            </w:r>
            <w:r w:rsidRPr="00F87366">
              <w:rPr>
                <w:rFonts w:ascii="Times New Roman" w:hAnsi="Times New Roman" w:cs="Times New Roman"/>
                <w:noProof/>
                <w:webHidden/>
                <w:sz w:val="28"/>
                <w:szCs w:val="28"/>
              </w:rPr>
              <w:fldChar w:fldCharType="begin"/>
            </w:r>
            <w:r w:rsidRPr="00F87366">
              <w:rPr>
                <w:rFonts w:ascii="Times New Roman" w:hAnsi="Times New Roman" w:cs="Times New Roman"/>
                <w:noProof/>
                <w:webHidden/>
                <w:sz w:val="28"/>
                <w:szCs w:val="28"/>
              </w:rPr>
              <w:instrText xml:space="preserve"> PAGEREF _Toc174982002 \h </w:instrText>
            </w:r>
            <w:r w:rsidRPr="00F87366">
              <w:rPr>
                <w:rFonts w:ascii="Times New Roman" w:hAnsi="Times New Roman" w:cs="Times New Roman"/>
                <w:noProof/>
                <w:webHidden/>
                <w:sz w:val="28"/>
                <w:szCs w:val="28"/>
              </w:rPr>
            </w:r>
            <w:r w:rsidRPr="00F87366">
              <w:rPr>
                <w:rFonts w:ascii="Times New Roman" w:hAnsi="Times New Roman" w:cs="Times New Roman"/>
                <w:noProof/>
                <w:webHidden/>
                <w:sz w:val="28"/>
                <w:szCs w:val="28"/>
              </w:rPr>
              <w:fldChar w:fldCharType="separate"/>
            </w:r>
            <w:r w:rsidRPr="00F87366">
              <w:rPr>
                <w:rFonts w:ascii="Times New Roman" w:hAnsi="Times New Roman" w:cs="Times New Roman"/>
                <w:noProof/>
                <w:webHidden/>
                <w:sz w:val="28"/>
                <w:szCs w:val="28"/>
              </w:rPr>
              <w:t>3</w:t>
            </w:r>
            <w:r w:rsidRPr="00F87366">
              <w:rPr>
                <w:rFonts w:ascii="Times New Roman" w:hAnsi="Times New Roman" w:cs="Times New Roman"/>
                <w:noProof/>
                <w:webHidden/>
                <w:sz w:val="28"/>
                <w:szCs w:val="28"/>
              </w:rPr>
              <w:fldChar w:fldCharType="end"/>
            </w:r>
          </w:hyperlink>
        </w:p>
        <w:p w14:paraId="195FB190" w14:textId="1B08AD38" w:rsidR="00D46907" w:rsidRPr="00F87366" w:rsidRDefault="00D46907"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hyperlink w:anchor="_Toc174982003" w:history="1">
            <w:r w:rsidRPr="00F87366">
              <w:rPr>
                <w:rStyle w:val="Hyperlink"/>
                <w:rFonts w:ascii="Times New Roman" w:hAnsi="Times New Roman" w:cs="Times New Roman"/>
                <w:noProof/>
                <w:sz w:val="28"/>
                <w:szCs w:val="28"/>
              </w:rPr>
              <w:t>Strategies for Managing Tesco’s Foreign Exchange Risk</w:t>
            </w:r>
            <w:r w:rsidRPr="00F87366">
              <w:rPr>
                <w:rFonts w:ascii="Times New Roman" w:hAnsi="Times New Roman" w:cs="Times New Roman"/>
                <w:noProof/>
                <w:webHidden/>
                <w:sz w:val="28"/>
                <w:szCs w:val="28"/>
              </w:rPr>
              <w:tab/>
            </w:r>
            <w:r w:rsidRPr="00F87366">
              <w:rPr>
                <w:rFonts w:ascii="Times New Roman" w:hAnsi="Times New Roman" w:cs="Times New Roman"/>
                <w:noProof/>
                <w:webHidden/>
                <w:sz w:val="28"/>
                <w:szCs w:val="28"/>
              </w:rPr>
              <w:fldChar w:fldCharType="begin"/>
            </w:r>
            <w:r w:rsidRPr="00F87366">
              <w:rPr>
                <w:rFonts w:ascii="Times New Roman" w:hAnsi="Times New Roman" w:cs="Times New Roman"/>
                <w:noProof/>
                <w:webHidden/>
                <w:sz w:val="28"/>
                <w:szCs w:val="28"/>
              </w:rPr>
              <w:instrText xml:space="preserve"> PAGEREF _Toc174982003 \h </w:instrText>
            </w:r>
            <w:r w:rsidRPr="00F87366">
              <w:rPr>
                <w:rFonts w:ascii="Times New Roman" w:hAnsi="Times New Roman" w:cs="Times New Roman"/>
                <w:noProof/>
                <w:webHidden/>
                <w:sz w:val="28"/>
                <w:szCs w:val="28"/>
              </w:rPr>
            </w:r>
            <w:r w:rsidRPr="00F87366">
              <w:rPr>
                <w:rFonts w:ascii="Times New Roman" w:hAnsi="Times New Roman" w:cs="Times New Roman"/>
                <w:noProof/>
                <w:webHidden/>
                <w:sz w:val="28"/>
                <w:szCs w:val="28"/>
              </w:rPr>
              <w:fldChar w:fldCharType="separate"/>
            </w:r>
            <w:r w:rsidRPr="00F87366">
              <w:rPr>
                <w:rFonts w:ascii="Times New Roman" w:hAnsi="Times New Roman" w:cs="Times New Roman"/>
                <w:noProof/>
                <w:webHidden/>
                <w:sz w:val="28"/>
                <w:szCs w:val="28"/>
              </w:rPr>
              <w:t>4</w:t>
            </w:r>
            <w:r w:rsidRPr="00F87366">
              <w:rPr>
                <w:rFonts w:ascii="Times New Roman" w:hAnsi="Times New Roman" w:cs="Times New Roman"/>
                <w:noProof/>
                <w:webHidden/>
                <w:sz w:val="28"/>
                <w:szCs w:val="28"/>
              </w:rPr>
              <w:fldChar w:fldCharType="end"/>
            </w:r>
          </w:hyperlink>
        </w:p>
        <w:p w14:paraId="072B93BE" w14:textId="4707E2A0" w:rsidR="00D46907" w:rsidRPr="00F87366" w:rsidRDefault="00D46907"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hyperlink w:anchor="_Toc174982004" w:history="1">
            <w:r w:rsidRPr="00F87366">
              <w:rPr>
                <w:rStyle w:val="Hyperlink"/>
                <w:rFonts w:ascii="Times New Roman" w:hAnsi="Times New Roman" w:cs="Times New Roman"/>
                <w:noProof/>
                <w:sz w:val="28"/>
                <w:szCs w:val="28"/>
              </w:rPr>
              <w:t>Methods and Techniques for Financing in Tesco</w:t>
            </w:r>
            <w:r w:rsidRPr="00F87366">
              <w:rPr>
                <w:rFonts w:ascii="Times New Roman" w:hAnsi="Times New Roman" w:cs="Times New Roman"/>
                <w:noProof/>
                <w:webHidden/>
                <w:sz w:val="28"/>
                <w:szCs w:val="28"/>
              </w:rPr>
              <w:tab/>
            </w:r>
            <w:r w:rsidRPr="00F87366">
              <w:rPr>
                <w:rFonts w:ascii="Times New Roman" w:hAnsi="Times New Roman" w:cs="Times New Roman"/>
                <w:noProof/>
                <w:webHidden/>
                <w:sz w:val="28"/>
                <w:szCs w:val="28"/>
              </w:rPr>
              <w:fldChar w:fldCharType="begin"/>
            </w:r>
            <w:r w:rsidRPr="00F87366">
              <w:rPr>
                <w:rFonts w:ascii="Times New Roman" w:hAnsi="Times New Roman" w:cs="Times New Roman"/>
                <w:noProof/>
                <w:webHidden/>
                <w:sz w:val="28"/>
                <w:szCs w:val="28"/>
              </w:rPr>
              <w:instrText xml:space="preserve"> PAGEREF _Toc174982004 \h </w:instrText>
            </w:r>
            <w:r w:rsidRPr="00F87366">
              <w:rPr>
                <w:rFonts w:ascii="Times New Roman" w:hAnsi="Times New Roman" w:cs="Times New Roman"/>
                <w:noProof/>
                <w:webHidden/>
                <w:sz w:val="28"/>
                <w:szCs w:val="28"/>
              </w:rPr>
            </w:r>
            <w:r w:rsidRPr="00F87366">
              <w:rPr>
                <w:rFonts w:ascii="Times New Roman" w:hAnsi="Times New Roman" w:cs="Times New Roman"/>
                <w:noProof/>
                <w:webHidden/>
                <w:sz w:val="28"/>
                <w:szCs w:val="28"/>
              </w:rPr>
              <w:fldChar w:fldCharType="separate"/>
            </w:r>
            <w:r w:rsidRPr="00F87366">
              <w:rPr>
                <w:rFonts w:ascii="Times New Roman" w:hAnsi="Times New Roman" w:cs="Times New Roman"/>
                <w:noProof/>
                <w:webHidden/>
                <w:sz w:val="28"/>
                <w:szCs w:val="28"/>
              </w:rPr>
              <w:t>5</w:t>
            </w:r>
            <w:r w:rsidRPr="00F87366">
              <w:rPr>
                <w:rFonts w:ascii="Times New Roman" w:hAnsi="Times New Roman" w:cs="Times New Roman"/>
                <w:noProof/>
                <w:webHidden/>
                <w:sz w:val="28"/>
                <w:szCs w:val="28"/>
              </w:rPr>
              <w:fldChar w:fldCharType="end"/>
            </w:r>
          </w:hyperlink>
        </w:p>
        <w:p w14:paraId="2DCF9CDE" w14:textId="2500021E" w:rsidR="00D46907" w:rsidRPr="00F87366" w:rsidRDefault="00D46907"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hyperlink w:anchor="_Toc174982005" w:history="1">
            <w:r w:rsidRPr="00F87366">
              <w:rPr>
                <w:rStyle w:val="Hyperlink"/>
                <w:rFonts w:ascii="Times New Roman" w:hAnsi="Times New Roman" w:cs="Times New Roman"/>
                <w:noProof/>
                <w:sz w:val="28"/>
                <w:szCs w:val="28"/>
              </w:rPr>
              <w:t>Theoretical Models of Corporate Value, International Cost of Capital, and Financial Structure</w:t>
            </w:r>
            <w:r w:rsidRPr="00F87366">
              <w:rPr>
                <w:rFonts w:ascii="Times New Roman" w:hAnsi="Times New Roman" w:cs="Times New Roman"/>
                <w:noProof/>
                <w:webHidden/>
                <w:sz w:val="28"/>
                <w:szCs w:val="28"/>
              </w:rPr>
              <w:tab/>
            </w:r>
            <w:r w:rsidRPr="00F87366">
              <w:rPr>
                <w:rFonts w:ascii="Times New Roman" w:hAnsi="Times New Roman" w:cs="Times New Roman"/>
                <w:noProof/>
                <w:webHidden/>
                <w:sz w:val="28"/>
                <w:szCs w:val="28"/>
              </w:rPr>
              <w:fldChar w:fldCharType="begin"/>
            </w:r>
            <w:r w:rsidRPr="00F87366">
              <w:rPr>
                <w:rFonts w:ascii="Times New Roman" w:hAnsi="Times New Roman" w:cs="Times New Roman"/>
                <w:noProof/>
                <w:webHidden/>
                <w:sz w:val="28"/>
                <w:szCs w:val="28"/>
              </w:rPr>
              <w:instrText xml:space="preserve"> PAGEREF _Toc174982005 \h </w:instrText>
            </w:r>
            <w:r w:rsidRPr="00F87366">
              <w:rPr>
                <w:rFonts w:ascii="Times New Roman" w:hAnsi="Times New Roman" w:cs="Times New Roman"/>
                <w:noProof/>
                <w:webHidden/>
                <w:sz w:val="28"/>
                <w:szCs w:val="28"/>
              </w:rPr>
            </w:r>
            <w:r w:rsidRPr="00F87366">
              <w:rPr>
                <w:rFonts w:ascii="Times New Roman" w:hAnsi="Times New Roman" w:cs="Times New Roman"/>
                <w:noProof/>
                <w:webHidden/>
                <w:sz w:val="28"/>
                <w:szCs w:val="28"/>
              </w:rPr>
              <w:fldChar w:fldCharType="separate"/>
            </w:r>
            <w:r w:rsidRPr="00F87366">
              <w:rPr>
                <w:rFonts w:ascii="Times New Roman" w:hAnsi="Times New Roman" w:cs="Times New Roman"/>
                <w:noProof/>
                <w:webHidden/>
                <w:sz w:val="28"/>
                <w:szCs w:val="28"/>
              </w:rPr>
              <w:t>6</w:t>
            </w:r>
            <w:r w:rsidRPr="00F87366">
              <w:rPr>
                <w:rFonts w:ascii="Times New Roman" w:hAnsi="Times New Roman" w:cs="Times New Roman"/>
                <w:noProof/>
                <w:webHidden/>
                <w:sz w:val="28"/>
                <w:szCs w:val="28"/>
              </w:rPr>
              <w:fldChar w:fldCharType="end"/>
            </w:r>
          </w:hyperlink>
        </w:p>
        <w:p w14:paraId="10C1B702" w14:textId="0EC29CB1" w:rsidR="00D46907" w:rsidRPr="00F87366" w:rsidRDefault="00D46907"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hyperlink w:anchor="_Toc174982006" w:history="1">
            <w:r w:rsidRPr="00F87366">
              <w:rPr>
                <w:rStyle w:val="Hyperlink"/>
                <w:rFonts w:ascii="Times New Roman" w:hAnsi="Times New Roman" w:cs="Times New Roman"/>
                <w:noProof/>
                <w:sz w:val="28"/>
                <w:szCs w:val="28"/>
              </w:rPr>
              <w:t>Conclusion</w:t>
            </w:r>
            <w:r w:rsidRPr="00F87366">
              <w:rPr>
                <w:rFonts w:ascii="Times New Roman" w:hAnsi="Times New Roman" w:cs="Times New Roman"/>
                <w:noProof/>
                <w:webHidden/>
                <w:sz w:val="28"/>
                <w:szCs w:val="28"/>
              </w:rPr>
              <w:tab/>
            </w:r>
            <w:r w:rsidRPr="00F87366">
              <w:rPr>
                <w:rFonts w:ascii="Times New Roman" w:hAnsi="Times New Roman" w:cs="Times New Roman"/>
                <w:noProof/>
                <w:webHidden/>
                <w:sz w:val="28"/>
                <w:szCs w:val="28"/>
              </w:rPr>
              <w:fldChar w:fldCharType="begin"/>
            </w:r>
            <w:r w:rsidRPr="00F87366">
              <w:rPr>
                <w:rFonts w:ascii="Times New Roman" w:hAnsi="Times New Roman" w:cs="Times New Roman"/>
                <w:noProof/>
                <w:webHidden/>
                <w:sz w:val="28"/>
                <w:szCs w:val="28"/>
              </w:rPr>
              <w:instrText xml:space="preserve"> PAGEREF _Toc174982006 \h </w:instrText>
            </w:r>
            <w:r w:rsidRPr="00F87366">
              <w:rPr>
                <w:rFonts w:ascii="Times New Roman" w:hAnsi="Times New Roman" w:cs="Times New Roman"/>
                <w:noProof/>
                <w:webHidden/>
                <w:sz w:val="28"/>
                <w:szCs w:val="28"/>
              </w:rPr>
            </w:r>
            <w:r w:rsidRPr="00F87366">
              <w:rPr>
                <w:rFonts w:ascii="Times New Roman" w:hAnsi="Times New Roman" w:cs="Times New Roman"/>
                <w:noProof/>
                <w:webHidden/>
                <w:sz w:val="28"/>
                <w:szCs w:val="28"/>
              </w:rPr>
              <w:fldChar w:fldCharType="separate"/>
            </w:r>
            <w:r w:rsidRPr="00F87366">
              <w:rPr>
                <w:rFonts w:ascii="Times New Roman" w:hAnsi="Times New Roman" w:cs="Times New Roman"/>
                <w:noProof/>
                <w:webHidden/>
                <w:sz w:val="28"/>
                <w:szCs w:val="28"/>
              </w:rPr>
              <w:t>7</w:t>
            </w:r>
            <w:r w:rsidRPr="00F87366">
              <w:rPr>
                <w:rFonts w:ascii="Times New Roman" w:hAnsi="Times New Roman" w:cs="Times New Roman"/>
                <w:noProof/>
                <w:webHidden/>
                <w:sz w:val="28"/>
                <w:szCs w:val="28"/>
              </w:rPr>
              <w:fldChar w:fldCharType="end"/>
            </w:r>
          </w:hyperlink>
        </w:p>
        <w:p w14:paraId="729690B4" w14:textId="72577AC8" w:rsidR="00D46907" w:rsidRPr="00F87366" w:rsidRDefault="00D46907" w:rsidP="00F87366">
          <w:pPr>
            <w:pStyle w:val="TOC1"/>
            <w:tabs>
              <w:tab w:val="right" w:leader="dot" w:pos="9350"/>
            </w:tabs>
            <w:spacing w:line="480" w:lineRule="auto"/>
            <w:rPr>
              <w:rFonts w:ascii="Times New Roman" w:eastAsiaTheme="minorEastAsia" w:hAnsi="Times New Roman" w:cs="Times New Roman"/>
              <w:noProof/>
              <w:kern w:val="2"/>
              <w:sz w:val="28"/>
              <w:szCs w:val="28"/>
              <w:lang w:val="en-GB"/>
              <w14:ligatures w14:val="standardContextual"/>
            </w:rPr>
          </w:pPr>
          <w:hyperlink w:anchor="_Toc174982007" w:history="1">
            <w:r w:rsidRPr="00F87366">
              <w:rPr>
                <w:rStyle w:val="Hyperlink"/>
                <w:rFonts w:ascii="Times New Roman" w:hAnsi="Times New Roman" w:cs="Times New Roman"/>
                <w:noProof/>
                <w:sz w:val="28"/>
                <w:szCs w:val="28"/>
              </w:rPr>
              <w:t>References</w:t>
            </w:r>
            <w:r w:rsidRPr="00F87366">
              <w:rPr>
                <w:rFonts w:ascii="Times New Roman" w:hAnsi="Times New Roman" w:cs="Times New Roman"/>
                <w:noProof/>
                <w:webHidden/>
                <w:sz w:val="28"/>
                <w:szCs w:val="28"/>
              </w:rPr>
              <w:tab/>
            </w:r>
            <w:r w:rsidRPr="00F87366">
              <w:rPr>
                <w:rFonts w:ascii="Times New Roman" w:hAnsi="Times New Roman" w:cs="Times New Roman"/>
                <w:noProof/>
                <w:webHidden/>
                <w:sz w:val="28"/>
                <w:szCs w:val="28"/>
              </w:rPr>
              <w:fldChar w:fldCharType="begin"/>
            </w:r>
            <w:r w:rsidRPr="00F87366">
              <w:rPr>
                <w:rFonts w:ascii="Times New Roman" w:hAnsi="Times New Roman" w:cs="Times New Roman"/>
                <w:noProof/>
                <w:webHidden/>
                <w:sz w:val="28"/>
                <w:szCs w:val="28"/>
              </w:rPr>
              <w:instrText xml:space="preserve"> PAGEREF _Toc174982007 \h </w:instrText>
            </w:r>
            <w:r w:rsidRPr="00F87366">
              <w:rPr>
                <w:rFonts w:ascii="Times New Roman" w:hAnsi="Times New Roman" w:cs="Times New Roman"/>
                <w:noProof/>
                <w:webHidden/>
                <w:sz w:val="28"/>
                <w:szCs w:val="28"/>
              </w:rPr>
            </w:r>
            <w:r w:rsidRPr="00F87366">
              <w:rPr>
                <w:rFonts w:ascii="Times New Roman" w:hAnsi="Times New Roman" w:cs="Times New Roman"/>
                <w:noProof/>
                <w:webHidden/>
                <w:sz w:val="28"/>
                <w:szCs w:val="28"/>
              </w:rPr>
              <w:fldChar w:fldCharType="separate"/>
            </w:r>
            <w:r w:rsidRPr="00F87366">
              <w:rPr>
                <w:rFonts w:ascii="Times New Roman" w:hAnsi="Times New Roman" w:cs="Times New Roman"/>
                <w:noProof/>
                <w:webHidden/>
                <w:sz w:val="28"/>
                <w:szCs w:val="28"/>
              </w:rPr>
              <w:t>8</w:t>
            </w:r>
            <w:r w:rsidRPr="00F87366">
              <w:rPr>
                <w:rFonts w:ascii="Times New Roman" w:hAnsi="Times New Roman" w:cs="Times New Roman"/>
                <w:noProof/>
                <w:webHidden/>
                <w:sz w:val="28"/>
                <w:szCs w:val="28"/>
              </w:rPr>
              <w:fldChar w:fldCharType="end"/>
            </w:r>
          </w:hyperlink>
        </w:p>
        <w:p w14:paraId="0B195545" w14:textId="153A4673" w:rsidR="00A22258" w:rsidRDefault="00A22258" w:rsidP="00F87366">
          <w:pPr>
            <w:spacing w:line="480" w:lineRule="auto"/>
          </w:pPr>
          <w:r w:rsidRPr="00F87366">
            <w:rPr>
              <w:rFonts w:ascii="Times New Roman" w:hAnsi="Times New Roman" w:cs="Times New Roman"/>
              <w:b/>
              <w:bCs/>
              <w:noProof/>
              <w:sz w:val="28"/>
              <w:szCs w:val="28"/>
            </w:rPr>
            <w:fldChar w:fldCharType="end"/>
          </w:r>
        </w:p>
      </w:sdtContent>
    </w:sdt>
    <w:p w14:paraId="0B195546" w14:textId="77777777" w:rsidR="00A22258" w:rsidRDefault="00A2225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B195547" w14:textId="61F8A807" w:rsidR="00823CA7" w:rsidRDefault="00246DE4" w:rsidP="00A22258">
      <w:pPr>
        <w:pStyle w:val="Heading1"/>
      </w:pPr>
      <w:bookmarkStart w:id="0" w:name="_Toc174982001"/>
      <w:r>
        <w:lastRenderedPageBreak/>
        <w:t>Introduction</w:t>
      </w:r>
      <w:bookmarkEnd w:id="0"/>
    </w:p>
    <w:p w14:paraId="0B195548" w14:textId="1196B460" w:rsidR="00823CA7" w:rsidRDefault="00246DE4" w:rsidP="00182E81">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EC7AF4">
        <w:rPr>
          <w:rFonts w:ascii="Times New Roman" w:eastAsia="Times New Roman" w:hAnsi="Times New Roman" w:cs="Times New Roman"/>
          <w:sz w:val="24"/>
          <w:szCs w:val="24"/>
        </w:rPr>
        <w:t>is written report</w:t>
      </w:r>
      <w:r>
        <w:rPr>
          <w:rFonts w:ascii="Times New Roman" w:eastAsia="Times New Roman" w:hAnsi="Times New Roman" w:cs="Times New Roman"/>
          <w:sz w:val="24"/>
          <w:szCs w:val="24"/>
        </w:rPr>
        <w:t xml:space="preserve"> </w:t>
      </w:r>
      <w:r w:rsidR="00755369">
        <w:rPr>
          <w:rFonts w:ascii="Times New Roman" w:eastAsia="Times New Roman" w:hAnsi="Times New Roman" w:cs="Times New Roman"/>
          <w:sz w:val="24"/>
          <w:szCs w:val="24"/>
        </w:rPr>
        <w:t>delivers</w:t>
      </w:r>
      <w:r>
        <w:rPr>
          <w:rFonts w:ascii="Times New Roman" w:eastAsia="Times New Roman" w:hAnsi="Times New Roman" w:cs="Times New Roman"/>
          <w:sz w:val="24"/>
          <w:szCs w:val="24"/>
        </w:rPr>
        <w:t xml:space="preserve"> a</w:t>
      </w:r>
      <w:r w:rsidR="00AD2CF5">
        <w:rPr>
          <w:rFonts w:ascii="Times New Roman" w:eastAsia="Times New Roman" w:hAnsi="Times New Roman" w:cs="Times New Roman"/>
          <w:sz w:val="24"/>
          <w:szCs w:val="24"/>
        </w:rPr>
        <w:t xml:space="preserve"> compr</w:t>
      </w:r>
      <w:r w:rsidR="00B208BF">
        <w:rPr>
          <w:rFonts w:ascii="Times New Roman" w:eastAsia="Times New Roman" w:hAnsi="Times New Roman" w:cs="Times New Roman"/>
          <w:sz w:val="24"/>
          <w:szCs w:val="24"/>
        </w:rPr>
        <w:t>ehensive</w:t>
      </w:r>
      <w:r>
        <w:rPr>
          <w:rFonts w:ascii="Times New Roman" w:eastAsia="Times New Roman" w:hAnsi="Times New Roman" w:cs="Times New Roman"/>
          <w:sz w:val="24"/>
          <w:szCs w:val="24"/>
        </w:rPr>
        <w:t xml:space="preserve"> understanding of the aspects related to theoretical frameworks related to international financial management for Tesco which involves theories like exchange rate risk management along with capital structure and cost of capital. Further, strategies for managing Tesco’s foreign exchange risk. Apart from this the </w:t>
      </w:r>
      <w:r w:rsidR="003A049A">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also involves </w:t>
      </w:r>
      <w:r w:rsidR="003A049A">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methods and techniques for financing at Tesco involves Debt financing along with equity financing.</w:t>
      </w:r>
    </w:p>
    <w:p w14:paraId="0B195549" w14:textId="3BCE7E79" w:rsidR="00823CA7" w:rsidRDefault="00246DE4" w:rsidP="00A22258">
      <w:pPr>
        <w:pStyle w:val="Heading1"/>
      </w:pPr>
      <w:bookmarkStart w:id="1" w:name="_Toc174982002"/>
      <w:r>
        <w:t>Theoretical Frameworks related to International Financial Management for Tesco</w:t>
      </w:r>
      <w:bookmarkEnd w:id="1"/>
    </w:p>
    <w:p w14:paraId="0B19554A" w14:textId="77777777" w:rsidR="00823CA7" w:rsidRDefault="00246DE4" w:rsidP="00D54F50">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theoretical framework involves:</w:t>
      </w:r>
    </w:p>
    <w:p w14:paraId="0B19554B" w14:textId="35BE8439" w:rsidR="00823CA7" w:rsidRDefault="00246DE4" w:rsidP="00D54F50">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“Exchange Rate Risk Management”-</w:t>
      </w:r>
      <w:r>
        <w:rPr>
          <w:rFonts w:ascii="Times New Roman" w:eastAsia="Times New Roman" w:hAnsi="Times New Roman" w:cs="Times New Roman"/>
          <w:sz w:val="24"/>
          <w:szCs w:val="24"/>
        </w:rPr>
        <w:t xml:space="preserve"> Managing exchange rate risk is crucial for Tesco to enhance its financial management since it operates in the global market. This is </w:t>
      </w:r>
      <w:r w:rsidR="00D54F50">
        <w:rPr>
          <w:rFonts w:ascii="Times New Roman" w:eastAsia="Times New Roman" w:hAnsi="Times New Roman" w:cs="Times New Roman"/>
          <w:sz w:val="24"/>
          <w:szCs w:val="24"/>
        </w:rPr>
        <w:t>exposure</w:t>
      </w:r>
      <w:r>
        <w:rPr>
          <w:rFonts w:ascii="Times New Roman" w:eastAsia="Times New Roman" w:hAnsi="Times New Roman" w:cs="Times New Roman"/>
          <w:sz w:val="24"/>
          <w:szCs w:val="24"/>
        </w:rPr>
        <w:t xml:space="preserve"> to foreign currency which may </w:t>
      </w:r>
      <w:r w:rsidR="00D54F50">
        <w:rPr>
          <w:rFonts w:ascii="Times New Roman" w:eastAsia="Times New Roman" w:hAnsi="Times New Roman" w:cs="Times New Roman"/>
          <w:sz w:val="24"/>
          <w:szCs w:val="24"/>
        </w:rPr>
        <w:t>influence</w:t>
      </w:r>
      <w:r>
        <w:rPr>
          <w:rFonts w:ascii="Times New Roman" w:eastAsia="Times New Roman" w:hAnsi="Times New Roman" w:cs="Times New Roman"/>
          <w:sz w:val="24"/>
          <w:szCs w:val="24"/>
        </w:rPr>
        <w:t xml:space="preserve"> the company’s bottom line (Dhanani and Groves, 2021). The theoretical approaches to Exchange rate risk management include Hedging, Diversification, and Currency risk evaluations. To manage exchange risk, there are financial derivatives such as forwards, options, and swaps which can reduce the negative effects of exchange rate fluctuations (Rosnizam, 2020). Diversification is effective because it enables investments to be made in several currencies to offset the </w:t>
      </w:r>
      <w:r w:rsidR="00D54F50">
        <w:rPr>
          <w:rFonts w:ascii="Times New Roman" w:eastAsia="Times New Roman" w:hAnsi="Times New Roman" w:cs="Times New Roman"/>
          <w:sz w:val="24"/>
          <w:szCs w:val="24"/>
        </w:rPr>
        <w:t>unfavorable</w:t>
      </w:r>
      <w:r>
        <w:rPr>
          <w:rFonts w:ascii="Times New Roman" w:eastAsia="Times New Roman" w:hAnsi="Times New Roman" w:cs="Times New Roman"/>
          <w:sz w:val="24"/>
          <w:szCs w:val="24"/>
        </w:rPr>
        <w:t xml:space="preserve"> impacts. Also, in the present Tesco’s complex currency risk evaluation allows for identifying possible risks and creating tactical responses to them.</w:t>
      </w:r>
    </w:p>
    <w:p w14:paraId="0B19554C" w14:textId="77777777" w:rsidR="00823CA7" w:rsidRDefault="00246DE4" w:rsidP="00E120CC">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“Capital Structure and Cost of Capital”-</w:t>
      </w:r>
      <w:r>
        <w:rPr>
          <w:rFonts w:ascii="Times New Roman" w:eastAsia="Times New Roman" w:hAnsi="Times New Roman" w:cs="Times New Roman"/>
          <w:sz w:val="24"/>
          <w:szCs w:val="24"/>
        </w:rPr>
        <w:t xml:space="preserve"> Capital structure and cost of capital are two important theoretical concepts that have great importance in international financial management for Tesco. Capital structure simply means the proportion of debt and equity that is used to finance the company (Jegers, 2022). The cost of capital is the rate of return that is needed for any capital budgeting initiative to be further riveting. In Tesco’s case, an understanding of an efficient balance of capital is difficult to find because an international company faces different financial conditions in different countries.</w:t>
      </w:r>
    </w:p>
    <w:p w14:paraId="0B19554D" w14:textId="27F70D09" w:rsidR="00823CA7" w:rsidRDefault="00246DE4" w:rsidP="00E120CC">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“International Diversification and Investment Strategies”-</w:t>
      </w:r>
      <w:r>
        <w:rPr>
          <w:rFonts w:ascii="Times New Roman" w:eastAsia="Times New Roman" w:hAnsi="Times New Roman" w:cs="Times New Roman"/>
          <w:sz w:val="24"/>
          <w:szCs w:val="24"/>
        </w:rPr>
        <w:t xml:space="preserve"> International diversification, as well as investment strategies, represent another theoretical category in the management of Tesco’s international financial structure (Palmer, 2021). The Capital Asset Pricing Model is useful in this regard in this regard as it is the International Capital Asset Pricing Model meaning it has included international factors. </w:t>
      </w:r>
      <w:r w:rsidR="00E120CC">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Tesco should ensure that it invests in numerous countries which would cause it to cut down on the unsystematic risks faced in those areas (Cantwell, 2023). This strategy builds upon the given advantages connected with diverse scales and rates of economic fluctuations. Furthermore, the political, economic and financial environment of the foreign market helps </w:t>
      </w:r>
      <w:r w:rsidR="00E120CC">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better investment decision-making.</w:t>
      </w:r>
    </w:p>
    <w:p w14:paraId="0B19554E" w14:textId="7651D111" w:rsidR="00823CA7" w:rsidRDefault="00246DE4" w:rsidP="00A22258">
      <w:pPr>
        <w:pStyle w:val="Heading1"/>
      </w:pPr>
      <w:bookmarkStart w:id="2" w:name="_Toc174982003"/>
      <w:r>
        <w:t>Strategies for Managing Tesco’s Foreign Exchange Risk</w:t>
      </w:r>
      <w:bookmarkEnd w:id="2"/>
    </w:p>
    <w:p w14:paraId="0B19554F" w14:textId="77777777" w:rsidR="00823CA7" w:rsidRDefault="00246DE4" w:rsidP="00E120CC">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strategies involve:</w:t>
      </w:r>
    </w:p>
    <w:p w14:paraId="0B195550" w14:textId="6F595A56" w:rsidR="00823CA7" w:rsidRDefault="00246DE4" w:rsidP="0044660E">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“Hedging Strategies”-</w:t>
      </w:r>
      <w:r>
        <w:rPr>
          <w:rFonts w:ascii="Times New Roman" w:eastAsia="Times New Roman" w:hAnsi="Times New Roman" w:cs="Times New Roman"/>
          <w:sz w:val="24"/>
          <w:szCs w:val="24"/>
        </w:rPr>
        <w:t xml:space="preserve"> Transaction exposure requires hedging for managing the foreign exchange risk since Tesco has global operations. </w:t>
      </w:r>
      <w:r w:rsidR="0077719E">
        <w:rPr>
          <w:rFonts w:ascii="Times New Roman" w:eastAsia="Times New Roman" w:hAnsi="Times New Roman" w:cs="Times New Roman"/>
          <w:sz w:val="24"/>
          <w:szCs w:val="24"/>
        </w:rPr>
        <w:t>Using</w:t>
      </w:r>
      <w:r>
        <w:rPr>
          <w:rFonts w:ascii="Times New Roman" w:eastAsia="Times New Roman" w:hAnsi="Times New Roman" w:cs="Times New Roman"/>
          <w:sz w:val="24"/>
          <w:szCs w:val="24"/>
        </w:rPr>
        <w:t xml:space="preserve"> financial derivatives such as forward contracts, options and swaps, the effect of the foreign exchange risks on Tesco can be managed. It involves making future transactions in advance giving certain assurance and covering against future fluctuations in exchange Rates (Liao and Zhang, 2020).</w:t>
      </w:r>
      <w:r w:rsidR="0044660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instrument provides the privilege, but not the liability, of exchanging one currency for another at a stipulated rate, which makes it versatile but restrained from experiencing high risk. Swaps allow Tesco </w:t>
      </w:r>
      <w:r w:rsidR="0077719E">
        <w:rPr>
          <w:rFonts w:ascii="Times New Roman" w:eastAsia="Times New Roman" w:hAnsi="Times New Roman" w:cs="Times New Roman"/>
          <w:sz w:val="24"/>
          <w:szCs w:val="24"/>
        </w:rPr>
        <w:t>to be free</w:t>
      </w:r>
      <w:r>
        <w:rPr>
          <w:rFonts w:ascii="Times New Roman" w:eastAsia="Times New Roman" w:hAnsi="Times New Roman" w:cs="Times New Roman"/>
          <w:sz w:val="24"/>
          <w:szCs w:val="24"/>
        </w:rPr>
        <w:t xml:space="preserve"> of fluctuations in the cash flows in various foreign currencies thereby achieving equal and offsetting customer exchange risks (Allayannis, Ihrig and Weston, 2021). These instruments assist in </w:t>
      </w:r>
      <w:r w:rsidR="0077719E">
        <w:rPr>
          <w:rFonts w:ascii="Times New Roman" w:eastAsia="Times New Roman" w:hAnsi="Times New Roman" w:cs="Times New Roman"/>
          <w:sz w:val="24"/>
          <w:szCs w:val="24"/>
        </w:rPr>
        <w:t>stabilizing</w:t>
      </w:r>
      <w:r>
        <w:rPr>
          <w:rFonts w:ascii="Times New Roman" w:eastAsia="Times New Roman" w:hAnsi="Times New Roman" w:cs="Times New Roman"/>
          <w:sz w:val="24"/>
          <w:szCs w:val="24"/>
        </w:rPr>
        <w:t xml:space="preserve"> cash flow so that the effects of this shift in currencies are controlled. Natural hedging is also another crucial part of Tesco’s hedging policy. This involves such things as the alignment of revenues and costs in the same currency, thus avoiding currency fluctuation processes and the resulting perils.</w:t>
      </w:r>
    </w:p>
    <w:p w14:paraId="0B195551" w14:textId="7A1FCAE3" w:rsidR="00823CA7" w:rsidRDefault="00246DE4" w:rsidP="0044660E">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“Diversification and Operational Strategies”-</w:t>
      </w:r>
      <w:r>
        <w:rPr>
          <w:rFonts w:ascii="Times New Roman" w:eastAsia="Times New Roman" w:hAnsi="Times New Roman" w:cs="Times New Roman"/>
          <w:sz w:val="24"/>
          <w:szCs w:val="24"/>
        </w:rPr>
        <w:t xml:space="preserve"> Expansion and functional approaches are also significant for controlling the foreign exchange risk for Tesco. This operation ensures that the firm’s operations are diversified across the countries which helps to tackle the problem of placing all your resources in a single currency (Amankwah-Amoah and Osabutey, 2021). This means that Tesco has the potential to spread risks across many markets that have different economic cycles </w:t>
      </w:r>
      <w:r>
        <w:rPr>
          <w:rFonts w:ascii="Times New Roman" w:eastAsia="Times New Roman" w:hAnsi="Times New Roman" w:cs="Times New Roman"/>
          <w:sz w:val="24"/>
          <w:szCs w:val="24"/>
        </w:rPr>
        <w:lastRenderedPageBreak/>
        <w:t xml:space="preserve">and </w:t>
      </w:r>
      <w:r w:rsidR="0044660E">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of currency and can gain from better forex movements in some countries for a loss in others. It helps in improving the overall financial flexibility in the portfolio and </w:t>
      </w:r>
      <w:r w:rsidR="0044660E">
        <w:rPr>
          <w:rFonts w:ascii="Times New Roman" w:eastAsia="Times New Roman" w:hAnsi="Times New Roman" w:cs="Times New Roman"/>
          <w:sz w:val="24"/>
          <w:szCs w:val="24"/>
        </w:rPr>
        <w:t>minimizes</w:t>
      </w:r>
      <w:r>
        <w:rPr>
          <w:rFonts w:ascii="Times New Roman" w:eastAsia="Times New Roman" w:hAnsi="Times New Roman" w:cs="Times New Roman"/>
          <w:sz w:val="24"/>
          <w:szCs w:val="24"/>
        </w:rPr>
        <w:t xml:space="preserve"> the risk invested in any one country. Besides geographical diversification, Tesco can use other pricing strategies which look at the issue of currency differences (Palmer, 2021). For example, changing </w:t>
      </w:r>
      <w:r w:rsidR="0044660E">
        <w:rPr>
          <w:rFonts w:ascii="Times New Roman" w:eastAsia="Times New Roman" w:hAnsi="Times New Roman" w:cs="Times New Roman"/>
          <w:sz w:val="24"/>
          <w:szCs w:val="24"/>
        </w:rPr>
        <w:t>the prices</w:t>
      </w:r>
      <w:r>
        <w:rPr>
          <w:rFonts w:ascii="Times New Roman" w:eastAsia="Times New Roman" w:hAnsi="Times New Roman" w:cs="Times New Roman"/>
          <w:sz w:val="24"/>
          <w:szCs w:val="24"/>
        </w:rPr>
        <w:t xml:space="preserve"> of the products they offer in the market due to large fluctuations in exchange rates will assist in controlling the profit margin. Furthermore, sourcing strategies may be enhanced through the consideration of suppliers from other countries to </w:t>
      </w:r>
      <w:r w:rsidR="0044660E">
        <w:rPr>
          <w:rFonts w:ascii="Times New Roman" w:eastAsia="Times New Roman" w:hAnsi="Times New Roman" w:cs="Times New Roman"/>
          <w:sz w:val="24"/>
          <w:szCs w:val="24"/>
        </w:rPr>
        <w:t>minimize</w:t>
      </w:r>
      <w:r>
        <w:rPr>
          <w:rFonts w:ascii="Times New Roman" w:eastAsia="Times New Roman" w:hAnsi="Times New Roman" w:cs="Times New Roman"/>
          <w:sz w:val="24"/>
          <w:szCs w:val="24"/>
        </w:rPr>
        <w:t xml:space="preserve"> risks posed by the fluctuation of currency values.</w:t>
      </w:r>
    </w:p>
    <w:p w14:paraId="0B195552" w14:textId="7B1F2EC2" w:rsidR="00823CA7" w:rsidRDefault="00246DE4" w:rsidP="00A22258">
      <w:pPr>
        <w:pStyle w:val="Heading1"/>
      </w:pPr>
      <w:bookmarkStart w:id="3" w:name="_Toc174982004"/>
      <w:r>
        <w:t>Methods and Techniques for Financing in Tesco</w:t>
      </w:r>
      <w:bookmarkEnd w:id="3"/>
    </w:p>
    <w:p w14:paraId="0B195553" w14:textId="77777777" w:rsidR="00823CA7" w:rsidRDefault="00246DE4" w:rsidP="00946253">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methods and techniques involve:</w:t>
      </w:r>
    </w:p>
    <w:p w14:paraId="0B195554" w14:textId="5C4EB2AF" w:rsidR="00823CA7" w:rsidRDefault="00246DE4" w:rsidP="00946253">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“Debt financing”-</w:t>
      </w:r>
      <w:r>
        <w:rPr>
          <w:rFonts w:ascii="Times New Roman" w:eastAsia="Times New Roman" w:hAnsi="Times New Roman" w:cs="Times New Roman"/>
          <w:sz w:val="24"/>
          <w:szCs w:val="24"/>
        </w:rPr>
        <w:t xml:space="preserve"> Debt financing is one of the main sources of funds through which Tesco </w:t>
      </w:r>
      <w:r w:rsidR="00946253">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finance its operations and expansion undertakings. This involves raising capital by using instruments such as bonds, loans, and credit facilities among others (Kim, 2021). Tesco offers corporate bonds to investors through efficient promises of a stream of interest for a particular period and the face value of the bonds becomes due at maturity. Evaluating sources of finance, this method enables Tesco to gather enormous funds for the lengthy investment and does not imply the dispersion of control as opposed to debts (Krugman, 2021). Furthermore, the company can use bank loans or credit facilities that allow Tesco to obtain them to fund short-term requirements due to its good credit standing.</w:t>
      </w:r>
    </w:p>
    <w:p w14:paraId="0B195555" w14:textId="77777777" w:rsidR="00823CA7" w:rsidRDefault="00246DE4" w:rsidP="00946253">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“Equity financing”-</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01828"/>
          <w:sz w:val="24"/>
          <w:szCs w:val="24"/>
        </w:rPr>
        <w:t xml:space="preserve">Equity financing is another major method Tesco employs to source capital which involves selling shares to the public (Liu and Hsu, 2021). </w:t>
      </w:r>
      <w:r>
        <w:rPr>
          <w:rFonts w:ascii="Times New Roman" w:eastAsia="Times New Roman" w:hAnsi="Times New Roman" w:cs="Times New Roman"/>
          <w:sz w:val="24"/>
          <w:szCs w:val="24"/>
        </w:rPr>
        <w:t>This consists of offering stocks to the public thus enabling the firm to get funds in return for part ownership of the firm. Through share issuance, Tesco can offer new shares to the public through sales of shares, an offer for sale through share floatation or private placement to offer the money necessary for expansion, acquisition or any other strategic plan (Parra and Winter, 2022). Equity financing does not involve daily interest charges and is most advantageous when the enterprise’s revenues are low. Moreover, retained earnings, which belong to internal equity financing, enable Tesco to use the profit for the company’s development without attracting money from outside sources.</w:t>
      </w:r>
    </w:p>
    <w:p w14:paraId="0B195556" w14:textId="477C002A" w:rsidR="00823CA7" w:rsidRDefault="00246DE4" w:rsidP="00A22258">
      <w:pPr>
        <w:pStyle w:val="Heading1"/>
      </w:pPr>
      <w:bookmarkStart w:id="4" w:name="_Toc174982005"/>
      <w:r>
        <w:lastRenderedPageBreak/>
        <w:t>Theoretical Models of Corporate Value, International Cost of Capital, and Financial Structure</w:t>
      </w:r>
      <w:bookmarkEnd w:id="4"/>
    </w:p>
    <w:p w14:paraId="0B195557" w14:textId="77777777" w:rsidR="00823CA7" w:rsidRDefault="00246DE4" w:rsidP="00946253">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the models involves:</w:t>
      </w:r>
    </w:p>
    <w:p w14:paraId="0B195558" w14:textId="1239F2F6" w:rsidR="00823CA7" w:rsidRDefault="00246DE4" w:rsidP="00946253">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“Models of Corporate Value”-</w:t>
      </w:r>
      <w:r>
        <w:rPr>
          <w:rFonts w:ascii="Times New Roman" w:eastAsia="Times New Roman" w:hAnsi="Times New Roman" w:cs="Times New Roman"/>
          <w:sz w:val="24"/>
          <w:szCs w:val="24"/>
        </w:rPr>
        <w:t xml:space="preserve"> The value models of the corporation have the capability to give the financial markets values concerning Tesco. Another popular approach used to evaluate Tesco’s worth is the Discounted Cash Flow model which aims at estimating the present value of future cash flows (Steiger, 2022). This entails forecasting Tesco’s free cash flows and then using a suitable discount </w:t>
      </w:r>
      <w:r w:rsidR="00946253">
        <w:rPr>
          <w:rFonts w:ascii="Times New Roman" w:eastAsia="Times New Roman" w:hAnsi="Times New Roman" w:cs="Times New Roman"/>
          <w:sz w:val="24"/>
          <w:szCs w:val="24"/>
        </w:rPr>
        <w:t>rate,</w:t>
      </w:r>
      <w:r>
        <w:rPr>
          <w:rFonts w:ascii="Times New Roman" w:eastAsia="Times New Roman" w:hAnsi="Times New Roman" w:cs="Times New Roman"/>
          <w:sz w:val="24"/>
          <w:szCs w:val="24"/>
        </w:rPr>
        <w:t xml:space="preserve"> which is the Weighted Average Cost of Capital to discount them back to the present. The Discounted Cash Flow model is helpful in considering the company value of Tesco established by focusing on its operating capabilities and future growth (Hunt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Also, the Economic </w:t>
      </w:r>
      <w:r w:rsidR="00946253">
        <w:rPr>
          <w:rFonts w:ascii="Times New Roman" w:eastAsia="Times New Roman" w:hAnsi="Times New Roman" w:cs="Times New Roman"/>
          <w:sz w:val="24"/>
          <w:szCs w:val="24"/>
        </w:rPr>
        <w:t>Value-Added</w:t>
      </w:r>
      <w:r>
        <w:rPr>
          <w:rFonts w:ascii="Times New Roman" w:eastAsia="Times New Roman" w:hAnsi="Times New Roman" w:cs="Times New Roman"/>
          <w:sz w:val="24"/>
          <w:szCs w:val="24"/>
        </w:rPr>
        <w:t xml:space="preserve"> strategy is based on the generation of incremental returns that are in excess of the cost of capital at Tesco. Economic Value Added on the other hand is the net operating profit after taxes minus the cost of capital.</w:t>
      </w:r>
    </w:p>
    <w:p w14:paraId="0B195559" w14:textId="5D1FFDDF" w:rsidR="00823CA7" w:rsidRDefault="00246DE4" w:rsidP="00946253">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“International Cost of Capital”-</w:t>
      </w:r>
      <w:r>
        <w:rPr>
          <w:rFonts w:ascii="Times New Roman" w:eastAsia="Times New Roman" w:hAnsi="Times New Roman" w:cs="Times New Roman"/>
          <w:sz w:val="24"/>
          <w:szCs w:val="24"/>
        </w:rPr>
        <w:t xml:space="preserve"> The international cost of capital is relevant in structuring Tesco’s finances since it is a multinational company (BLOCK, 2022). The Weighted Average Cost of Capital therefore incorporates some international factors depending on the risk and returns associated with different markets. The International Capital Asset Pricing Model expands the basic Capital Asset Pricing Model by </w:t>
      </w:r>
      <w:r w:rsidR="00946253">
        <w:rPr>
          <w:rFonts w:ascii="Times New Roman" w:eastAsia="Times New Roman" w:hAnsi="Times New Roman" w:cs="Times New Roman"/>
          <w:sz w:val="24"/>
          <w:szCs w:val="24"/>
        </w:rPr>
        <w:t>considering</w:t>
      </w:r>
      <w:r>
        <w:rPr>
          <w:rFonts w:ascii="Times New Roman" w:eastAsia="Times New Roman" w:hAnsi="Times New Roman" w:cs="Times New Roman"/>
          <w:sz w:val="24"/>
          <w:szCs w:val="24"/>
        </w:rPr>
        <w:t xml:space="preserve"> influences deriving from political risk, stability of the country’s economy, risk of currency, </w:t>
      </w:r>
      <w:r w:rsidR="00946253">
        <w:rPr>
          <w:rFonts w:ascii="Times New Roman" w:eastAsia="Times New Roman" w:hAnsi="Times New Roman" w:cs="Times New Roman"/>
          <w:sz w:val="24"/>
          <w:szCs w:val="24"/>
        </w:rPr>
        <w:t>etc.</w:t>
      </w:r>
      <w:r>
        <w:rPr>
          <w:rFonts w:ascii="Times New Roman" w:eastAsia="Times New Roman" w:hAnsi="Times New Roman" w:cs="Times New Roman"/>
          <w:sz w:val="24"/>
          <w:szCs w:val="24"/>
        </w:rPr>
        <w:t xml:space="preserve"> (Ahkam and Baker, 2023) on Tesco’s cost of equity. In addition, the cost of debt that Tesco has in international markets is dependent on the interest rate, credit risk and exchange rate.</w:t>
      </w:r>
    </w:p>
    <w:p w14:paraId="0B19555A" w14:textId="5C0E46EC" w:rsidR="00823CA7" w:rsidRDefault="00246DE4" w:rsidP="00295AC7">
      <w:pPr>
        <w:spacing w:before="20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“Financial Structure”-</w:t>
      </w:r>
      <w:r>
        <w:rPr>
          <w:rFonts w:ascii="Times New Roman" w:eastAsia="Times New Roman" w:hAnsi="Times New Roman" w:cs="Times New Roman"/>
          <w:sz w:val="24"/>
          <w:szCs w:val="24"/>
        </w:rPr>
        <w:t xml:space="preserve"> The financial management of Tesco focuses on the proportion between the total debts and equity to enable an efficient capital structure. This implies that though in a perfect market, the value of a firm is independent of its capital structure, factors such as taxes, bankruptcy cost and agency cost are effective in a real economy setting (Scott, 2021). Tesco seeks to achieve an optimal combination of these complements that would ensure it offers shareholders the highest return on investment while at the same time maintaining affordable rates of capital (Kraus and Litzenberger, 2023). Tesco has a capital structure that </w:t>
      </w:r>
      <w:r w:rsidR="00295AC7">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the benefits of debt such as tax shields on its interest amount while at the same time has adequate equity to remain more </w:t>
      </w:r>
      <w:r>
        <w:rPr>
          <w:rFonts w:ascii="Times New Roman" w:eastAsia="Times New Roman" w:hAnsi="Times New Roman" w:cs="Times New Roman"/>
          <w:sz w:val="24"/>
          <w:szCs w:val="24"/>
        </w:rPr>
        <w:lastRenderedPageBreak/>
        <w:t>strategic and financially secure. This balance is provided for in the Trade-Off Theory which focuses on the trade-offs between the benefits and the costs of debt.</w:t>
      </w:r>
    </w:p>
    <w:p w14:paraId="0B19555B" w14:textId="4366529C" w:rsidR="00823CA7" w:rsidRDefault="00246DE4" w:rsidP="00A22258">
      <w:pPr>
        <w:pStyle w:val="Heading1"/>
      </w:pPr>
      <w:bookmarkStart w:id="5" w:name="_Toc174982006"/>
      <w:r>
        <w:t>Conclusion</w:t>
      </w:r>
      <w:bookmarkEnd w:id="5"/>
    </w:p>
    <w:p w14:paraId="0B19555C" w14:textId="2FB97F08" w:rsidR="00A22258" w:rsidRDefault="00246DE4" w:rsidP="00295AC7">
      <w:pPr>
        <w:spacing w:before="240" w:after="24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focuses on major elements of Tesco’s international financial management such as exchange rate risks, fund management and investment portfolio. It </w:t>
      </w:r>
      <w:r w:rsidR="009D7D07">
        <w:rPr>
          <w:rFonts w:ascii="Times New Roman" w:eastAsia="Times New Roman" w:hAnsi="Times New Roman" w:cs="Times New Roman"/>
          <w:sz w:val="24"/>
          <w:szCs w:val="24"/>
        </w:rPr>
        <w:t>investigates</w:t>
      </w:r>
      <w:r>
        <w:rPr>
          <w:rFonts w:ascii="Times New Roman" w:eastAsia="Times New Roman" w:hAnsi="Times New Roman" w:cs="Times New Roman"/>
          <w:sz w:val="24"/>
          <w:szCs w:val="24"/>
        </w:rPr>
        <w:t xml:space="preserve"> debt and equity financing techniques, theories of corporate worth, international cost of capital and the ideal financial mix. Through proper remunerative and cost control procedures and by drawing on various theories, Tesco can reduce the influence of the risk, manage its capital structure efficiently and continue expanding in global markets, which will lead to long-term financial stability and increase the company’s shareholder value.</w:t>
      </w:r>
    </w:p>
    <w:p w14:paraId="0B19555D" w14:textId="77777777" w:rsidR="00A22258" w:rsidRDefault="00A2225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B19555E" w14:textId="0FC90A6D" w:rsidR="00823CA7" w:rsidRDefault="00A22258" w:rsidP="00A22258">
      <w:pPr>
        <w:pStyle w:val="Heading1"/>
      </w:pPr>
      <w:bookmarkStart w:id="6" w:name="_Toc174982007"/>
      <w:r>
        <w:lastRenderedPageBreak/>
        <w:t>References</w:t>
      </w:r>
      <w:bookmarkEnd w:id="6"/>
    </w:p>
    <w:p w14:paraId="0B19555F" w14:textId="2092DE0B" w:rsidR="00A22258" w:rsidRDefault="00A22258" w:rsidP="00A22258">
      <w:pPr>
        <w:pStyle w:val="NormalWeb"/>
        <w:spacing w:before="0" w:beforeAutospacing="0" w:after="240" w:afterAutospacing="0" w:line="360" w:lineRule="auto"/>
        <w:jc w:val="both"/>
      </w:pPr>
      <w:r>
        <w:t>Ahkam, S.N. and Baker, J.C. (2023)</w:t>
      </w:r>
      <w:r w:rsidR="00B141D4">
        <w:t>,</w:t>
      </w:r>
      <w:r>
        <w:t xml:space="preserve"> Cash Flow Estimation and Cost of Capital for Overseas Projects. </w:t>
      </w:r>
      <w:r>
        <w:rPr>
          <w:i/>
          <w:iCs/>
        </w:rPr>
        <w:t>Accounting and Business Research</w:t>
      </w:r>
      <w:r>
        <w:t>, 23(90), pp.99–109. doi:https://doi.org/10.1080/00014788.1993.9729868.</w:t>
      </w:r>
    </w:p>
    <w:p w14:paraId="0B195560" w14:textId="349C0CCD" w:rsidR="00A22258" w:rsidRDefault="00A22258" w:rsidP="00A22258">
      <w:pPr>
        <w:pStyle w:val="NormalWeb"/>
        <w:spacing w:before="0" w:beforeAutospacing="0" w:after="240" w:afterAutospacing="0" w:line="360" w:lineRule="auto"/>
        <w:jc w:val="both"/>
      </w:pPr>
      <w:r>
        <w:t>Allayannis, G., Ihrig, J. and Weston, J.P. (2021)</w:t>
      </w:r>
      <w:r w:rsidR="00B141D4">
        <w:t>,</w:t>
      </w:r>
      <w:r>
        <w:t xml:space="preserve"> Exchange-Rate Hedging: Financial versus Operational Strategies. </w:t>
      </w:r>
      <w:r>
        <w:rPr>
          <w:i/>
          <w:iCs/>
        </w:rPr>
        <w:t>American Economic Review</w:t>
      </w:r>
      <w:r>
        <w:t>, 91(2), pp.391–395. doi:https://doi.org/10.1257/aer.91.2.391.</w:t>
      </w:r>
    </w:p>
    <w:p w14:paraId="0B195561" w14:textId="67F7905F" w:rsidR="00A22258" w:rsidRDefault="00A22258" w:rsidP="00A22258">
      <w:pPr>
        <w:pStyle w:val="NormalWeb"/>
        <w:spacing w:before="0" w:beforeAutospacing="0" w:after="240" w:afterAutospacing="0" w:line="360" w:lineRule="auto"/>
        <w:jc w:val="both"/>
      </w:pPr>
      <w:r>
        <w:t>Amankwah-Amoah, J. and Osabutey, E.L.C. (2021)</w:t>
      </w:r>
      <w:r w:rsidR="00B141D4">
        <w:t>,</w:t>
      </w:r>
      <w:r>
        <w:t xml:space="preserve"> New challenges and opportunities in the global marketplace: learning from developed-country multinationals’ failures. </w:t>
      </w:r>
      <w:r>
        <w:rPr>
          <w:i/>
          <w:iCs/>
        </w:rPr>
        <w:t>International Studies of Management &amp; Organization</w:t>
      </w:r>
      <w:r>
        <w:t>, 50(1), pp.1–14. doi:https://doi.org/10.1080/00208825.2019.1703377.</w:t>
      </w:r>
    </w:p>
    <w:p w14:paraId="0B195562" w14:textId="53AB30EA" w:rsidR="00A22258" w:rsidRDefault="00A22258" w:rsidP="00A22258">
      <w:pPr>
        <w:pStyle w:val="NormalWeb"/>
        <w:spacing w:before="0" w:beforeAutospacing="0" w:after="240" w:afterAutospacing="0" w:line="360" w:lineRule="auto"/>
        <w:jc w:val="both"/>
      </w:pPr>
      <w:r>
        <w:t>BLOCK, S. (2022). INTEGRATING TRADITIONAL CAPITAL BUDGETING CONCEPTS INTO AN INTERNATIONAL DECISION-MAKING ENVIRONMENT</w:t>
      </w:r>
      <w:r w:rsidR="00B141D4">
        <w:t>,</w:t>
      </w:r>
      <w:r>
        <w:t xml:space="preserve"> </w:t>
      </w:r>
      <w:r>
        <w:rPr>
          <w:i/>
          <w:iCs/>
        </w:rPr>
        <w:t>The Engineering Economist</w:t>
      </w:r>
      <w:r>
        <w:t>, 45(4), pp.309–325. doi:https://doi.org/10.1080/00137910008967555.</w:t>
      </w:r>
    </w:p>
    <w:p w14:paraId="0B195563" w14:textId="076A9EF8" w:rsidR="00A22258" w:rsidRDefault="00A22258" w:rsidP="00A22258">
      <w:pPr>
        <w:pStyle w:val="NormalWeb"/>
        <w:spacing w:before="0" w:beforeAutospacing="0" w:after="240" w:afterAutospacing="0" w:line="360" w:lineRule="auto"/>
        <w:jc w:val="both"/>
      </w:pPr>
      <w:r>
        <w:t>Cantwell, J. (2023)</w:t>
      </w:r>
      <w:r w:rsidR="00B141D4">
        <w:t xml:space="preserve">, </w:t>
      </w:r>
      <w:r>
        <w:t>Financial and Non-Financial Theories of International Diversification. pp.59–73. doi:https://doi.org/10.1016/s1064-4857(05)11005-5.</w:t>
      </w:r>
    </w:p>
    <w:p w14:paraId="0B195564" w14:textId="4D19B8D7" w:rsidR="00A22258" w:rsidRDefault="00A22258" w:rsidP="00A22258">
      <w:pPr>
        <w:pStyle w:val="NormalWeb"/>
        <w:spacing w:before="0" w:beforeAutospacing="0" w:after="240" w:afterAutospacing="0" w:line="360" w:lineRule="auto"/>
        <w:jc w:val="both"/>
      </w:pPr>
      <w:r>
        <w:t>Dhanani, A. and Groves, R. (2021)</w:t>
      </w:r>
      <w:r w:rsidR="00B141D4">
        <w:t>,</w:t>
      </w:r>
      <w:r>
        <w:t xml:space="preserve"> The management of strategic exchange risk: evidence from corporate practices. </w:t>
      </w:r>
      <w:r>
        <w:rPr>
          <w:i/>
          <w:iCs/>
        </w:rPr>
        <w:t>Accounting and Business Research</w:t>
      </w:r>
      <w:r>
        <w:t>, 31(4), pp.275–290. doi:https://doi.org/10.1080/00014788.2001.9729620.</w:t>
      </w:r>
    </w:p>
    <w:p w14:paraId="0B195565" w14:textId="7C52F5BA" w:rsidR="00A22258" w:rsidRDefault="00A22258" w:rsidP="00A22258">
      <w:pPr>
        <w:pStyle w:val="NormalWeb"/>
        <w:spacing w:before="0" w:beforeAutospacing="0" w:after="240" w:afterAutospacing="0" w:line="360" w:lineRule="auto"/>
        <w:jc w:val="both"/>
      </w:pPr>
      <w:r>
        <w:t>Hunt, F., Probert, D., Wong, J. and Phaal, R. (2021)</w:t>
      </w:r>
      <w:r w:rsidR="00B141D4">
        <w:t>,</w:t>
      </w:r>
      <w:r>
        <w:t xml:space="preserve"> Valuation of technology: exploring a practical hybrid model. doi:https://doi.org/10.1109/picmet.2003.1222778.</w:t>
      </w:r>
    </w:p>
    <w:p w14:paraId="0B195566" w14:textId="542D7879" w:rsidR="00A22258" w:rsidRDefault="00A22258" w:rsidP="00A22258">
      <w:pPr>
        <w:pStyle w:val="NormalWeb"/>
        <w:spacing w:before="0" w:beforeAutospacing="0" w:after="240" w:afterAutospacing="0" w:line="360" w:lineRule="auto"/>
        <w:jc w:val="both"/>
      </w:pPr>
      <w:r>
        <w:t>Jegers, M. (2022)</w:t>
      </w:r>
      <w:r w:rsidR="00B141D4">
        <w:t>,</w:t>
      </w:r>
      <w:r>
        <w:t xml:space="preserve"> Capital structure</w:t>
      </w:r>
      <w:r w:rsidR="00B141D4">
        <w:t>,</w:t>
      </w:r>
      <w:r>
        <w:t xml:space="preserve"> </w:t>
      </w:r>
      <w:r>
        <w:rPr>
          <w:i/>
          <w:iCs/>
        </w:rPr>
        <w:t>Handbook of Research on Nonprofit Economics and Management</w:t>
      </w:r>
      <w:r>
        <w:t>, pp.87–96. doi:https://doi.org/10.4337/9781785363528.00012.</w:t>
      </w:r>
    </w:p>
    <w:p w14:paraId="0B195567" w14:textId="1A23228A" w:rsidR="00A22258" w:rsidRDefault="00A22258" w:rsidP="00A22258">
      <w:pPr>
        <w:pStyle w:val="NormalWeb"/>
        <w:spacing w:before="0" w:beforeAutospacing="0" w:after="240" w:afterAutospacing="0" w:line="360" w:lineRule="auto"/>
        <w:jc w:val="both"/>
      </w:pPr>
      <w:r>
        <w:t>Kim, Y. (2021)</w:t>
      </w:r>
      <w:r w:rsidR="00F026B6">
        <w:t>,</w:t>
      </w:r>
      <w:r>
        <w:t xml:space="preserve"> Debt Maturity Choice and Firms’ Investment. </w:t>
      </w:r>
      <w:r>
        <w:rPr>
          <w:i/>
          <w:iCs/>
        </w:rPr>
        <w:t>SSRN Electronic Journal</w:t>
      </w:r>
      <w:r>
        <w:t>. doi:https://doi.org/10.2139/ssrn.3038633.</w:t>
      </w:r>
    </w:p>
    <w:p w14:paraId="0B195568" w14:textId="426D9266" w:rsidR="00A22258" w:rsidRDefault="00A22258" w:rsidP="00A22258">
      <w:pPr>
        <w:pStyle w:val="NormalWeb"/>
        <w:spacing w:before="0" w:beforeAutospacing="0" w:after="240" w:afterAutospacing="0" w:line="360" w:lineRule="auto"/>
        <w:jc w:val="both"/>
      </w:pPr>
      <w:r>
        <w:lastRenderedPageBreak/>
        <w:t>Kraus, A. and Litzenberger, R.H. (2023)</w:t>
      </w:r>
      <w:r w:rsidR="00F026B6">
        <w:t>,</w:t>
      </w:r>
      <w:r>
        <w:t xml:space="preserve"> A STATE-PREFERENCE MODEL OF OPTIMAL FINANCIAL LEVERAGE. </w:t>
      </w:r>
      <w:r>
        <w:rPr>
          <w:i/>
          <w:iCs/>
        </w:rPr>
        <w:t>The Journal of Finance</w:t>
      </w:r>
      <w:r>
        <w:t>, 28(4), pp.911–922. doi:https://doi.org/10.1111/j.1540-6261.1973.tb01415.x.</w:t>
      </w:r>
    </w:p>
    <w:p w14:paraId="0B195569" w14:textId="1C3C7F41" w:rsidR="00A22258" w:rsidRDefault="00A22258" w:rsidP="00A22258">
      <w:pPr>
        <w:pStyle w:val="NormalWeb"/>
        <w:spacing w:before="0" w:beforeAutospacing="0" w:after="240" w:afterAutospacing="0" w:line="360" w:lineRule="auto"/>
        <w:jc w:val="both"/>
      </w:pPr>
      <w:r>
        <w:t>Krugman, P. (2021)</w:t>
      </w:r>
      <w:r w:rsidR="00F026B6">
        <w:t>,</w:t>
      </w:r>
      <w:r>
        <w:t xml:space="preserve"> Financing vs. Forgiving A Debt Overhang. </w:t>
      </w:r>
      <w:r>
        <w:rPr>
          <w:i/>
          <w:iCs/>
        </w:rPr>
        <w:t>Journal of Development Economics</w:t>
      </w:r>
      <w:r>
        <w:t>, 29(3), pp.253–268.</w:t>
      </w:r>
    </w:p>
    <w:p w14:paraId="0B19556A" w14:textId="5F091EF7" w:rsidR="00A22258" w:rsidRDefault="00A22258" w:rsidP="00A22258">
      <w:pPr>
        <w:pStyle w:val="NormalWeb"/>
        <w:spacing w:before="0" w:beforeAutospacing="0" w:after="240" w:afterAutospacing="0" w:line="360" w:lineRule="auto"/>
        <w:jc w:val="both"/>
      </w:pPr>
      <w:r>
        <w:t>Liao, G. and Zhang, T. (2020)</w:t>
      </w:r>
      <w:r w:rsidR="00F026B6">
        <w:t>,</w:t>
      </w:r>
      <w:r>
        <w:t xml:space="preserve"> The Hedging Channel of Exchange Rate Determination. </w:t>
      </w:r>
      <w:r>
        <w:rPr>
          <w:i/>
          <w:iCs/>
        </w:rPr>
        <w:t>International Finance Discussion Paper</w:t>
      </w:r>
      <w:r>
        <w:t>, [online] 2020(1283). doi:https://doi.org/10.17016/ifdp.2020.1283.</w:t>
      </w:r>
    </w:p>
    <w:p w14:paraId="0B19556B" w14:textId="3787AB89" w:rsidR="00A22258" w:rsidRDefault="00A22258" w:rsidP="00A22258">
      <w:pPr>
        <w:pStyle w:val="NormalWeb"/>
        <w:spacing w:before="0" w:beforeAutospacing="0" w:after="240" w:afterAutospacing="0" w:line="360" w:lineRule="auto"/>
        <w:jc w:val="both"/>
      </w:pPr>
      <w:r>
        <w:t>Liu, W.-C. and Hsu, C.-M. (2021)</w:t>
      </w:r>
      <w:r w:rsidR="00F026B6">
        <w:t>,</w:t>
      </w:r>
      <w:r>
        <w:t xml:space="preserve"> Financial Structure, Corporate Finance and Growth of Taiwan’s Manufacturing Firms. </w:t>
      </w:r>
      <w:r>
        <w:rPr>
          <w:i/>
          <w:iCs/>
        </w:rPr>
        <w:t>Review of Pacific Basin Financial Markets and Policies</w:t>
      </w:r>
      <w:r>
        <w:t>, 09(01), pp.67–95. doi:https://doi.org/10.1142/s0219091506000653.</w:t>
      </w:r>
    </w:p>
    <w:p w14:paraId="0B19556C" w14:textId="418E7C6E" w:rsidR="00A22258" w:rsidRDefault="00A22258" w:rsidP="00A22258">
      <w:pPr>
        <w:pStyle w:val="NormalWeb"/>
        <w:spacing w:before="0" w:beforeAutospacing="0" w:after="240" w:afterAutospacing="0" w:line="360" w:lineRule="auto"/>
        <w:jc w:val="both"/>
      </w:pPr>
      <w:r>
        <w:t>Palmer, M. (2021)</w:t>
      </w:r>
      <w:r w:rsidR="00F026B6">
        <w:t>,</w:t>
      </w:r>
      <w:r>
        <w:t xml:space="preserve"> International Retail Restructuring and Divestment: The Experience of Tesco. </w:t>
      </w:r>
      <w:r>
        <w:rPr>
          <w:i/>
          <w:iCs/>
        </w:rPr>
        <w:t>Journal of Marketing Management</w:t>
      </w:r>
      <w:r>
        <w:t>, [online] 20(9-10), pp.1075–1105. doi:https://doi.org/10.1362/0267257042405213.</w:t>
      </w:r>
    </w:p>
    <w:p w14:paraId="0B19556D" w14:textId="7FF92ED4" w:rsidR="00A22258" w:rsidRDefault="00A22258" w:rsidP="00A22258">
      <w:pPr>
        <w:pStyle w:val="NormalWeb"/>
        <w:spacing w:before="0" w:beforeAutospacing="0" w:after="240" w:afterAutospacing="0" w:line="360" w:lineRule="auto"/>
        <w:jc w:val="both"/>
      </w:pPr>
      <w:r>
        <w:t>Parra, Á. and Winter, R.A. (2022)</w:t>
      </w:r>
      <w:r w:rsidR="00F026B6">
        <w:t>,</w:t>
      </w:r>
      <w:r>
        <w:t xml:space="preserve"> Early-stage venture financing. </w:t>
      </w:r>
      <w:r>
        <w:rPr>
          <w:i/>
          <w:iCs/>
        </w:rPr>
        <w:t>Journal of Corporate Finance</w:t>
      </w:r>
      <w:r>
        <w:t>, 77, p.102291. doi:https://doi.org/10.1016/j.jcorpfin.2022.102291.</w:t>
      </w:r>
    </w:p>
    <w:p w14:paraId="0B19556E" w14:textId="620132CC" w:rsidR="00A22258" w:rsidRDefault="00A22258" w:rsidP="00A22258">
      <w:pPr>
        <w:pStyle w:val="NormalWeb"/>
        <w:spacing w:before="0" w:beforeAutospacing="0" w:after="240" w:afterAutospacing="0" w:line="360" w:lineRule="auto"/>
        <w:jc w:val="both"/>
      </w:pPr>
      <w:r>
        <w:t>Rosnizam, M.R.A. (2020)</w:t>
      </w:r>
      <w:r w:rsidR="00F026B6">
        <w:t>,</w:t>
      </w:r>
      <w:r>
        <w:t xml:space="preserve"> Market Opportunities and Challenges: a Case Study of Tesco. </w:t>
      </w:r>
      <w:r>
        <w:rPr>
          <w:i/>
          <w:iCs/>
        </w:rPr>
        <w:t>Journal of the Community Development in Asia</w:t>
      </w:r>
      <w:r>
        <w:t>, 3(2), pp.18–27.</w:t>
      </w:r>
    </w:p>
    <w:p w14:paraId="0B19556F" w14:textId="11B24B23" w:rsidR="00A22258" w:rsidRDefault="00A22258" w:rsidP="00A22258">
      <w:pPr>
        <w:pStyle w:val="NormalWeb"/>
        <w:spacing w:before="0" w:beforeAutospacing="0" w:after="240" w:afterAutospacing="0" w:line="360" w:lineRule="auto"/>
        <w:jc w:val="both"/>
      </w:pPr>
      <w:r>
        <w:t>Scott, J.H. (2021)</w:t>
      </w:r>
      <w:r w:rsidR="00F026B6">
        <w:t xml:space="preserve">, </w:t>
      </w:r>
      <w:r>
        <w:t xml:space="preserve">A Theory of Optimal Capital Structure. </w:t>
      </w:r>
      <w:r>
        <w:rPr>
          <w:i/>
          <w:iCs/>
        </w:rPr>
        <w:t>The Bell Journal of Economics</w:t>
      </w:r>
      <w:r>
        <w:t>, 7(1), p.33. doi:https://doi.org/10.2307/3003189.</w:t>
      </w:r>
    </w:p>
    <w:p w14:paraId="0B195570" w14:textId="76B6DA4B" w:rsidR="00A22258" w:rsidRDefault="00A22258" w:rsidP="00A22258">
      <w:pPr>
        <w:pStyle w:val="NormalWeb"/>
        <w:spacing w:before="0" w:beforeAutospacing="0" w:after="240" w:afterAutospacing="0" w:line="360" w:lineRule="auto"/>
        <w:jc w:val="both"/>
      </w:pPr>
      <w:r>
        <w:t>Steiger, F. (2022)</w:t>
      </w:r>
      <w:r w:rsidR="00F026B6">
        <w:t xml:space="preserve">, </w:t>
      </w:r>
      <w:r>
        <w:rPr>
          <w:i/>
          <w:iCs/>
        </w:rPr>
        <w:t>The Validity of Company Valuation Using Discounted Cash Flow Methods</w:t>
      </w:r>
      <w:r>
        <w:t>. [online] arXiv.org. Available at: https://arxiv.org/abs/1003.4881.</w:t>
      </w:r>
    </w:p>
    <w:sectPr w:rsidR="00A22258" w:rsidSect="00D77E49">
      <w:headerReference w:type="default" r:id="rId8"/>
      <w:footerReference w:type="default" r:id="rId9"/>
      <w:headerReference w:type="firs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195573" w14:textId="77777777" w:rsidR="00246DE4" w:rsidRDefault="00246DE4" w:rsidP="00A22258">
      <w:pPr>
        <w:spacing w:line="240" w:lineRule="auto"/>
      </w:pPr>
      <w:r>
        <w:separator/>
      </w:r>
    </w:p>
  </w:endnote>
  <w:endnote w:type="continuationSeparator" w:id="0">
    <w:p w14:paraId="0B195574" w14:textId="77777777" w:rsidR="00246DE4" w:rsidRDefault="00246DE4" w:rsidP="00A222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118316"/>
      <w:docPartObj>
        <w:docPartGallery w:val="Page Numbers (Bottom of Page)"/>
        <w:docPartUnique/>
      </w:docPartObj>
    </w:sdtPr>
    <w:sdtEndPr>
      <w:rPr>
        <w:rFonts w:ascii="Times New Roman" w:hAnsi="Times New Roman" w:cs="Times New Roman"/>
        <w:noProof/>
        <w:sz w:val="20"/>
        <w:szCs w:val="20"/>
      </w:rPr>
    </w:sdtEndPr>
    <w:sdtContent>
      <w:p w14:paraId="0B195575" w14:textId="77777777" w:rsidR="00A22258" w:rsidRPr="00A22258" w:rsidRDefault="00A22258">
        <w:pPr>
          <w:pStyle w:val="Footer"/>
          <w:jc w:val="right"/>
          <w:rPr>
            <w:rFonts w:ascii="Times New Roman" w:hAnsi="Times New Roman" w:cs="Times New Roman"/>
            <w:sz w:val="20"/>
            <w:szCs w:val="20"/>
          </w:rPr>
        </w:pPr>
        <w:r w:rsidRPr="00A22258">
          <w:rPr>
            <w:rFonts w:ascii="Times New Roman" w:hAnsi="Times New Roman" w:cs="Times New Roman"/>
            <w:sz w:val="20"/>
            <w:szCs w:val="20"/>
          </w:rPr>
          <w:fldChar w:fldCharType="begin"/>
        </w:r>
        <w:r w:rsidRPr="00A22258">
          <w:rPr>
            <w:rFonts w:ascii="Times New Roman" w:hAnsi="Times New Roman" w:cs="Times New Roman"/>
            <w:sz w:val="20"/>
            <w:szCs w:val="20"/>
          </w:rPr>
          <w:instrText xml:space="preserve"> PAGE   \* MERGEFORMAT </w:instrText>
        </w:r>
        <w:r w:rsidRPr="00A22258">
          <w:rPr>
            <w:rFonts w:ascii="Times New Roman" w:hAnsi="Times New Roman" w:cs="Times New Roman"/>
            <w:sz w:val="20"/>
            <w:szCs w:val="20"/>
          </w:rPr>
          <w:fldChar w:fldCharType="separate"/>
        </w:r>
        <w:r>
          <w:rPr>
            <w:rFonts w:ascii="Times New Roman" w:hAnsi="Times New Roman" w:cs="Times New Roman"/>
            <w:noProof/>
            <w:sz w:val="20"/>
            <w:szCs w:val="20"/>
          </w:rPr>
          <w:t>6</w:t>
        </w:r>
        <w:r w:rsidRPr="00A22258">
          <w:rPr>
            <w:rFonts w:ascii="Times New Roman" w:hAnsi="Times New Roman" w:cs="Times New Roman"/>
            <w:noProof/>
            <w:sz w:val="20"/>
            <w:szCs w:val="20"/>
          </w:rPr>
          <w:fldChar w:fldCharType="end"/>
        </w:r>
      </w:p>
    </w:sdtContent>
  </w:sdt>
  <w:p w14:paraId="0B195576" w14:textId="77777777" w:rsidR="00A22258" w:rsidRDefault="00A22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195571" w14:textId="77777777" w:rsidR="00246DE4" w:rsidRDefault="00246DE4" w:rsidP="00A22258">
      <w:pPr>
        <w:spacing w:line="240" w:lineRule="auto"/>
      </w:pPr>
      <w:r>
        <w:separator/>
      </w:r>
    </w:p>
  </w:footnote>
  <w:footnote w:type="continuationSeparator" w:id="0">
    <w:p w14:paraId="0B195572" w14:textId="77777777" w:rsidR="00246DE4" w:rsidRDefault="00246DE4" w:rsidP="00A222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E037A2" w14:textId="1538FCED" w:rsidR="00EC135C" w:rsidRDefault="00EC135C">
    <w:pPr>
      <w:pStyle w:val="Header"/>
    </w:pPr>
    <w:r>
      <w:t>CRISTINA-LOREDANA BALABAN 2030114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CADD14" w14:textId="53FB62A9" w:rsidR="002B1058" w:rsidRDefault="002B1058">
    <w:pPr>
      <w:pStyle w:val="Header"/>
    </w:pPr>
    <w:r>
      <w:t>CRISTINA-LOREDANA BALABAN 2030114</w:t>
    </w:r>
  </w:p>
  <w:p w14:paraId="6337B372" w14:textId="77777777" w:rsidR="002B1058" w:rsidRDefault="002B10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CA7"/>
    <w:rsid w:val="00045FF9"/>
    <w:rsid w:val="00182E81"/>
    <w:rsid w:val="00212BB4"/>
    <w:rsid w:val="00246DE4"/>
    <w:rsid w:val="00295AC7"/>
    <w:rsid w:val="002B1058"/>
    <w:rsid w:val="00317E94"/>
    <w:rsid w:val="00384314"/>
    <w:rsid w:val="003A049A"/>
    <w:rsid w:val="0044660E"/>
    <w:rsid w:val="005167B6"/>
    <w:rsid w:val="005434FC"/>
    <w:rsid w:val="005B3D7C"/>
    <w:rsid w:val="00661BED"/>
    <w:rsid w:val="00755369"/>
    <w:rsid w:val="0077719E"/>
    <w:rsid w:val="00823CA7"/>
    <w:rsid w:val="00946253"/>
    <w:rsid w:val="00991B7A"/>
    <w:rsid w:val="009A0EB1"/>
    <w:rsid w:val="009D7D07"/>
    <w:rsid w:val="00A22258"/>
    <w:rsid w:val="00A75C50"/>
    <w:rsid w:val="00AD2CF5"/>
    <w:rsid w:val="00AE09EB"/>
    <w:rsid w:val="00B141D4"/>
    <w:rsid w:val="00B208BF"/>
    <w:rsid w:val="00BF03F5"/>
    <w:rsid w:val="00C00305"/>
    <w:rsid w:val="00D46907"/>
    <w:rsid w:val="00D54F50"/>
    <w:rsid w:val="00D77E49"/>
    <w:rsid w:val="00E120CC"/>
    <w:rsid w:val="00EA2FB7"/>
    <w:rsid w:val="00EC135C"/>
    <w:rsid w:val="00EC7AF4"/>
    <w:rsid w:val="00F026B6"/>
    <w:rsid w:val="00F71E20"/>
    <w:rsid w:val="00F87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9552E"/>
  <w15:docId w15:val="{B3CF8FBB-3F59-493B-B752-059ABA54F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2225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22258"/>
    <w:pPr>
      <w:tabs>
        <w:tab w:val="center" w:pos="4513"/>
        <w:tab w:val="right" w:pos="9026"/>
      </w:tabs>
      <w:spacing w:line="240" w:lineRule="auto"/>
    </w:pPr>
  </w:style>
  <w:style w:type="character" w:customStyle="1" w:styleId="HeaderChar">
    <w:name w:val="Header Char"/>
    <w:basedOn w:val="DefaultParagraphFont"/>
    <w:link w:val="Header"/>
    <w:uiPriority w:val="99"/>
    <w:rsid w:val="00A22258"/>
  </w:style>
  <w:style w:type="paragraph" w:styleId="Footer">
    <w:name w:val="footer"/>
    <w:basedOn w:val="Normal"/>
    <w:link w:val="FooterChar"/>
    <w:uiPriority w:val="99"/>
    <w:unhideWhenUsed/>
    <w:rsid w:val="00A22258"/>
    <w:pPr>
      <w:tabs>
        <w:tab w:val="center" w:pos="4513"/>
        <w:tab w:val="right" w:pos="9026"/>
      </w:tabs>
      <w:spacing w:line="240" w:lineRule="auto"/>
    </w:pPr>
  </w:style>
  <w:style w:type="character" w:customStyle="1" w:styleId="FooterChar">
    <w:name w:val="Footer Char"/>
    <w:basedOn w:val="DefaultParagraphFont"/>
    <w:link w:val="Footer"/>
    <w:uiPriority w:val="99"/>
    <w:rsid w:val="00A22258"/>
  </w:style>
  <w:style w:type="paragraph" w:styleId="NormalWeb">
    <w:name w:val="Normal (Web)"/>
    <w:basedOn w:val="Normal"/>
    <w:uiPriority w:val="99"/>
    <w:unhideWhenUsed/>
    <w:rsid w:val="00A22258"/>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TOCHeading">
    <w:name w:val="TOC Heading"/>
    <w:basedOn w:val="Heading1"/>
    <w:next w:val="Normal"/>
    <w:uiPriority w:val="39"/>
    <w:semiHidden/>
    <w:unhideWhenUsed/>
    <w:qFormat/>
    <w:rsid w:val="00A2225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A22258"/>
    <w:pPr>
      <w:spacing w:after="100"/>
    </w:pPr>
  </w:style>
  <w:style w:type="character" w:styleId="Hyperlink">
    <w:name w:val="Hyperlink"/>
    <w:basedOn w:val="DefaultParagraphFont"/>
    <w:uiPriority w:val="99"/>
    <w:unhideWhenUsed/>
    <w:rsid w:val="00A22258"/>
    <w:rPr>
      <w:color w:val="0000FF" w:themeColor="hyperlink"/>
      <w:u w:val="single"/>
    </w:rPr>
  </w:style>
  <w:style w:type="paragraph" w:styleId="BalloonText">
    <w:name w:val="Balloon Text"/>
    <w:basedOn w:val="Normal"/>
    <w:link w:val="BalloonTextChar"/>
    <w:uiPriority w:val="99"/>
    <w:semiHidden/>
    <w:unhideWhenUsed/>
    <w:rsid w:val="00A222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258"/>
    <w:rPr>
      <w:rFonts w:ascii="Tahoma" w:hAnsi="Tahoma" w:cs="Tahoma"/>
      <w:sz w:val="16"/>
      <w:szCs w:val="16"/>
    </w:rPr>
  </w:style>
  <w:style w:type="paragraph" w:customStyle="1" w:styleId="Normal1">
    <w:name w:val="Normal1"/>
    <w:rsid w:val="005167B6"/>
    <w:rPr>
      <w:lang w:val="" w:eastAsia="en-US"/>
    </w:rPr>
  </w:style>
  <w:style w:type="paragraph" w:customStyle="1" w:styleId="Default">
    <w:name w:val="Default"/>
    <w:rsid w:val="00C00305"/>
    <w:pPr>
      <w:autoSpaceDE w:val="0"/>
      <w:autoSpaceDN w:val="0"/>
      <w:adjustRightInd w:val="0"/>
      <w:spacing w:line="240" w:lineRule="auto"/>
    </w:pPr>
    <w:rPr>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0960873">
      <w:bodyDiv w:val="1"/>
      <w:marLeft w:val="0"/>
      <w:marRight w:val="0"/>
      <w:marTop w:val="0"/>
      <w:marBottom w:val="0"/>
      <w:divBdr>
        <w:top w:val="none" w:sz="0" w:space="0" w:color="auto"/>
        <w:left w:val="none" w:sz="0" w:space="0" w:color="auto"/>
        <w:bottom w:val="none" w:sz="0" w:space="0" w:color="auto"/>
        <w:right w:val="none" w:sz="0" w:space="0" w:color="auto"/>
      </w:divBdr>
      <w:divsChild>
        <w:div w:id="55142335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047B39-A45D-4017-8B1B-F955C9835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2202</Words>
  <Characters>12552</Characters>
  <Application>Microsoft Office Word</Application>
  <DocSecurity>0</DocSecurity>
  <Lines>104</Lines>
  <Paragraphs>29</Paragraphs>
  <ScaleCrop>false</ScaleCrop>
  <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dc:creator>
  <cp:lastModifiedBy>cristina balaban</cp:lastModifiedBy>
  <cp:revision>44</cp:revision>
  <dcterms:created xsi:type="dcterms:W3CDTF">2024-08-19T16:35:00Z</dcterms:created>
  <dcterms:modified xsi:type="dcterms:W3CDTF">2024-08-19T17:02:00Z</dcterms:modified>
</cp:coreProperties>
</file>