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 (Web)"/>
        <w:spacing w:before="0" w:after="0"/>
      </w:pPr>
      <w:r>
        <w:drawing>
          <wp:inline distT="0" distB="0" distL="0" distR="0">
            <wp:extent cx="1908049" cy="635661"/>
            <wp:effectExtent l="0" t="0" r="0" b="0"/>
            <wp:docPr id="1073741825" name="officeArt object" descr="TSD_logo2010"/>
            <wp:cNvGraphicFramePr/>
            <a:graphic xmlns:a="http://schemas.openxmlformats.org/drawingml/2006/main">
              <a:graphicData uri="http://schemas.openxmlformats.org/drawingml/2006/picture">
                <pic:pic xmlns:pic="http://schemas.openxmlformats.org/drawingml/2006/picture">
                  <pic:nvPicPr>
                    <pic:cNvPr id="1073741825" name="TSD_logo2010" descr="TSD_logo2010"/>
                    <pic:cNvPicPr>
                      <a:picLocks noChangeAspect="1"/>
                    </pic:cNvPicPr>
                  </pic:nvPicPr>
                  <pic:blipFill>
                    <a:blip r:embed="rId4">
                      <a:extLst/>
                    </a:blip>
                    <a:stretch>
                      <a:fillRect/>
                    </a:stretch>
                  </pic:blipFill>
                  <pic:spPr>
                    <a:xfrm>
                      <a:off x="0" y="0"/>
                      <a:ext cx="1908049" cy="635661"/>
                    </a:xfrm>
                    <a:prstGeom prst="rect">
                      <a:avLst/>
                    </a:prstGeom>
                    <a:ln w="19050" cap="flat">
                      <a:solidFill>
                        <a:srgbClr val="000000"/>
                      </a:solidFill>
                      <a:prstDash val="solid"/>
                      <a:round/>
                    </a:ln>
                    <a:effectLst/>
                  </pic:spPr>
                </pic:pic>
              </a:graphicData>
            </a:graphic>
          </wp:inline>
        </w:drawing>
      </w:r>
    </w:p>
    <w:p>
      <w:pPr>
        <w:pStyle w:val="Normal (Web)"/>
        <w:spacing w:before="0" w:after="0"/>
      </w:pPr>
    </w:p>
    <w:p>
      <w:pPr>
        <w:pStyle w:val="Normal (Web)"/>
        <w:spacing w:before="0" w:after="0"/>
      </w:pPr>
    </w:p>
    <w:p>
      <w:pPr>
        <w:pStyle w:val="Normal (Web)"/>
        <w:spacing w:before="0" w:after="0"/>
        <w:jc w:val="center"/>
        <w:rPr>
          <w:rFonts w:ascii="Arial" w:cs="Arial" w:hAnsi="Arial" w:eastAsia="Arial"/>
          <w:b w:val="1"/>
          <w:bCs w:val="1"/>
          <w:sz w:val="28"/>
          <w:szCs w:val="28"/>
        </w:rPr>
      </w:pPr>
      <w:r>
        <w:rPr>
          <w:rFonts w:ascii="Arial" w:hAnsi="Arial"/>
          <w:b w:val="1"/>
          <w:bCs w:val="1"/>
          <w:sz w:val="28"/>
          <w:szCs w:val="28"/>
          <w:rtl w:val="0"/>
        </w:rPr>
        <w:t xml:space="preserve">Postgraduate/Distance Learning </w:t>
      </w:r>
    </w:p>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454"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pPr>
            <w:r>
              <w:rPr>
                <w:rFonts w:ascii="Arial" w:hAnsi="Arial"/>
                <w:b w:val="1"/>
                <w:bCs w:val="1"/>
                <w:sz w:val="22"/>
                <w:szCs w:val="22"/>
                <w:shd w:val="nil" w:color="auto" w:fill="auto"/>
                <w:rtl w:val="0"/>
                <w:lang w:val="en-US"/>
              </w:rPr>
              <w:t>For completion by the student</w:t>
            </w:r>
            <w:r>
              <w:rPr>
                <w:rFonts w:ascii="Arial" w:hAnsi="Arial"/>
                <w:sz w:val="22"/>
                <w:szCs w:val="22"/>
                <w:shd w:val="nil" w:color="auto" w:fill="auto"/>
                <w:rtl w:val="0"/>
                <w:lang w:val="en-US"/>
              </w:rPr>
              <w:t>:</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en-US"/>
              </w:rPr>
              <w:t>Student Name: DYLAN COUTTS</w:t>
            </w:r>
          </w:p>
          <w:p>
            <w:pPr>
              <w:pStyle w:val="Normal (Web)"/>
              <w:spacing w:before="0" w:after="0"/>
              <w:ind w:right="34"/>
              <w:rPr>
                <w:rFonts w:ascii="Arial" w:cs="Arial" w:hAnsi="Arial" w:eastAsia="Arial"/>
                <w:sz w:val="22"/>
                <w:szCs w:val="22"/>
                <w:shd w:val="nil" w:color="auto" w:fill="auto"/>
                <w:lang w:val="en-US"/>
              </w:rPr>
            </w:pPr>
          </w:p>
          <w:p>
            <w:pPr>
              <w:pStyle w:val="Normal (Web)"/>
              <w:bidi w:val="0"/>
              <w:spacing w:before="0" w:after="0"/>
              <w:ind w:left="0" w:right="34" w:firstLine="0"/>
              <w:jc w:val="left"/>
              <w:rPr>
                <w:rtl w:val="0"/>
              </w:rPr>
            </w:pPr>
            <w:r>
              <w:rPr>
                <w:rFonts w:ascii="Arial" w:hAnsi="Arial"/>
                <w:sz w:val="22"/>
                <w:szCs w:val="22"/>
                <w:shd w:val="nil" w:color="auto" w:fill="auto"/>
                <w:rtl w:val="0"/>
                <w:lang w:val="en-US"/>
              </w:rPr>
              <w:t xml:space="preserve">Student </w:t>
            </w:r>
            <w:r>
              <w:rPr>
                <w:rFonts w:ascii="Arial" w:hAnsi="Arial"/>
                <w:b w:val="1"/>
                <w:bCs w:val="1"/>
                <w:sz w:val="22"/>
                <w:szCs w:val="22"/>
                <w:u w:val="single"/>
                <w:shd w:val="nil" w:color="auto" w:fill="auto"/>
                <w:rtl w:val="0"/>
                <w:lang w:val="en-US"/>
              </w:rPr>
              <w:t>University</w:t>
            </w:r>
            <w:r>
              <w:rPr>
                <w:rFonts w:ascii="Arial" w:hAnsi="Arial"/>
                <w:sz w:val="22"/>
                <w:szCs w:val="22"/>
                <w:u w:val="single"/>
                <w:shd w:val="nil" w:color="auto" w:fill="auto"/>
                <w:rtl w:val="0"/>
                <w:lang w:val="en-US"/>
              </w:rPr>
              <w:t xml:space="preserve"> </w:t>
            </w:r>
            <w:r>
              <w:rPr>
                <w:rFonts w:ascii="Arial" w:hAnsi="Arial"/>
                <w:sz w:val="22"/>
                <w:szCs w:val="22"/>
                <w:shd w:val="nil" w:color="auto" w:fill="auto"/>
                <w:rtl w:val="0"/>
                <w:lang w:val="en-US"/>
              </w:rPr>
              <w:t>Email: 1907654@student.uwtsd.ac.uk</w:t>
            </w:r>
          </w:p>
        </w:tc>
      </w:tr>
      <w:tr>
        <w:tblPrEx>
          <w:shd w:val="clear" w:color="auto" w:fill="ced7e7"/>
        </w:tblPrEx>
        <w:trPr>
          <w:trHeight w:val="1204"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en-US"/>
              </w:rPr>
              <w:t>Module code: HPCA700</w:t>
            </w:r>
            <w:r>
              <w:rPr>
                <w:rFonts w:ascii="Arial" w:hAnsi="Arial"/>
                <w:sz w:val="22"/>
                <w:szCs w:val="22"/>
                <w:shd w:val="nil" w:color="auto" w:fill="auto"/>
                <w:rtl w:val="0"/>
                <w:lang w:val="en-US"/>
              </w:rPr>
              <w:t>2</w:t>
            </w:r>
          </w:p>
          <w:p>
            <w:pPr>
              <w:pStyle w:val="Normal (Web)"/>
              <w:spacing w:before="0" w:after="0"/>
              <w:ind w:right="34"/>
              <w:rPr>
                <w:rFonts w:ascii="Arial" w:cs="Arial" w:hAnsi="Arial" w:eastAsia="Arial"/>
                <w:sz w:val="22"/>
                <w:szCs w:val="22"/>
                <w:shd w:val="nil" w:color="auto" w:fill="auto"/>
                <w:lang w:val="en-US"/>
              </w:rPr>
            </w:pPr>
          </w:p>
          <w:p>
            <w:pPr>
              <w:pStyle w:val="Normal.0"/>
              <w:bidi w:val="0"/>
              <w:ind w:left="0" w:right="0" w:firstLine="0"/>
              <w:jc w:val="left"/>
              <w:rPr>
                <w:rtl w:val="0"/>
              </w:rPr>
            </w:pPr>
            <w:r>
              <w:rPr>
                <w:rFonts w:ascii="Arial" w:hAnsi="Arial"/>
                <w:sz w:val="22"/>
                <w:szCs w:val="22"/>
                <w:shd w:val="nil" w:color="auto" w:fill="auto"/>
                <w:rtl w:val="0"/>
                <w:lang w:val="en-US"/>
              </w:rPr>
              <w:t xml:space="preserve">Module title: </w:t>
            </w:r>
            <w:r>
              <w:rPr>
                <w:sz w:val="22"/>
                <w:szCs w:val="22"/>
                <w:rtl w:val="0"/>
                <w:lang w:val="en-US"/>
              </w:rPr>
              <w:t>Researching Contemporary Cosmologies</w:t>
            </w:r>
            <w:r>
              <w:rPr>
                <w:shd w:val="nil" w:color="auto" w:fill="auto"/>
              </w:rPr>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en-US"/>
              </w:rPr>
              <w:t>Student ID number:</w:t>
            </w:r>
          </w:p>
          <w:p>
            <w:pPr>
              <w:pStyle w:val="Normal (Web)"/>
              <w:spacing w:before="0" w:after="0"/>
              <w:ind w:right="34"/>
              <w:rPr>
                <w:rFonts w:ascii="Arial" w:cs="Arial" w:hAnsi="Arial" w:eastAsia="Arial"/>
                <w:sz w:val="22"/>
                <w:szCs w:val="22"/>
                <w:shd w:val="nil" w:color="auto" w:fill="auto"/>
                <w:lang w:val="en-US"/>
              </w:rPr>
            </w:pPr>
          </w:p>
          <w:p>
            <w:pPr>
              <w:pStyle w:val="Normal (Web)"/>
              <w:bidi w:val="0"/>
              <w:spacing w:before="0" w:after="0"/>
              <w:ind w:left="0" w:right="34" w:firstLine="0"/>
              <w:jc w:val="left"/>
              <w:rPr>
                <w:rtl w:val="0"/>
              </w:rPr>
            </w:pPr>
            <w:r>
              <w:rPr>
                <w:rFonts w:ascii="Arial" w:hAnsi="Arial"/>
                <w:sz w:val="22"/>
                <w:szCs w:val="22"/>
                <w:shd w:val="nil" w:color="auto" w:fill="auto"/>
                <w:rtl w:val="0"/>
                <w:lang w:val="en-US"/>
              </w:rPr>
              <w:t>1907654</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en-US"/>
              </w:rPr>
              <w:t>Educational support needs:</w:t>
            </w:r>
          </w:p>
          <w:p>
            <w:pPr>
              <w:pStyle w:val="Normal (Web)"/>
              <w:bidi w:val="0"/>
              <w:spacing w:before="0" w:after="0"/>
              <w:ind w:left="0" w:right="34" w:firstLine="0"/>
              <w:jc w:val="left"/>
              <w:rPr>
                <w:rtl w:val="0"/>
              </w:rPr>
            </w:pPr>
            <w:r>
              <w:rPr>
                <w:rFonts w:ascii="Arial" w:hAnsi="Arial"/>
                <w:sz w:val="22"/>
                <w:szCs w:val="22"/>
                <w:shd w:val="nil" w:color="auto" w:fill="auto"/>
                <w:rtl w:val="0"/>
                <w:lang w:val="en-US"/>
              </w:rPr>
              <w:t>No</w:t>
            </w:r>
          </w:p>
        </w:tc>
      </w:tr>
      <w:tr>
        <w:tblPrEx>
          <w:shd w:val="clear" w:color="auto" w:fill="ced7e7"/>
        </w:tblPrEx>
        <w:trPr>
          <w:trHeight w:val="979"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en-US"/>
              </w:rPr>
              <w:t xml:space="preserve">Assignment title: Essay </w:t>
            </w:r>
            <w:r>
              <w:rPr>
                <w:rFonts w:ascii="Arial" w:hAnsi="Arial"/>
                <w:sz w:val="22"/>
                <w:szCs w:val="22"/>
                <w:shd w:val="nil" w:color="auto" w:fill="auto"/>
                <w:rtl w:val="0"/>
                <w:lang w:val="en-US"/>
              </w:rPr>
              <w:t>1</w:t>
            </w:r>
          </w:p>
          <w:p>
            <w:pPr>
              <w:pStyle w:val="Normal (Web)"/>
              <w:spacing w:before="0" w:after="0"/>
              <w:ind w:right="34"/>
              <w:rPr>
                <w:rFonts w:ascii="Arial" w:cs="Arial" w:hAnsi="Arial" w:eastAsia="Arial"/>
                <w:sz w:val="22"/>
                <w:szCs w:val="22"/>
                <w:shd w:val="nil" w:color="auto" w:fill="auto"/>
                <w:lang w:val="en-US"/>
              </w:rPr>
            </w:pPr>
          </w:p>
          <w:p>
            <w:pPr>
              <w:pStyle w:val="Normal (Web)"/>
              <w:spacing w:before="0" w:after="0"/>
              <w:ind w:right="34"/>
              <w:rPr>
                <w:rFonts w:ascii="Arial" w:cs="Arial" w:hAnsi="Arial" w:eastAsia="Arial"/>
                <w:sz w:val="22"/>
                <w:szCs w:val="22"/>
                <w:shd w:val="nil" w:color="auto" w:fill="auto"/>
                <w:lang w:val="en-US"/>
              </w:rPr>
            </w:pPr>
          </w:p>
          <w:p>
            <w:pPr>
              <w:pStyle w:val="Normal (Web)"/>
              <w:bidi w:val="0"/>
              <w:spacing w:before="0" w:after="0"/>
              <w:ind w:left="0" w:right="34" w:firstLine="0"/>
              <w:jc w:val="left"/>
              <w:rPr>
                <w:rtl w:val="0"/>
              </w:rPr>
            </w:pPr>
            <w:r>
              <w:rPr>
                <w:rFonts w:ascii="Arial" w:hAnsi="Arial"/>
                <w:sz w:val="22"/>
                <w:szCs w:val="22"/>
                <w:shd w:val="nil" w:color="auto" w:fill="auto"/>
                <w:rtl w:val="0"/>
                <w:lang w:val="en-US"/>
              </w:rPr>
              <w:t xml:space="preserve">Assignment due date: </w:t>
            </w:r>
            <w:r>
              <w:rPr>
                <w:rFonts w:ascii="Arial" w:hAnsi="Arial"/>
                <w:sz w:val="22"/>
                <w:szCs w:val="22"/>
                <w:shd w:val="nil" w:color="auto" w:fill="auto"/>
                <w:rtl w:val="0"/>
                <w:lang w:val="en-US"/>
              </w:rPr>
              <w:t xml:space="preserve">1 June </w:t>
            </w:r>
            <w:r>
              <w:rPr>
                <w:rFonts w:ascii="Arial" w:hAnsi="Arial"/>
                <w:sz w:val="22"/>
                <w:szCs w:val="22"/>
                <w:shd w:val="nil" w:color="auto" w:fill="auto"/>
                <w:rtl w:val="0"/>
                <w:lang w:val="en-US"/>
              </w:rPr>
              <w:t>2020</w:t>
            </w:r>
          </w:p>
        </w:tc>
      </w:tr>
      <w:tr>
        <w:tblPrEx>
          <w:shd w:val="clear" w:color="auto" w:fill="ced7e7"/>
        </w:tblPrEx>
        <w:trPr>
          <w:trHeight w:val="81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sz w:val="22"/>
                <w:szCs w:val="22"/>
                <w:shd w:val="nil" w:color="auto" w:fill="auto"/>
                <w:rtl w:val="0"/>
                <w:lang w:val="en-US"/>
              </w:rPr>
              <w:t>This assignment is for the       1</w:t>
            </w:r>
            <w:r>
              <w:rPr>
                <w:rFonts w:ascii="Arial" w:hAnsi="Arial"/>
                <w:sz w:val="22"/>
                <w:szCs w:val="22"/>
                <w:shd w:val="nil" w:color="auto" w:fill="auto"/>
                <w:vertAlign w:val="superscript"/>
                <w:rtl w:val="0"/>
                <w:lang w:val="en-US"/>
              </w:rPr>
              <w:t xml:space="preserve">st </w:t>
            </w:r>
            <w:r>
              <w:rPr>
                <w:rFonts w:ascii="Arial" w:hAnsi="Arial"/>
                <w:sz w:val="22"/>
                <w:szCs w:val="22"/>
                <w:shd w:val="nil" w:color="auto" w:fill="auto"/>
                <w:rtl w:val="0"/>
                <w:lang w:val="en-US"/>
              </w:rPr>
              <w:t xml:space="preserve">    2</w:t>
            </w:r>
            <w:r>
              <w:rPr>
                <w:rFonts w:ascii="Arial" w:hAnsi="Arial"/>
                <w:sz w:val="22"/>
                <w:szCs w:val="22"/>
                <w:shd w:val="nil" w:color="auto" w:fill="auto"/>
                <w:vertAlign w:val="superscript"/>
                <w:rtl w:val="0"/>
                <w:lang w:val="en-US"/>
              </w:rPr>
              <w:t>nd</w:t>
            </w:r>
            <w:r>
              <w:rPr>
                <w:rFonts w:ascii="Arial" w:hAnsi="Arial"/>
                <w:sz w:val="22"/>
                <w:szCs w:val="22"/>
                <w:shd w:val="nil" w:color="auto" w:fill="auto"/>
                <w:rtl w:val="0"/>
                <w:lang w:val="en-US"/>
              </w:rPr>
              <w:t xml:space="preserve">       3</w:t>
            </w:r>
            <w:r>
              <w:rPr>
                <w:rFonts w:ascii="Arial" w:hAnsi="Arial"/>
                <w:sz w:val="22"/>
                <w:szCs w:val="22"/>
                <w:shd w:val="nil" w:color="auto" w:fill="auto"/>
                <w:vertAlign w:val="superscript"/>
                <w:rtl w:val="0"/>
                <w:lang w:val="en-US"/>
              </w:rPr>
              <w:t>rd</w:t>
            </w:r>
            <w:r>
              <w:rPr>
                <w:rFonts w:ascii="Arial" w:hAnsi="Arial"/>
                <w:sz w:val="22"/>
                <w:szCs w:val="22"/>
                <w:shd w:val="nil" w:color="auto" w:fill="auto"/>
                <w:rtl w:val="0"/>
                <w:lang w:val="en-US"/>
              </w:rPr>
              <w:t xml:space="preserve">        4</w:t>
            </w:r>
            <w:r>
              <w:rPr>
                <w:rFonts w:ascii="Arial" w:hAnsi="Arial"/>
                <w:sz w:val="22"/>
                <w:szCs w:val="22"/>
                <w:shd w:val="nil" w:color="auto" w:fill="auto"/>
                <w:vertAlign w:val="superscript"/>
                <w:rtl w:val="0"/>
                <w:lang w:val="en-US"/>
              </w:rPr>
              <w:t>th</w:t>
            </w:r>
            <w:r>
              <w:rPr>
                <w:rFonts w:ascii="Arial" w:hAnsi="Arial"/>
                <w:sz w:val="22"/>
                <w:szCs w:val="22"/>
                <w:shd w:val="nil" w:color="auto" w:fill="auto"/>
                <w:rtl w:val="0"/>
                <w:lang w:val="en-US"/>
              </w:rPr>
              <w:t xml:space="preserve">       5</w:t>
            </w:r>
            <w:r>
              <w:rPr>
                <w:rFonts w:ascii="Arial" w:hAnsi="Arial"/>
                <w:sz w:val="22"/>
                <w:szCs w:val="22"/>
                <w:shd w:val="nil" w:color="auto" w:fill="auto"/>
                <w:vertAlign w:val="superscript"/>
                <w:rtl w:val="0"/>
                <w:lang w:val="en-US"/>
              </w:rPr>
              <w:t>th</w:t>
            </w:r>
            <w:r>
              <w:rPr>
                <w:rFonts w:ascii="Arial" w:hAnsi="Arial"/>
                <w:sz w:val="22"/>
                <w:szCs w:val="22"/>
                <w:shd w:val="nil" w:color="auto" w:fill="auto"/>
                <w:vertAlign w:val="superscript"/>
                <w:rtl w:val="0"/>
                <w:lang w:val="en-US"/>
              </w:rPr>
              <w:t>(X)</w:t>
            </w:r>
            <w:r>
              <w:rPr>
                <w:rFonts w:ascii="Arial" w:hAnsi="Arial"/>
                <w:sz w:val="22"/>
                <w:szCs w:val="22"/>
                <w:shd w:val="nil" w:color="auto" w:fill="auto"/>
                <w:rtl w:val="0"/>
                <w:lang w:val="en-US"/>
              </w:rPr>
              <w:t xml:space="preserve">       6</w:t>
            </w:r>
            <w:r>
              <w:rPr>
                <w:rFonts w:ascii="Arial" w:hAnsi="Arial"/>
                <w:sz w:val="22"/>
                <w:szCs w:val="22"/>
                <w:shd w:val="nil" w:color="auto" w:fill="auto"/>
                <w:vertAlign w:val="superscript"/>
                <w:rtl w:val="0"/>
                <w:lang w:val="en-US"/>
              </w:rPr>
              <w:t>th</w:t>
            </w:r>
            <w:r>
              <w:rPr>
                <w:rFonts w:ascii="Arial" w:hAnsi="Arial"/>
                <w:sz w:val="22"/>
                <w:szCs w:val="22"/>
                <w:shd w:val="nil" w:color="auto" w:fill="auto"/>
                <w:rtl w:val="0"/>
                <w:lang w:val="en-US"/>
              </w:rPr>
              <w:t xml:space="preserve"> </w:t>
            </w:r>
            <w:r>
              <w:rPr>
                <w:rFonts w:ascii="Arial" w:hAnsi="Arial"/>
                <w:b w:val="1"/>
                <w:bCs w:val="1"/>
                <w:sz w:val="22"/>
                <w:szCs w:val="22"/>
                <w:shd w:val="nil" w:color="auto" w:fill="auto"/>
                <w:rtl w:val="0"/>
                <w:lang w:val="en-US"/>
              </w:rPr>
              <w:t xml:space="preserve">   </w:t>
            </w:r>
            <w:r>
              <w:rPr>
                <w:rFonts w:ascii="Arial" w:hAnsi="Arial"/>
                <w:sz w:val="22"/>
                <w:szCs w:val="22"/>
                <w:shd w:val="nil" w:color="auto" w:fill="auto"/>
                <w:rtl w:val="0"/>
                <w:lang w:val="en-US"/>
              </w:rPr>
              <w:t>module of the degree</w:t>
            </w:r>
          </w:p>
        </w:tc>
      </w:tr>
      <w:tr>
        <w:tblPrEx>
          <w:shd w:val="clear" w:color="auto" w:fill="ced7e7"/>
        </w:tblPrEx>
        <w:trPr>
          <w:trHeight w:val="14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en-US"/>
              </w:rPr>
              <w:t>I confirm that this is my original work and that I have adhered to the University policy on plagiarism.</w:t>
            </w:r>
          </w:p>
          <w:p>
            <w:pPr>
              <w:pStyle w:val="Normal (Web)"/>
              <w:bidi w:val="0"/>
              <w:spacing w:before="0" w:after="0"/>
              <w:ind w:left="0" w:right="34"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Signed:</w:t>
            </w:r>
          </w:p>
          <w:p>
            <w:pPr>
              <w:pStyle w:val="Normal (Web)"/>
              <w:spacing w:before="0" w:after="0"/>
              <w:ind w:right="34"/>
              <w:rPr>
                <w:rFonts w:ascii="Arial" w:cs="Arial" w:hAnsi="Arial" w:eastAsia="Arial"/>
                <w:sz w:val="22"/>
                <w:szCs w:val="22"/>
                <w:shd w:val="nil" w:color="auto" w:fill="auto"/>
                <w:lang w:val="en-US"/>
              </w:rPr>
            </w:pPr>
          </w:p>
          <w:p>
            <w:pPr>
              <w:pStyle w:val="Normal (Web)"/>
              <w:bidi w:val="0"/>
              <w:spacing w:before="0" w:after="0"/>
              <w:ind w:left="0" w:right="34" w:firstLine="0"/>
              <w:jc w:val="left"/>
              <w:rPr>
                <w:rtl w:val="0"/>
              </w:rPr>
            </w:pPr>
            <w:r>
              <w:rPr>
                <w:rFonts w:ascii="Arial" w:hAnsi="Arial"/>
                <w:b w:val="1"/>
                <w:bCs w:val="1"/>
                <w:sz w:val="22"/>
                <w:szCs w:val="22"/>
                <w:u w:val="single"/>
                <w:shd w:val="nil" w:color="auto" w:fill="auto"/>
                <w:rtl w:val="0"/>
                <w:lang w:val="en-US"/>
              </w:rPr>
              <w:t>DYLAN COUTTS</w:t>
            </w:r>
            <w:r>
              <w:rPr>
                <w:rFonts w:ascii="Arial" w:cs="Arial" w:hAnsi="Arial" w:eastAsia="Arial"/>
                <w:b w:val="1"/>
                <w:bCs w:val="1"/>
                <w:sz w:val="22"/>
                <w:szCs w:val="22"/>
                <w:u w:val="single"/>
                <w:shd w:val="nil" w:color="auto" w:fill="auto"/>
              </w:rPr>
            </w:r>
          </w:p>
        </w:tc>
      </w:tr>
      <w:tr>
        <w:tblPrEx>
          <w:shd w:val="clear" w:color="auto" w:fill="ced7e7"/>
        </w:tblPrEx>
        <w:trPr>
          <w:trHeight w:val="538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Arial" w:cs="Arial" w:hAnsi="Arial" w:eastAsia="Arial"/>
                <w:b w:val="1"/>
                <w:bCs w:val="1"/>
                <w:shd w:val="nil" w:color="auto" w:fill="auto"/>
                <w:lang w:val="en-US"/>
              </w:rPr>
            </w:pPr>
          </w:p>
          <w:p>
            <w:pPr>
              <w:pStyle w:val="Normal.0"/>
              <w:bidi w:val="0"/>
              <w:ind w:left="0" w:right="0" w:firstLine="0"/>
              <w:jc w:val="left"/>
              <w:rPr>
                <w:rFonts w:ascii="Arial" w:cs="Arial" w:hAnsi="Arial" w:eastAsia="Arial"/>
                <w:shd w:val="nil" w:color="auto" w:fill="auto"/>
                <w:rtl w:val="0"/>
              </w:rPr>
            </w:pPr>
            <w:r>
              <w:rPr>
                <w:rFonts w:ascii="Arial" w:hAnsi="Arial"/>
                <w:b w:val="1"/>
                <w:bCs w:val="1"/>
                <w:shd w:val="nil" w:color="auto" w:fill="auto"/>
                <w:rtl w:val="0"/>
                <w:lang w:val="en-US"/>
              </w:rPr>
              <w:t>Assignment Mark</w:t>
            </w:r>
          </w:p>
          <w:p>
            <w:pPr>
              <w:pStyle w:val="Normal.0"/>
              <w:rPr>
                <w:rFonts w:ascii="Arial" w:cs="Arial" w:hAnsi="Arial" w:eastAsia="Arial"/>
                <w:sz w:val="20"/>
                <w:szCs w:val="20"/>
                <w:shd w:val="nil" w:color="auto" w:fill="auto"/>
                <w:lang w:val="en-US"/>
              </w:rPr>
            </w:pPr>
          </w:p>
          <w:p>
            <w:pPr>
              <w:pStyle w:val="Normal.0"/>
              <w:rPr>
                <w:rFonts w:ascii="Arial" w:cs="Arial" w:hAnsi="Arial" w:eastAsia="Arial"/>
                <w:sz w:val="20"/>
                <w:szCs w:val="20"/>
                <w:shd w:val="nil" w:color="auto" w:fill="auto"/>
                <w:lang w:val="en-US"/>
              </w:rPr>
            </w:pPr>
            <w:r>
              <w:rPr>
                <w:rFonts w:ascii="Arial" w:hAnsi="Arial"/>
                <w:sz w:val="20"/>
                <w:szCs w:val="20"/>
                <w:shd w:val="nil" w:color="auto" w:fill="auto"/>
                <w:rtl w:val="0"/>
                <w:lang w:val="en-US"/>
              </w:rPr>
              <w:t>1</w:t>
            </w:r>
            <w:r>
              <w:rPr>
                <w:rFonts w:ascii="Arial" w:hAnsi="Arial"/>
                <w:sz w:val="20"/>
                <w:szCs w:val="20"/>
                <w:shd w:val="nil" w:color="auto" w:fill="auto"/>
                <w:vertAlign w:val="superscript"/>
                <w:rtl w:val="0"/>
                <w:lang w:val="en-US"/>
              </w:rPr>
              <w:t>st</w:t>
            </w:r>
            <w:r>
              <w:rPr>
                <w:rFonts w:ascii="Arial" w:hAnsi="Arial"/>
                <w:sz w:val="20"/>
                <w:szCs w:val="20"/>
                <w:shd w:val="nil" w:color="auto" w:fill="auto"/>
                <w:rtl w:val="0"/>
                <w:lang w:val="en-US"/>
              </w:rPr>
              <w:t xml:space="preserve"> Marker</w:t>
            </w:r>
            <w:r>
              <w:rPr>
                <w:rFonts w:ascii="Arial" w:hAnsi="Arial" w:hint="default"/>
                <w:sz w:val="20"/>
                <w:szCs w:val="20"/>
                <w:shd w:val="nil" w:color="auto" w:fill="auto"/>
                <w:rtl w:val="0"/>
                <w:lang w:val="en-US"/>
              </w:rPr>
              <w:t>’</w:t>
            </w:r>
            <w:r>
              <w:rPr>
                <w:rFonts w:ascii="Arial" w:hAnsi="Arial"/>
                <w:sz w:val="20"/>
                <w:szCs w:val="20"/>
                <w:shd w:val="nil" w:color="auto" w:fill="auto"/>
                <w:rtl w:val="0"/>
                <w:lang w:val="en-US"/>
              </w:rPr>
              <w:t>s Provisional mark</w:t>
              <w:tab/>
            </w:r>
          </w:p>
          <w:p>
            <w:pPr>
              <w:pStyle w:val="Normal.0"/>
              <w:rPr>
                <w:rFonts w:ascii="Arial" w:cs="Arial" w:hAnsi="Arial" w:eastAsia="Arial"/>
                <w:sz w:val="20"/>
                <w:szCs w:val="20"/>
                <w:shd w:val="nil" w:color="auto" w:fill="auto"/>
                <w:lang w:val="en-US"/>
              </w:rPr>
            </w:pPr>
          </w:p>
          <w:p>
            <w:pPr>
              <w:pStyle w:val="Normal.0"/>
              <w:rPr>
                <w:rFonts w:ascii="Arial" w:cs="Arial" w:hAnsi="Arial" w:eastAsia="Arial"/>
                <w:sz w:val="20"/>
                <w:szCs w:val="20"/>
                <w:shd w:val="nil" w:color="auto" w:fill="auto"/>
                <w:lang w:val="en-US"/>
              </w:rPr>
            </w:pPr>
            <w:r>
              <w:rPr>
                <w:rFonts w:ascii="Arial" w:hAnsi="Arial"/>
                <w:sz w:val="20"/>
                <w:szCs w:val="20"/>
                <w:shd w:val="nil" w:color="auto" w:fill="auto"/>
                <w:rtl w:val="0"/>
                <w:lang w:val="en-US"/>
              </w:rPr>
              <w:t>2</w:t>
            </w:r>
            <w:r>
              <w:rPr>
                <w:rFonts w:ascii="Arial" w:hAnsi="Arial"/>
                <w:sz w:val="20"/>
                <w:szCs w:val="20"/>
                <w:shd w:val="nil" w:color="auto" w:fill="auto"/>
                <w:vertAlign w:val="superscript"/>
                <w:rtl w:val="0"/>
                <w:lang w:val="en-US"/>
              </w:rPr>
              <w:t>nd</w:t>
            </w:r>
            <w:r>
              <w:rPr>
                <w:rFonts w:ascii="Arial" w:hAnsi="Arial"/>
                <w:sz w:val="20"/>
                <w:szCs w:val="20"/>
                <w:shd w:val="nil" w:color="auto" w:fill="auto"/>
                <w:rtl w:val="0"/>
                <w:lang w:val="en-US"/>
              </w:rPr>
              <w:t xml:space="preserve"> Marker</w:t>
            </w:r>
            <w:r>
              <w:rPr>
                <w:rFonts w:ascii="Arial" w:hAnsi="Arial" w:hint="default"/>
                <w:sz w:val="20"/>
                <w:szCs w:val="20"/>
                <w:shd w:val="nil" w:color="auto" w:fill="auto"/>
                <w:rtl w:val="0"/>
                <w:lang w:val="en-US"/>
              </w:rPr>
              <w:t>’</w:t>
            </w:r>
            <w:r>
              <w:rPr>
                <w:rFonts w:ascii="Arial" w:hAnsi="Arial"/>
                <w:sz w:val="20"/>
                <w:szCs w:val="20"/>
                <w:shd w:val="nil" w:color="auto" w:fill="auto"/>
                <w:rtl w:val="0"/>
                <w:lang w:val="en-US"/>
              </w:rPr>
              <w:t>s/Moderator</w:t>
            </w:r>
            <w:r>
              <w:rPr>
                <w:rFonts w:ascii="Arial" w:hAnsi="Arial" w:hint="default"/>
                <w:sz w:val="20"/>
                <w:szCs w:val="20"/>
                <w:shd w:val="nil" w:color="auto" w:fill="auto"/>
                <w:rtl w:val="0"/>
                <w:lang w:val="en-US"/>
              </w:rPr>
              <w:t>’</w:t>
            </w:r>
            <w:r>
              <w:rPr>
                <w:rFonts w:ascii="Arial" w:hAnsi="Arial"/>
                <w:sz w:val="20"/>
                <w:szCs w:val="20"/>
                <w:shd w:val="nil" w:color="auto" w:fill="auto"/>
                <w:rtl w:val="0"/>
                <w:lang w:val="en-US"/>
              </w:rPr>
              <w:t>s provisional mark</w:t>
              <w:tab/>
            </w:r>
          </w:p>
          <w:p>
            <w:pPr>
              <w:pStyle w:val="Normal.0"/>
              <w:rPr>
                <w:rFonts w:ascii="Arial" w:cs="Arial" w:hAnsi="Arial" w:eastAsia="Arial"/>
                <w:sz w:val="20"/>
                <w:szCs w:val="20"/>
                <w:shd w:val="nil" w:color="auto" w:fill="auto"/>
                <w:lang w:val="en-US"/>
              </w:rPr>
            </w:pPr>
          </w:p>
          <w:p>
            <w:pPr>
              <w:pStyle w:val="Normal.0"/>
              <w:rPr>
                <w:rFonts w:ascii="Arial" w:cs="Arial" w:hAnsi="Arial" w:eastAsia="Arial"/>
                <w:sz w:val="20"/>
                <w:szCs w:val="20"/>
                <w:shd w:val="nil" w:color="auto" w:fill="auto"/>
                <w:lang w:val="en-US"/>
              </w:rPr>
            </w:pPr>
            <w:r>
              <w:rPr>
                <w:rFonts w:ascii="Arial" w:hAnsi="Arial"/>
                <w:sz w:val="20"/>
                <w:szCs w:val="20"/>
                <w:shd w:val="nil" w:color="auto" w:fill="auto"/>
                <w:rtl w:val="0"/>
                <w:lang w:val="en-US"/>
              </w:rPr>
              <w:t>External Examiner</w:t>
            </w:r>
            <w:r>
              <w:rPr>
                <w:rFonts w:ascii="Arial" w:hAnsi="Arial" w:hint="default"/>
                <w:sz w:val="20"/>
                <w:szCs w:val="20"/>
                <w:shd w:val="nil" w:color="auto" w:fill="auto"/>
                <w:rtl w:val="0"/>
                <w:lang w:val="en-US"/>
              </w:rPr>
              <w:t>’</w:t>
            </w:r>
            <w:r>
              <w:rPr>
                <w:rFonts w:ascii="Arial" w:hAnsi="Arial"/>
                <w:sz w:val="20"/>
                <w:szCs w:val="20"/>
                <w:shd w:val="nil" w:color="auto" w:fill="auto"/>
                <w:rtl w:val="0"/>
                <w:lang w:val="en-US"/>
              </w:rPr>
              <w:t>s mark (if relevant)</w:t>
              <w:tab/>
            </w:r>
          </w:p>
          <w:p>
            <w:pPr>
              <w:pStyle w:val="Normal.0"/>
              <w:rPr>
                <w:rFonts w:ascii="Arial" w:cs="Arial" w:hAnsi="Arial" w:eastAsia="Arial"/>
                <w:sz w:val="20"/>
                <w:szCs w:val="20"/>
                <w:shd w:val="nil" w:color="auto" w:fill="auto"/>
                <w:lang w:val="en-US"/>
              </w:rPr>
            </w:pPr>
          </w:p>
          <w:p>
            <w:pPr>
              <w:pStyle w:val="Normal.0"/>
              <w:rPr>
                <w:rFonts w:ascii="Arial" w:cs="Arial" w:hAnsi="Arial" w:eastAsia="Arial"/>
                <w:b w:val="1"/>
                <w:bCs w:val="1"/>
                <w:sz w:val="20"/>
                <w:szCs w:val="20"/>
                <w:shd w:val="nil" w:color="auto" w:fill="auto"/>
              </w:rPr>
            </w:pPr>
            <w:r>
              <w:rPr>
                <w:rFonts w:ascii="Arial" w:hAnsi="Arial"/>
                <w:b w:val="1"/>
                <w:bCs w:val="1"/>
                <w:sz w:val="20"/>
                <w:szCs w:val="20"/>
                <w:shd w:val="nil" w:color="auto" w:fill="auto"/>
                <w:rtl w:val="0"/>
                <w:lang w:val="en-US"/>
              </w:rPr>
              <w:t>Final Mark</w:t>
            </w:r>
          </w:p>
          <w:p>
            <w:pPr>
              <w:pStyle w:val="Normal.0"/>
              <w:rPr>
                <w:rFonts w:ascii="Arial" w:cs="Arial" w:hAnsi="Arial" w:eastAsia="Arial"/>
                <w:b w:val="1"/>
                <w:bCs w:val="1"/>
                <w:sz w:val="20"/>
                <w:szCs w:val="20"/>
                <w:shd w:val="nil" w:color="auto" w:fill="auto"/>
              </w:rPr>
            </w:pPr>
            <w:r>
              <w:rPr>
                <w:rFonts w:ascii="Arial" w:cs="Arial" w:hAnsi="Arial" w:eastAsia="Arial"/>
                <w:b w:val="1"/>
                <w:bCs w:val="1"/>
                <w:sz w:val="20"/>
                <w:szCs w:val="20"/>
                <w:shd w:val="nil" w:color="auto" w:fill="auto"/>
              </w:rPr>
              <w:tab/>
            </w:r>
          </w:p>
          <w:p>
            <w:pPr>
              <w:pStyle w:val="Normal (Web)"/>
              <w:spacing w:before="0" w:after="0"/>
              <w:ind w:left="142" w:right="34" w:firstLine="0"/>
              <w:rPr>
                <w:rFonts w:ascii="Arial" w:cs="Arial" w:hAnsi="Arial" w:eastAsia="Arial"/>
                <w:b w:val="1"/>
                <w:bCs w:val="1"/>
                <w:sz w:val="22"/>
                <w:szCs w:val="22"/>
                <w:shd w:val="nil" w:color="auto" w:fill="auto"/>
                <w:lang w:val="en-US"/>
              </w:rPr>
            </w:pPr>
          </w:p>
          <w:p>
            <w:pPr>
              <w:pStyle w:val="Normal (Web)"/>
              <w:bidi w:val="0"/>
              <w:spacing w:before="0" w:after="0"/>
              <w:ind w:left="142" w:right="34" w:firstLine="0"/>
              <w:jc w:val="left"/>
              <w:rPr>
                <w:rFonts w:ascii="Arial" w:cs="Arial" w:hAnsi="Arial" w:eastAsia="Arial"/>
                <w:sz w:val="22"/>
                <w:szCs w:val="22"/>
                <w:shd w:val="nil" w:color="auto" w:fill="auto"/>
                <w:rtl w:val="0"/>
              </w:rPr>
            </w:pPr>
            <w:r>
              <w:rPr>
                <w:rFonts w:ascii="Arial" w:hAnsi="Arial"/>
                <w:b w:val="1"/>
                <w:bCs w:val="1"/>
                <w:sz w:val="22"/>
                <w:szCs w:val="22"/>
                <w:shd w:val="nil" w:color="auto" w:fill="auto"/>
                <w:rtl w:val="0"/>
                <w:lang w:val="en-US"/>
              </w:rPr>
              <w:t>NB.</w:t>
            </w:r>
            <w:r>
              <w:rPr>
                <w:rFonts w:ascii="Arial" w:hAnsi="Arial"/>
                <w:sz w:val="22"/>
                <w:szCs w:val="22"/>
                <w:shd w:val="nil" w:color="auto" w:fill="auto"/>
                <w:rtl w:val="0"/>
                <w:lang w:val="en-US"/>
              </w:rPr>
              <w:t xml:space="preserve">  All marks are provisional until confirmed by the Final Examination Board.</w:t>
            </w:r>
          </w:p>
          <w:p>
            <w:pPr>
              <w:pStyle w:val="Normal (Web)"/>
              <w:spacing w:before="0" w:after="0"/>
              <w:rPr>
                <w:rFonts w:ascii="Arial" w:cs="Arial" w:hAnsi="Arial" w:eastAsia="Arial"/>
                <w:b w:val="1"/>
                <w:bCs w:val="1"/>
                <w:sz w:val="22"/>
                <w:szCs w:val="22"/>
                <w:shd w:val="nil" w:color="auto" w:fill="auto"/>
                <w:lang w:val="en-US"/>
              </w:rPr>
            </w:pPr>
          </w:p>
          <w:p>
            <w:pPr>
              <w:pStyle w:val="Normal (Web)"/>
              <w:spacing w:before="0" w:after="0"/>
              <w:rPr>
                <w:rFonts w:ascii="Arial" w:cs="Arial" w:hAnsi="Arial" w:eastAsia="Arial"/>
                <w:b w:val="1"/>
                <w:bCs w:val="1"/>
                <w:sz w:val="22"/>
                <w:szCs w:val="22"/>
                <w:shd w:val="nil" w:color="auto" w:fill="auto"/>
                <w:lang w:val="en-US"/>
              </w:rPr>
            </w:pPr>
          </w:p>
          <w:p>
            <w:pPr>
              <w:pStyle w:val="Normal (Web)"/>
              <w:spacing w:before="0" w:after="0"/>
              <w:rPr>
                <w:rFonts w:ascii="Arial" w:cs="Arial" w:hAnsi="Arial" w:eastAsia="Arial"/>
                <w:b w:val="1"/>
                <w:bCs w:val="1"/>
                <w:sz w:val="22"/>
                <w:szCs w:val="22"/>
                <w:shd w:val="nil" w:color="auto" w:fill="auto"/>
                <w:lang w:val="en-US"/>
              </w:rPr>
            </w:pPr>
          </w:p>
          <w:p>
            <w:pPr>
              <w:pStyle w:val="Normal (Web)"/>
              <w:spacing w:before="0" w:after="0"/>
              <w:rPr>
                <w:rFonts w:ascii="Arial" w:cs="Arial" w:hAnsi="Arial" w:eastAsia="Arial"/>
                <w:b w:val="1"/>
                <w:bCs w:val="1"/>
                <w:sz w:val="22"/>
                <w:szCs w:val="22"/>
                <w:shd w:val="nil" w:color="auto" w:fill="auto"/>
                <w:lang w:val="en-US"/>
              </w:rPr>
            </w:pPr>
          </w:p>
          <w:p>
            <w:pPr>
              <w:pStyle w:val="Normal (Web)"/>
              <w:spacing w:before="0" w:after="0"/>
              <w:rPr>
                <w:rFonts w:ascii="Arial" w:cs="Arial" w:hAnsi="Arial" w:eastAsia="Arial"/>
                <w:b w:val="1"/>
                <w:bCs w:val="1"/>
                <w:sz w:val="22"/>
                <w:szCs w:val="22"/>
                <w:shd w:val="nil" w:color="auto" w:fill="auto"/>
                <w:lang w:val="en-US"/>
              </w:rPr>
            </w:pPr>
          </w:p>
          <w:p>
            <w:pPr>
              <w:pStyle w:val="Normal (Web)"/>
              <w:spacing w:before="0" w:after="0"/>
              <w:rPr>
                <w:rFonts w:ascii="Arial" w:cs="Arial" w:hAnsi="Arial" w:eastAsia="Arial"/>
                <w:b w:val="1"/>
                <w:bCs w:val="1"/>
                <w:sz w:val="22"/>
                <w:szCs w:val="22"/>
                <w:shd w:val="nil" w:color="auto" w:fill="auto"/>
                <w:lang w:val="en-US"/>
              </w:rPr>
            </w:pPr>
          </w:p>
          <w:p>
            <w:pPr>
              <w:pStyle w:val="Normal (Web)"/>
              <w:bidi w:val="0"/>
              <w:spacing w:before="0" w:after="0"/>
              <w:ind w:left="0" w:right="0" w:firstLine="0"/>
              <w:jc w:val="left"/>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For completion by Marker 1 :</w:t>
            </w:r>
          </w:p>
          <w:p>
            <w:pPr>
              <w:pStyle w:val="Normal (Web)"/>
              <w:bidi w:val="0"/>
              <w:ind w:left="0" w:right="0" w:firstLine="0"/>
              <w:jc w:val="left"/>
              <w:rPr>
                <w:rtl w:val="0"/>
              </w:rPr>
            </w:pPr>
            <w:r>
              <w:rPr>
                <w:rFonts w:ascii="Arial" w:hAnsi="Arial"/>
                <w:sz w:val="22"/>
                <w:szCs w:val="22"/>
                <w:shd w:val="nil" w:color="auto" w:fill="auto"/>
                <w:rtl w:val="0"/>
                <w:lang w:val="en-US"/>
              </w:rPr>
              <w:t>Comments:</w:t>
            </w:r>
            <w:r>
              <w:rPr>
                <w:rFonts w:ascii="Arial" w:cs="Arial" w:hAnsi="Arial" w:eastAsia="Arial"/>
                <w:sz w:val="22"/>
                <w:szCs w:val="22"/>
                <w:shd w:val="nil" w:color="auto" w:fill="auto"/>
              </w:rPr>
            </w:r>
          </w:p>
        </w:tc>
      </w:tr>
      <w:tr>
        <w:tblPrEx>
          <w:shd w:val="clear" w:color="auto" w:fill="ced7e7"/>
        </w:tblPrEx>
        <w:trPr>
          <w:trHeight w:val="332"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pStyle w:val="Normal (Web)"/>
              <w:ind w:left="142" w:right="34" w:firstLine="0"/>
            </w:pPr>
            <w:r>
              <w:rPr>
                <w:rFonts w:ascii="Arial" w:hAnsi="Arial"/>
                <w:sz w:val="22"/>
                <w:szCs w:val="22"/>
                <w:shd w:val="nil" w:color="auto" w:fill="auto"/>
                <w:rtl w:val="0"/>
                <w:lang w:val="en-US"/>
              </w:rPr>
              <w:t>Marker</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pStyle w:val="Normal (Web)"/>
              <w:ind w:left="142" w:right="34" w:firstLine="0"/>
            </w:pPr>
            <w:r>
              <w:rPr>
                <w:rFonts w:ascii="Arial" w:hAnsi="Arial"/>
                <w:sz w:val="22"/>
                <w:szCs w:val="22"/>
                <w:shd w:val="nil" w:color="auto" w:fill="auto"/>
                <w:rtl w:val="0"/>
                <w:lang w:val="en-US"/>
              </w:rPr>
              <w:t>Date:</w:t>
            </w:r>
          </w:p>
        </w:tc>
      </w:tr>
      <w:tr>
        <w:tblPrEx>
          <w:shd w:val="clear" w:color="auto" w:fill="ced7e7"/>
        </w:tblPrEx>
        <w:trPr>
          <w:trHeight w:val="38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before="0" w:after="0"/>
              <w:rPr>
                <w:rFonts w:ascii="Arial" w:cs="Arial" w:hAnsi="Arial" w:eastAsia="Arial"/>
                <w:i w:val="1"/>
                <w:iCs w:val="1"/>
                <w:sz w:val="22"/>
                <w:szCs w:val="22"/>
                <w:shd w:val="nil" w:color="auto" w:fill="auto"/>
                <w:lang w:val="en-US"/>
              </w:rPr>
            </w:pPr>
          </w:p>
          <w:p>
            <w:pPr>
              <w:pStyle w:val="Normal (Web)"/>
              <w:bidi w:val="0"/>
              <w:spacing w:before="0" w:after="0"/>
              <w:ind w:left="0" w:right="0" w:firstLine="0"/>
              <w:jc w:val="left"/>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For completion by Marker 2/Moderator:</w:t>
            </w:r>
          </w:p>
          <w:p>
            <w:pPr>
              <w:pStyle w:val="Normal (Web)"/>
              <w:spacing w:before="0" w:after="0"/>
              <w:rPr>
                <w:rFonts w:ascii="Arial" w:cs="Arial" w:hAnsi="Arial" w:eastAsia="Arial"/>
                <w:b w:val="1"/>
                <w:bCs w:val="1"/>
                <w:sz w:val="22"/>
                <w:szCs w:val="22"/>
                <w:shd w:val="nil" w:color="auto" w:fill="auto"/>
                <w:lang w:val="en-US"/>
              </w:rPr>
            </w:pPr>
          </w:p>
          <w:p>
            <w:pPr>
              <w:pStyle w:val="Normal (Web)"/>
              <w:bidi w:val="0"/>
              <w:spacing w:before="0" w:after="0"/>
              <w:ind w:left="0" w:right="0"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Comments:</w:t>
            </w:r>
          </w:p>
          <w:p>
            <w:pPr>
              <w:pStyle w:val="Normal (Web)"/>
              <w:spacing w:before="0" w:after="0"/>
              <w:rPr>
                <w:rFonts w:ascii="Arial" w:cs="Arial" w:hAnsi="Arial" w:eastAsia="Arial"/>
                <w:sz w:val="22"/>
                <w:szCs w:val="22"/>
                <w:shd w:val="nil" w:color="auto" w:fill="auto"/>
                <w:lang w:val="en-US"/>
              </w:rPr>
            </w:pPr>
          </w:p>
          <w:p>
            <w:pPr>
              <w:pStyle w:val="Normal (Web)"/>
              <w:spacing w:before="0" w:after="0"/>
              <w:rPr>
                <w:rFonts w:ascii="Arial" w:cs="Arial" w:hAnsi="Arial" w:eastAsia="Arial"/>
                <w:sz w:val="22"/>
                <w:szCs w:val="22"/>
                <w:shd w:val="nil" w:color="auto" w:fill="auto"/>
                <w:lang w:val="en-US"/>
              </w:rPr>
            </w:pPr>
          </w:p>
          <w:p>
            <w:pPr>
              <w:pStyle w:val="Normal (Web)"/>
              <w:spacing w:before="0" w:after="0"/>
              <w:rPr>
                <w:rFonts w:ascii="Arial" w:cs="Arial" w:hAnsi="Arial" w:eastAsia="Arial"/>
                <w:sz w:val="22"/>
                <w:szCs w:val="22"/>
                <w:shd w:val="nil" w:color="auto" w:fill="auto"/>
                <w:lang w:val="en-US"/>
              </w:rPr>
            </w:pPr>
          </w:p>
          <w:p>
            <w:pPr>
              <w:pStyle w:val="Normal (Web)"/>
              <w:spacing w:before="0" w:after="0"/>
              <w:rPr>
                <w:rFonts w:ascii="Arial" w:cs="Arial" w:hAnsi="Arial" w:eastAsia="Arial"/>
                <w:sz w:val="22"/>
                <w:szCs w:val="22"/>
                <w:shd w:val="nil" w:color="auto" w:fill="auto"/>
                <w:lang w:val="en-US"/>
              </w:rPr>
            </w:pPr>
          </w:p>
          <w:p>
            <w:pPr>
              <w:pStyle w:val="Normal (Web)"/>
              <w:spacing w:before="0" w:after="0"/>
              <w:rPr>
                <w:rFonts w:ascii="Arial" w:cs="Arial" w:hAnsi="Arial" w:eastAsia="Arial"/>
                <w:sz w:val="22"/>
                <w:szCs w:val="22"/>
                <w:shd w:val="nil" w:color="auto" w:fill="auto"/>
                <w:lang w:val="en-US"/>
              </w:rPr>
            </w:pPr>
          </w:p>
          <w:p>
            <w:pPr>
              <w:pStyle w:val="Normal (Web)"/>
              <w:spacing w:before="0" w:after="0"/>
              <w:rPr>
                <w:rFonts w:ascii="Arial" w:cs="Arial" w:hAnsi="Arial" w:eastAsia="Arial"/>
                <w:sz w:val="22"/>
                <w:szCs w:val="22"/>
                <w:shd w:val="nil" w:color="auto" w:fill="auto"/>
                <w:lang w:val="en-US"/>
              </w:rPr>
            </w:pPr>
          </w:p>
          <w:p>
            <w:pPr>
              <w:pStyle w:val="Normal (Web)"/>
              <w:spacing w:before="0" w:after="0"/>
              <w:rPr>
                <w:rFonts w:ascii="Arial" w:cs="Arial" w:hAnsi="Arial" w:eastAsia="Arial"/>
                <w:sz w:val="22"/>
                <w:szCs w:val="22"/>
                <w:shd w:val="nil" w:color="auto" w:fill="auto"/>
                <w:lang w:val="en-US"/>
              </w:rPr>
            </w:pPr>
          </w:p>
          <w:p>
            <w:pPr>
              <w:pStyle w:val="Normal (Web)"/>
              <w:spacing w:before="0" w:after="0"/>
              <w:rPr>
                <w:rFonts w:ascii="Arial" w:cs="Arial" w:hAnsi="Arial" w:eastAsia="Arial"/>
                <w:sz w:val="22"/>
                <w:szCs w:val="22"/>
                <w:shd w:val="nil" w:color="auto" w:fill="auto"/>
                <w:lang w:val="en-US"/>
              </w:rPr>
            </w:pPr>
          </w:p>
          <w:p>
            <w:pPr>
              <w:pStyle w:val="Normal (Web)"/>
              <w:spacing w:before="0" w:after="0"/>
              <w:rPr>
                <w:rFonts w:ascii="Arial" w:cs="Arial" w:hAnsi="Arial" w:eastAsia="Arial"/>
                <w:sz w:val="22"/>
                <w:szCs w:val="22"/>
                <w:shd w:val="nil" w:color="auto" w:fill="auto"/>
                <w:lang w:val="en-US"/>
              </w:rPr>
            </w:pPr>
          </w:p>
          <w:p>
            <w:pPr>
              <w:pStyle w:val="Normal (Web)"/>
              <w:spacing w:before="0" w:after="0"/>
              <w:rPr>
                <w:rFonts w:ascii="Arial" w:cs="Arial" w:hAnsi="Arial" w:eastAsia="Arial"/>
                <w:sz w:val="22"/>
                <w:szCs w:val="22"/>
                <w:shd w:val="nil" w:color="auto" w:fill="auto"/>
                <w:lang w:val="en-US"/>
              </w:rPr>
            </w:pPr>
          </w:p>
          <w:p>
            <w:pPr>
              <w:pStyle w:val="Normal (Web)"/>
              <w:spacing w:before="0" w:after="0"/>
            </w:pPr>
            <w:r>
              <w:rPr>
                <w:rFonts w:ascii="Arial" w:cs="Arial" w:hAnsi="Arial" w:eastAsia="Arial"/>
                <w:sz w:val="22"/>
                <w:szCs w:val="22"/>
                <w:shd w:val="nil" w:color="auto" w:fill="auto"/>
                <w:lang w:val="en-US"/>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before="0" w:after="0"/>
            </w:pPr>
            <w:r>
              <w:rPr>
                <w:rFonts w:ascii="Arial" w:hAnsi="Arial"/>
                <w:sz w:val="22"/>
                <w:szCs w:val="22"/>
                <w:shd w:val="nil" w:color="auto" w:fill="auto"/>
                <w:rtl w:val="0"/>
                <w:lang w:val="en-US"/>
              </w:rPr>
              <w:t>Marker</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before="0" w:after="0"/>
            </w:pPr>
            <w:r>
              <w:rPr>
                <w:rFonts w:ascii="Arial" w:hAnsi="Arial"/>
                <w:sz w:val="22"/>
                <w:szCs w:val="22"/>
                <w:shd w:val="nil" w:color="auto" w:fill="auto"/>
                <w:rtl w:val="0"/>
                <w:lang w:val="en-US"/>
              </w:rPr>
              <w:t>Date:</w:t>
            </w:r>
          </w:p>
        </w:tc>
      </w:tr>
      <w:tr>
        <w:tblPrEx>
          <w:shd w:val="clear" w:color="auto" w:fill="ced7e7"/>
        </w:tblPrEx>
        <w:trPr>
          <w:trHeight w:val="288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External Examiner</w:t>
            </w:r>
            <w:r>
              <w:rPr>
                <w:rFonts w:ascii="Arial" w:hAnsi="Arial" w:hint="default"/>
                <w:b w:val="1"/>
                <w:bCs w:val="1"/>
                <w:sz w:val="22"/>
                <w:szCs w:val="22"/>
                <w:shd w:val="nil" w:color="auto" w:fill="auto"/>
                <w:rtl w:val="0"/>
                <w:lang w:val="en-US"/>
              </w:rPr>
              <w:t>’</w:t>
            </w:r>
            <w:r>
              <w:rPr>
                <w:rFonts w:ascii="Arial" w:hAnsi="Arial"/>
                <w:b w:val="1"/>
                <w:bCs w:val="1"/>
                <w:sz w:val="22"/>
                <w:szCs w:val="22"/>
                <w:shd w:val="nil" w:color="auto" w:fill="auto"/>
                <w:rtl w:val="0"/>
                <w:lang w:val="en-US"/>
              </w:rPr>
              <w:t>s comments (if relevant)</w:t>
            </w:r>
          </w:p>
          <w:p>
            <w:pPr>
              <w:pStyle w:val="Normal (Web)"/>
              <w:spacing w:before="0" w:after="0"/>
              <w:rPr>
                <w:rFonts w:ascii="Arial" w:cs="Arial" w:hAnsi="Arial" w:eastAsia="Arial"/>
                <w:sz w:val="22"/>
                <w:szCs w:val="22"/>
                <w:shd w:val="nil" w:color="auto" w:fill="auto"/>
                <w:lang w:val="en-US"/>
              </w:rPr>
            </w:pPr>
          </w:p>
          <w:p>
            <w:pPr>
              <w:pStyle w:val="Normal (Web)"/>
              <w:spacing w:before="0" w:after="0"/>
              <w:rPr>
                <w:rFonts w:ascii="Arial" w:cs="Arial" w:hAnsi="Arial" w:eastAsia="Arial"/>
                <w:sz w:val="22"/>
                <w:szCs w:val="22"/>
                <w:shd w:val="nil" w:color="auto" w:fill="auto"/>
                <w:lang w:val="en-US"/>
              </w:rPr>
            </w:pPr>
          </w:p>
          <w:p>
            <w:pPr>
              <w:pStyle w:val="Normal (Web)"/>
              <w:spacing w:before="0" w:after="0"/>
              <w:rPr>
                <w:rFonts w:ascii="Arial" w:cs="Arial" w:hAnsi="Arial" w:eastAsia="Arial"/>
                <w:sz w:val="22"/>
                <w:szCs w:val="22"/>
                <w:shd w:val="nil" w:color="auto" w:fill="auto"/>
                <w:lang w:val="en-US"/>
              </w:rPr>
            </w:pPr>
          </w:p>
          <w:p>
            <w:pPr>
              <w:pStyle w:val="Normal (Web)"/>
              <w:spacing w:before="0" w:after="0"/>
              <w:rPr>
                <w:rFonts w:ascii="Arial" w:cs="Arial" w:hAnsi="Arial" w:eastAsia="Arial"/>
                <w:sz w:val="22"/>
                <w:szCs w:val="22"/>
                <w:shd w:val="nil" w:color="auto" w:fill="auto"/>
                <w:lang w:val="en-US"/>
              </w:rPr>
            </w:pPr>
          </w:p>
          <w:p>
            <w:pPr>
              <w:pStyle w:val="Normal (Web)"/>
              <w:spacing w:before="0" w:after="0"/>
              <w:rPr>
                <w:rFonts w:ascii="Arial" w:cs="Arial" w:hAnsi="Arial" w:eastAsia="Arial"/>
                <w:sz w:val="22"/>
                <w:szCs w:val="22"/>
                <w:shd w:val="nil" w:color="auto" w:fill="auto"/>
                <w:lang w:val="en-US"/>
              </w:rPr>
            </w:pPr>
          </w:p>
          <w:p>
            <w:pPr>
              <w:pStyle w:val="Normal (Web)"/>
              <w:spacing w:before="0" w:after="0"/>
              <w:rPr>
                <w:rFonts w:ascii="Arial" w:cs="Arial" w:hAnsi="Arial" w:eastAsia="Arial"/>
                <w:sz w:val="22"/>
                <w:szCs w:val="22"/>
                <w:shd w:val="nil" w:color="auto" w:fill="auto"/>
                <w:lang w:val="en-US"/>
              </w:rPr>
            </w:pPr>
          </w:p>
          <w:p>
            <w:pPr>
              <w:pStyle w:val="Normal (Web)"/>
              <w:spacing w:before="0" w:after="0"/>
              <w:rPr>
                <w:rFonts w:ascii="Arial" w:cs="Arial" w:hAnsi="Arial" w:eastAsia="Arial"/>
                <w:sz w:val="22"/>
                <w:szCs w:val="22"/>
                <w:shd w:val="nil" w:color="auto" w:fill="auto"/>
                <w:lang w:val="en-US"/>
              </w:rPr>
            </w:pPr>
          </w:p>
          <w:p>
            <w:pPr>
              <w:pStyle w:val="Normal (Web)"/>
              <w:spacing w:before="0" w:after="0"/>
              <w:rPr>
                <w:rFonts w:ascii="Arial" w:cs="Arial" w:hAnsi="Arial" w:eastAsia="Arial"/>
                <w:sz w:val="22"/>
                <w:szCs w:val="22"/>
                <w:shd w:val="nil" w:color="auto" w:fill="auto"/>
                <w:lang w:val="en-US"/>
              </w:rPr>
            </w:pPr>
          </w:p>
          <w:p>
            <w:pPr>
              <w:pStyle w:val="Normal (Web)"/>
              <w:spacing w:before="0" w:after="0"/>
              <w:rPr>
                <w:rFonts w:ascii="Arial" w:cs="Arial" w:hAnsi="Arial" w:eastAsia="Arial"/>
                <w:sz w:val="22"/>
                <w:szCs w:val="22"/>
                <w:shd w:val="nil" w:color="auto" w:fill="auto"/>
                <w:lang w:val="en-US"/>
              </w:rPr>
            </w:pPr>
          </w:p>
          <w:p>
            <w:pPr>
              <w:pStyle w:val="Normal (Web)"/>
              <w:spacing w:before="0" w:after="0"/>
            </w:pPr>
            <w:r>
              <w:rPr>
                <w:rFonts w:ascii="Arial" w:cs="Arial" w:hAnsi="Arial" w:eastAsia="Arial"/>
                <w:sz w:val="22"/>
                <w:szCs w:val="22"/>
                <w:shd w:val="nil" w:color="auto" w:fill="auto"/>
                <w:lang w:val="en-US"/>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sz w:val="22"/>
                <w:szCs w:val="22"/>
                <w:shd w:val="nil" w:color="auto" w:fill="auto"/>
                <w:rtl w:val="0"/>
                <w:lang w:val="en-US"/>
              </w:rPr>
              <w:t>External Examiner</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sz w:val="22"/>
                <w:szCs w:val="22"/>
                <w:shd w:val="nil" w:color="auto" w:fill="auto"/>
                <w:rtl w:val="0"/>
                <w:lang w:val="en-US"/>
              </w:rPr>
              <w:t>Date:</w:t>
            </w:r>
          </w:p>
        </w:tc>
      </w:tr>
    </w:tbl>
    <w:p>
      <w:pPr>
        <w:pStyle w:val="Normal (Web)"/>
        <w:spacing w:before="0" w:after="0"/>
        <w:jc w:val="center"/>
        <w:rPr>
          <w:rFonts w:ascii="Trebuchet MS" w:cs="Trebuchet MS" w:hAnsi="Trebuchet MS" w:eastAsia="Trebuchet MS"/>
        </w:rPr>
      </w:pPr>
      <w:r>
        <w:rPr>
          <w:rFonts w:ascii="Arial" w:hAnsi="Arial"/>
          <w:b w:val="1"/>
          <w:bCs w:val="1"/>
          <w:sz w:val="28"/>
          <w:szCs w:val="28"/>
          <w:rtl w:val="0"/>
        </w:rPr>
        <w:t>Assignment coversheet &amp; feedbac</w:t>
      </w:r>
      <w:r>
        <w:rPr>
          <w:rFonts w:ascii="Arial" w:hAnsi="Arial"/>
          <w:b w:val="1"/>
          <w:bCs w:val="1"/>
          <w:sz w:val="28"/>
          <w:szCs w:val="28"/>
          <w:rtl w:val="0"/>
          <w:lang w:val="en-US"/>
        </w:rPr>
        <w:t>k form</w:t>
      </w:r>
    </w:p>
    <w:p>
      <w:pPr>
        <w:pStyle w:val="Normal (Web)"/>
        <w:spacing w:before="0" w:after="0"/>
        <w:rPr>
          <w:rFonts w:ascii="Trebuchet MS" w:cs="Trebuchet MS" w:hAnsi="Trebuchet MS" w:eastAsia="Trebuchet MS"/>
          <w:sz w:val="24"/>
          <w:szCs w:val="24"/>
        </w:rPr>
      </w:pPr>
    </w:p>
    <w:p>
      <w:pPr>
        <w:pStyle w:val="Normal (Web)"/>
        <w:spacing w:before="0" w:after="0"/>
        <w:rPr>
          <w:rFonts w:ascii="Trebuchet MS" w:cs="Trebuchet MS" w:hAnsi="Trebuchet MS" w:eastAsia="Trebuchet MS"/>
          <w:sz w:val="24"/>
          <w:szCs w:val="24"/>
        </w:rPr>
      </w:pPr>
    </w:p>
    <w:p>
      <w:pPr>
        <w:pStyle w:val="Normal.0"/>
        <w:spacing w:line="360" w:lineRule="auto"/>
        <w:jc w:val="both"/>
        <w:rPr>
          <w:rFonts w:ascii="Trebuchet MS" w:cs="Trebuchet MS" w:hAnsi="Trebuchet MS" w:eastAsia="Trebuchet MS"/>
          <w:outline w:val="0"/>
          <w:color w:val="000000"/>
          <w:u w:color="000000"/>
          <w14:textFill>
            <w14:solidFill>
              <w14:srgbClr w14:val="000000"/>
            </w14:solidFill>
          </w14:textFill>
        </w:rPr>
      </w:pPr>
    </w:p>
    <w:p>
      <w:pPr>
        <w:pStyle w:val="Normal.0"/>
        <w:rPr>
          <w:rFonts w:ascii="Trebuchet MS" w:cs="Trebuchet MS" w:hAnsi="Trebuchet MS" w:eastAsia="Trebuchet MS"/>
          <w:outline w:val="0"/>
          <w:color w:val="000000"/>
          <w:u w:color="000000"/>
          <w14:textFill>
            <w14:solidFill>
              <w14:srgbClr w14:val="000000"/>
            </w14:solidFill>
          </w14:textFill>
        </w:rPr>
      </w:pPr>
    </w:p>
    <w:p>
      <w:pPr>
        <w:pStyle w:val="Normal.0"/>
        <w:rPr>
          <w:rFonts w:ascii="Trebuchet MS" w:cs="Trebuchet MS" w:hAnsi="Trebuchet MS" w:eastAsia="Trebuchet MS"/>
          <w:outline w:val="0"/>
          <w:color w:val="000000"/>
          <w:u w:color="000000"/>
          <w14:textFill>
            <w14:solidFill>
              <w14:srgbClr w14:val="000000"/>
            </w14:solidFill>
          </w14:textFill>
        </w:rPr>
      </w:pPr>
    </w:p>
    <w:p>
      <w:pPr>
        <w:pStyle w:val="Normal.0"/>
        <w:rPr>
          <w:rFonts w:ascii="Trebuchet MS" w:cs="Trebuchet MS" w:hAnsi="Trebuchet MS" w:eastAsia="Trebuchet MS"/>
          <w:outline w:val="0"/>
          <w:color w:val="000000"/>
          <w:u w:color="000000"/>
          <w14:textFill>
            <w14:solidFill>
              <w14:srgbClr w14:val="000000"/>
            </w14:solidFill>
          </w14:textFill>
        </w:rPr>
      </w:pPr>
    </w:p>
    <w:p>
      <w:pPr>
        <w:pStyle w:val="Normal.0"/>
        <w:rPr>
          <w:rFonts w:ascii="Trebuchet MS" w:cs="Trebuchet MS" w:hAnsi="Trebuchet MS" w:eastAsia="Trebuchet MS"/>
          <w:outline w:val="0"/>
          <w:color w:val="000000"/>
          <w:u w:color="000000"/>
          <w14:textFill>
            <w14:solidFill>
              <w14:srgbClr w14:val="000000"/>
            </w14:solidFill>
          </w14:textFill>
        </w:rPr>
      </w:pPr>
    </w:p>
    <w:p>
      <w:pPr>
        <w:pStyle w:val="Normal.0"/>
        <w:rPr>
          <w:rFonts w:ascii="Trebuchet MS" w:cs="Trebuchet MS" w:hAnsi="Trebuchet MS" w:eastAsia="Trebuchet MS"/>
          <w:outline w:val="0"/>
          <w:color w:val="000000"/>
          <w:u w:color="000000"/>
          <w14:textFill>
            <w14:solidFill>
              <w14:srgbClr w14:val="000000"/>
            </w14:solidFill>
          </w14:textFill>
        </w:rPr>
      </w:pPr>
    </w:p>
    <w:p>
      <w:pPr>
        <w:pStyle w:val="Normal.0"/>
        <w:rPr>
          <w:rFonts w:ascii="Trebuchet MS" w:cs="Trebuchet MS" w:hAnsi="Trebuchet MS" w:eastAsia="Trebuchet MS"/>
          <w:outline w:val="0"/>
          <w:color w:val="000000"/>
          <w:u w:color="000000"/>
          <w14:textFill>
            <w14:solidFill>
              <w14:srgbClr w14:val="000000"/>
            </w14:solidFill>
          </w14:textFill>
        </w:rPr>
      </w:pPr>
    </w:p>
    <w:p>
      <w:pPr>
        <w:pStyle w:val="Normal.0"/>
        <w:rPr>
          <w:rFonts w:ascii="Trebuchet MS" w:cs="Trebuchet MS" w:hAnsi="Trebuchet MS" w:eastAsia="Trebuchet MS"/>
          <w:outline w:val="0"/>
          <w:color w:val="000000"/>
          <w:u w:color="000000"/>
          <w14:textFill>
            <w14:solidFill>
              <w14:srgbClr w14:val="000000"/>
            </w14:solidFill>
          </w14:textFill>
        </w:rPr>
      </w:pPr>
    </w:p>
    <w:p>
      <w:pPr>
        <w:pStyle w:val="Normal.0"/>
        <w:rPr>
          <w:rFonts w:ascii="Trebuchet MS" w:cs="Trebuchet MS" w:hAnsi="Trebuchet MS" w:eastAsia="Trebuchet MS"/>
          <w:outline w:val="0"/>
          <w:color w:val="000000"/>
          <w:u w:color="000000"/>
          <w14:textFill>
            <w14:solidFill>
              <w14:srgbClr w14:val="000000"/>
            </w14:solidFill>
          </w14:textFill>
        </w:rPr>
      </w:pPr>
    </w:p>
    <w:p>
      <w:pPr>
        <w:pStyle w:val="Normal.0"/>
        <w:rPr>
          <w:rFonts w:ascii="Trebuchet MS" w:cs="Trebuchet MS" w:hAnsi="Trebuchet MS" w:eastAsia="Trebuchet MS"/>
          <w:outline w:val="0"/>
          <w:color w:val="000000"/>
          <w:u w:color="000000"/>
          <w14:textFill>
            <w14:solidFill>
              <w14:srgbClr w14:val="000000"/>
            </w14:solidFill>
          </w14:textFill>
        </w:rPr>
      </w:pPr>
    </w:p>
    <w:p>
      <w:pPr>
        <w:pStyle w:val="Normal.0"/>
        <w:rPr>
          <w:rFonts w:ascii="Trebuchet MS" w:cs="Trebuchet MS" w:hAnsi="Trebuchet MS" w:eastAsia="Trebuchet MS"/>
          <w:outline w:val="0"/>
          <w:color w:val="000000"/>
          <w:u w:color="000000"/>
          <w14:textFill>
            <w14:solidFill>
              <w14:srgbClr w14:val="000000"/>
            </w14:solidFill>
          </w14:textFill>
        </w:rPr>
      </w:pPr>
    </w:p>
    <w:p>
      <w:pPr>
        <w:pStyle w:val="Normal.0"/>
        <w:rPr>
          <w:rFonts w:ascii="Trebuchet MS" w:cs="Trebuchet MS" w:hAnsi="Trebuchet MS" w:eastAsia="Trebuchet MS"/>
          <w:outline w:val="0"/>
          <w:color w:val="000000"/>
          <w:u w:color="000000"/>
          <w14:textFill>
            <w14:solidFill>
              <w14:srgbClr w14:val="000000"/>
            </w14:solidFill>
          </w14:textFill>
        </w:rPr>
      </w:pPr>
    </w:p>
    <w:p>
      <w:pPr>
        <w:pStyle w:val="Normal.0"/>
        <w:rPr>
          <w:rFonts w:ascii="Trebuchet MS" w:cs="Trebuchet MS" w:hAnsi="Trebuchet MS" w:eastAsia="Trebuchet MS"/>
          <w:outline w:val="0"/>
          <w:color w:val="000000"/>
          <w:u w:color="000000"/>
          <w14:textFill>
            <w14:solidFill>
              <w14:srgbClr w14:val="000000"/>
            </w14:solidFill>
          </w14:textFill>
        </w:rPr>
      </w:pPr>
    </w:p>
    <w:p>
      <w:pPr>
        <w:pStyle w:val="Normal.0"/>
        <w:rPr>
          <w:rFonts w:ascii="Trebuchet MS" w:cs="Trebuchet MS" w:hAnsi="Trebuchet MS" w:eastAsia="Trebuchet MS"/>
          <w:outline w:val="0"/>
          <w:color w:val="000000"/>
          <w:u w:color="000000"/>
          <w14:textFill>
            <w14:solidFill>
              <w14:srgbClr w14:val="000000"/>
            </w14:solidFill>
          </w14:textFill>
        </w:rPr>
      </w:pPr>
    </w:p>
    <w:p>
      <w:pPr>
        <w:pStyle w:val="Normal.0"/>
        <w:rPr>
          <w:rFonts w:ascii="Trebuchet MS" w:cs="Trebuchet MS" w:hAnsi="Trebuchet MS" w:eastAsia="Trebuchet MS"/>
          <w:outline w:val="0"/>
          <w:color w:val="000000"/>
          <w:u w:color="000000"/>
          <w14:textFill>
            <w14:solidFill>
              <w14:srgbClr w14:val="000000"/>
            </w14:solidFill>
          </w14:textFill>
        </w:rPr>
      </w:pPr>
    </w:p>
    <w:p>
      <w:pPr>
        <w:pStyle w:val="Normal.0"/>
        <w:rPr>
          <w:rFonts w:ascii="Arial" w:cs="Arial" w:hAnsi="Arial" w:eastAsia="Arial"/>
          <w:b w:val="1"/>
          <w:bCs w:val="1"/>
          <w:i w:val="1"/>
          <w:iCs w:val="1"/>
          <w:sz w:val="28"/>
          <w:szCs w:val="28"/>
        </w:rPr>
      </w:pPr>
      <w:r>
        <w:rPr>
          <w:rFonts w:ascii="Arial" w:hAnsi="Arial"/>
          <w:b w:val="1"/>
          <w:bCs w:val="1"/>
          <w:i w:val="1"/>
          <w:iCs w:val="1"/>
          <w:sz w:val="28"/>
          <w:szCs w:val="28"/>
          <w:rtl w:val="0"/>
          <w:lang w:val="en-US"/>
        </w:rPr>
        <w:t>A Critical Comparison of two Secondary Source</w:t>
      </w:r>
    </w:p>
    <w:p>
      <w:pPr>
        <w:pStyle w:val="Normal.0"/>
        <w:rPr>
          <w:rFonts w:ascii="Arial" w:cs="Arial" w:hAnsi="Arial" w:eastAsia="Arial"/>
          <w:b w:val="1"/>
          <w:bCs w:val="1"/>
          <w:i w:val="1"/>
          <w:iCs w:val="1"/>
          <w:sz w:val="28"/>
          <w:szCs w:val="28"/>
        </w:rPr>
      </w:pPr>
    </w:p>
    <w:p>
      <w:pPr>
        <w:pStyle w:val="Normal.0"/>
        <w:rPr>
          <w:sz w:val="22"/>
          <w:szCs w:val="22"/>
        </w:rPr>
      </w:pPr>
      <w:r>
        <w:rPr>
          <w:sz w:val="22"/>
          <w:szCs w:val="22"/>
          <w:rtl w:val="0"/>
          <w:lang w:val="en-US"/>
        </w:rPr>
        <w:t xml:space="preserve">This essay compares </w:t>
      </w:r>
      <w:r>
        <w:rPr>
          <w:sz w:val="22"/>
          <w:szCs w:val="22"/>
          <w:rtl w:val="0"/>
          <w:lang w:val="en-US"/>
        </w:rPr>
        <w:t xml:space="preserve"> the particular research methods displayed in both of T.L. Brink</w:t>
      </w:r>
      <w:r>
        <w:rPr>
          <w:sz w:val="22"/>
          <w:szCs w:val="22"/>
          <w:rtl w:val="0"/>
          <w:lang w:val="en-US"/>
        </w:rPr>
        <w:t>’</w:t>
      </w:r>
      <w:r>
        <w:rPr>
          <w:sz w:val="22"/>
          <w:szCs w:val="22"/>
          <w:rtl w:val="0"/>
          <w:lang w:val="en-US"/>
        </w:rPr>
        <w:t>s</w:t>
      </w:r>
      <w:r>
        <w:rPr>
          <w:sz w:val="22"/>
          <w:szCs w:val="22"/>
          <w:u w:val="single"/>
          <w:rtl w:val="0"/>
          <w:lang w:val="en-US"/>
        </w:rPr>
        <w:t xml:space="preserve"> </w:t>
      </w:r>
      <w:r>
        <w:rPr>
          <w:sz w:val="22"/>
          <w:szCs w:val="22"/>
          <w:u w:val="single"/>
          <w:rtl w:val="0"/>
          <w:lang w:val="en-US"/>
        </w:rPr>
        <w:t>“</w:t>
      </w:r>
      <w:r>
        <w:rPr>
          <w:sz w:val="22"/>
          <w:szCs w:val="22"/>
          <w:u w:val="single"/>
          <w:rtl w:val="0"/>
          <w:lang w:val="en-US"/>
        </w:rPr>
        <w:t>Inconsistency of Belief among Roman Catholic Girls: Concerning Religion, Astrology, Reincarnation.</w:t>
      </w:r>
      <w:r>
        <w:rPr>
          <w:sz w:val="22"/>
          <w:szCs w:val="22"/>
          <w:u w:val="single"/>
          <w:rtl w:val="0"/>
          <w:lang w:val="en-US"/>
        </w:rPr>
        <w:t xml:space="preserve">” </w:t>
      </w:r>
      <w:r>
        <w:rPr>
          <w:i w:val="1"/>
          <w:iCs w:val="1"/>
          <w:sz w:val="22"/>
          <w:szCs w:val="22"/>
          <w:u w:val="single"/>
          <w:rtl w:val="0"/>
          <w:lang w:val="en-US"/>
        </w:rPr>
        <w:t>Review of Religious Research</w:t>
      </w:r>
      <w:r>
        <w:rPr>
          <w:sz w:val="22"/>
          <w:szCs w:val="22"/>
          <w:u w:val="single"/>
          <w:rtl w:val="0"/>
          <w:lang w:val="en-US"/>
        </w:rPr>
        <w:t>, vol. 20, no. 1, 1978, p. 82</w:t>
      </w:r>
      <w:r>
        <w:rPr>
          <w:sz w:val="22"/>
          <w:szCs w:val="22"/>
          <w:u w:val="single"/>
          <w:rtl w:val="0"/>
          <w:lang w:val="en-US"/>
        </w:rPr>
        <w:t>-85</w:t>
      </w:r>
      <w:r>
        <w:rPr>
          <w:sz w:val="22"/>
          <w:szCs w:val="22"/>
          <w:rtl w:val="0"/>
          <w:lang w:val="en-US"/>
        </w:rPr>
        <w:t xml:space="preserve"> </w:t>
      </w:r>
      <w:r>
        <w:rPr>
          <w:sz w:val="22"/>
          <w:szCs w:val="22"/>
          <w:rtl w:val="0"/>
          <w:lang w:val="en-US"/>
        </w:rPr>
        <w:t>and Tony Walter and Helen Waterhouse</w:t>
      </w:r>
      <w:r>
        <w:rPr>
          <w:sz w:val="22"/>
          <w:szCs w:val="22"/>
          <w:rtl w:val="0"/>
          <w:lang w:val="en-US"/>
        </w:rPr>
        <w:t>’</w:t>
      </w:r>
      <w:r>
        <w:rPr>
          <w:sz w:val="22"/>
          <w:szCs w:val="22"/>
          <w:rtl w:val="0"/>
          <w:lang w:val="en-US"/>
        </w:rPr>
        <w:t xml:space="preserve">s </w:t>
      </w:r>
      <w:r>
        <w:rPr>
          <w:sz w:val="22"/>
          <w:szCs w:val="22"/>
          <w:u w:val="single"/>
          <w:rtl w:val="0"/>
          <w:lang w:val="en-US"/>
        </w:rPr>
        <w:t>“</w:t>
      </w:r>
      <w:r>
        <w:rPr>
          <w:sz w:val="22"/>
          <w:szCs w:val="22"/>
          <w:u w:val="single"/>
          <w:rtl w:val="0"/>
          <w:lang w:val="en-US"/>
        </w:rPr>
        <w:t>A Very Private Belief: Reincarnation in Contemporary England.</w:t>
      </w:r>
      <w:r>
        <w:rPr>
          <w:sz w:val="22"/>
          <w:szCs w:val="22"/>
          <w:u w:val="single"/>
          <w:rtl w:val="0"/>
          <w:lang w:val="en-US"/>
        </w:rPr>
        <w:t xml:space="preserve">” </w:t>
      </w:r>
      <w:r>
        <w:rPr>
          <w:i w:val="1"/>
          <w:iCs w:val="1"/>
          <w:sz w:val="22"/>
          <w:szCs w:val="22"/>
          <w:u w:val="single"/>
          <w:rtl w:val="0"/>
          <w:lang w:val="en-US"/>
        </w:rPr>
        <w:t>Sociology of Religion</w:t>
      </w:r>
      <w:r>
        <w:rPr>
          <w:sz w:val="22"/>
          <w:szCs w:val="22"/>
          <w:u w:val="single"/>
          <w:rtl w:val="0"/>
          <w:lang w:val="en-US"/>
        </w:rPr>
        <w:t>, vol. 60, no. 2, 1999, p. 187</w:t>
      </w:r>
      <w:r>
        <w:rPr>
          <w:sz w:val="22"/>
          <w:szCs w:val="22"/>
          <w:u w:val="single"/>
          <w:rtl w:val="0"/>
          <w:lang w:val="en-US"/>
        </w:rPr>
        <w:t>-197</w:t>
      </w:r>
      <w:r>
        <w:rPr>
          <w:sz w:val="22"/>
          <w:szCs w:val="22"/>
          <w:rtl w:val="0"/>
          <w:lang w:val="en-US"/>
        </w:rPr>
        <w:t>.</w:t>
      </w:r>
      <w:r>
        <w:rPr>
          <w:sz w:val="22"/>
          <w:szCs w:val="22"/>
          <w:rtl w:val="0"/>
          <w:lang w:val="en-US"/>
        </w:rPr>
        <w:t xml:space="preserve"> Each of these papers attempts a perspective on the issue of contemporary belief in reincarnation; both operating different methodologies to arrive at their conclusions.</w:t>
      </w:r>
      <w:r>
        <w:rPr>
          <w:sz w:val="22"/>
          <w:szCs w:val="22"/>
          <w:rtl w:val="0"/>
          <w:lang w:val="en-US"/>
        </w:rPr>
        <w:t xml:space="preserve"> </w:t>
      </w:r>
      <w:r>
        <w:rPr>
          <w:sz w:val="22"/>
          <w:szCs w:val="22"/>
          <w:rtl w:val="0"/>
          <w:lang w:val="en-US"/>
        </w:rPr>
        <w:t xml:space="preserve">Despite critical differences in their respective approaches and these two papers together provide an opportunity to see how essentially similar data (in this case related to </w:t>
      </w:r>
      <w:r>
        <w:rPr>
          <w:sz w:val="22"/>
          <w:szCs w:val="22"/>
          <w:rtl w:val="0"/>
          <w:lang w:val="en-US"/>
        </w:rPr>
        <w:t>Wes</w:t>
      </w:r>
      <w:r>
        <w:rPr>
          <w:sz w:val="22"/>
          <w:szCs w:val="22"/>
          <w:rtl w:val="0"/>
          <w:lang w:val="en-US"/>
        </w:rPr>
        <w:t xml:space="preserve">tern perspectives on reincarnation) might be handled under two different methodological approaches. </w:t>
      </w:r>
    </w:p>
    <w:p>
      <w:pPr>
        <w:pStyle w:val="Body"/>
        <w:rPr>
          <w:rFonts w:ascii="Times New Roman" w:cs="Times New Roman" w:hAnsi="Times New Roman" w:eastAsia="Times New Roman"/>
        </w:rPr>
      </w:pPr>
    </w:p>
    <w:p>
      <w:pPr>
        <w:pStyle w:val="Body"/>
        <w:rPr>
          <w:rFonts w:ascii="Times New Roman" w:cs="Times New Roman" w:hAnsi="Times New Roman" w:eastAsia="Times New Roman"/>
          <w:b w:val="1"/>
          <w:bCs w:val="1"/>
        </w:rPr>
      </w:pPr>
      <w:r>
        <w:rPr>
          <w:rFonts w:ascii="Times New Roman" w:hAnsi="Times New Roman"/>
          <w:b w:val="1"/>
          <w:bCs w:val="1"/>
          <w:rtl w:val="0"/>
          <w:lang w:val="en-US"/>
        </w:rPr>
        <w:t>Q</w:t>
      </w:r>
      <w:r>
        <w:rPr>
          <w:rFonts w:ascii="Times New Roman" w:hAnsi="Times New Roman"/>
          <w:b w:val="1"/>
          <w:bCs w:val="1"/>
          <w:rtl w:val="0"/>
          <w:lang w:val="en-US"/>
        </w:rPr>
        <w:t>uantitative / Qualitative</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 xml:space="preserve">In </w:t>
      </w:r>
      <w:r>
        <w:rPr>
          <w:rFonts w:ascii="Times New Roman" w:hAnsi="Times New Roman"/>
          <w:i w:val="1"/>
          <w:iCs w:val="1"/>
          <w:rtl w:val="0"/>
          <w:lang w:val="en-US"/>
        </w:rPr>
        <w:t>Qualitative Research Methods</w:t>
      </w:r>
      <w:r>
        <w:rPr>
          <w:rFonts w:ascii="Times New Roman" w:hAnsi="Times New Roman"/>
          <w:rtl w:val="0"/>
          <w:lang w:val="en-US"/>
        </w:rPr>
        <w:t xml:space="preserve">, Monique </w:t>
      </w:r>
      <w:r>
        <w:rPr>
          <w:rFonts w:ascii="Times New Roman" w:hAnsi="Times New Roman"/>
          <w:rtl w:val="0"/>
          <w:lang w:val="en-US"/>
        </w:rPr>
        <w:t xml:space="preserve">Hennink </w:t>
      </w:r>
      <w:r>
        <w:rPr>
          <w:rFonts w:ascii="Times New Roman" w:hAnsi="Times New Roman"/>
          <w:rtl w:val="0"/>
          <w:lang w:val="en-US"/>
        </w:rPr>
        <w:t>specif</w:t>
      </w:r>
      <w:r>
        <w:rPr>
          <w:rFonts w:ascii="Times New Roman" w:hAnsi="Times New Roman"/>
          <w:rtl w:val="0"/>
          <w:lang w:val="en-US"/>
        </w:rPr>
        <w:t>ies</w:t>
      </w:r>
      <w:r>
        <w:rPr>
          <w:rFonts w:ascii="Times New Roman" w:hAnsi="Times New Roman"/>
          <w:rtl w:val="0"/>
          <w:lang w:val="en-US"/>
        </w:rPr>
        <w:t xml:space="preserve"> that </w:t>
      </w:r>
      <w:r>
        <w:rPr>
          <w:rFonts w:ascii="Times New Roman" w:hAnsi="Times New Roman"/>
          <w:i w:val="1"/>
          <w:iCs w:val="1"/>
          <w:rtl w:val="0"/>
          <w:lang w:val="en-US"/>
        </w:rPr>
        <w:t>quantitative</w:t>
      </w:r>
      <w:r>
        <w:rPr>
          <w:rFonts w:ascii="Times New Roman" w:hAnsi="Times New Roman"/>
          <w:rtl w:val="0"/>
          <w:lang w:val="en-US"/>
        </w:rPr>
        <w:t xml:space="preserve"> research </w:t>
      </w:r>
      <w:r>
        <w:rPr>
          <w:rFonts w:ascii="Times New Roman" w:hAnsi="Times New Roman" w:hint="default"/>
          <w:rtl w:val="0"/>
          <w:lang w:val="en-US"/>
        </w:rPr>
        <w:t>‘</w:t>
      </w:r>
      <w:r>
        <w:rPr>
          <w:rFonts w:ascii="Times New Roman" w:hAnsi="Times New Roman"/>
          <w:rtl w:val="0"/>
          <w:lang w:val="en-US"/>
        </w:rPr>
        <w:t>measures and counts</w:t>
      </w:r>
      <w:r>
        <w:rPr>
          <w:rFonts w:ascii="Times New Roman" w:hAnsi="Times New Roman" w:hint="default"/>
          <w:rtl w:val="0"/>
          <w:lang w:val="en-US"/>
        </w:rPr>
        <w:t xml:space="preserve">’ </w:t>
      </w:r>
      <w:r>
        <w:rPr>
          <w:rFonts w:ascii="Times New Roman" w:hAnsi="Times New Roman"/>
          <w:rtl w:val="0"/>
          <w:lang w:val="en-US"/>
        </w:rPr>
        <w:t>its subjects.</w:t>
      </w:r>
      <w:r>
        <w:rPr>
          <w:rFonts w:ascii="Times New Roman" w:cs="Times New Roman" w:hAnsi="Times New Roman" w:eastAsia="Times New Roman"/>
          <w:vertAlign w:val="superscript"/>
        </w:rPr>
        <w:footnoteReference w:id="1"/>
      </w:r>
      <w:r>
        <w:rPr>
          <w:rFonts w:ascii="Times New Roman" w:hAnsi="Times New Roman"/>
          <w:rtl w:val="0"/>
          <w:lang w:val="en-US"/>
        </w:rPr>
        <w:t xml:space="preserve"> The goal of</w:t>
      </w:r>
      <w:r>
        <w:rPr>
          <w:rFonts w:ascii="Times New Roman" w:hAnsi="Times New Roman"/>
          <w:rtl w:val="0"/>
          <w:lang w:val="en-US"/>
        </w:rPr>
        <w:t xml:space="preserve"> quantitative methodologies, is to </w:t>
      </w:r>
      <w:r>
        <w:rPr>
          <w:rFonts w:ascii="Times New Roman" w:hAnsi="Times New Roman" w:hint="default"/>
          <w:rtl w:val="0"/>
          <w:lang w:val="en-US"/>
        </w:rPr>
        <w:t>‘</w:t>
      </w:r>
      <w:r>
        <w:rPr>
          <w:rFonts w:ascii="Times New Roman" w:hAnsi="Times New Roman"/>
          <w:rtl w:val="0"/>
          <w:lang w:val="en-US"/>
        </w:rPr>
        <w:t>isolate statistical trends, patterns, or correlations.</w:t>
      </w:r>
      <w:r>
        <w:rPr>
          <w:rFonts w:ascii="Times New Roman" w:hAnsi="Times New Roman" w:hint="default"/>
          <w:rtl w:val="0"/>
          <w:lang w:val="en-US"/>
        </w:rPr>
        <w:t>’</w:t>
      </w:r>
      <w:r>
        <w:rPr>
          <w:rFonts w:ascii="Times New Roman" w:cs="Times New Roman" w:hAnsi="Times New Roman" w:eastAsia="Times New Roman"/>
          <w:vertAlign w:val="superscript"/>
        </w:rPr>
        <w:footnoteReference w:id="2"/>
      </w:r>
      <w:r>
        <w:rPr>
          <w:rFonts w:ascii="Times New Roman" w:hAnsi="Times New Roman"/>
          <w:rtl w:val="0"/>
          <w:lang w:val="en-US"/>
        </w:rPr>
        <w:t xml:space="preserve"> </w:t>
      </w:r>
      <w:r>
        <w:rPr>
          <w:rFonts w:ascii="Times New Roman" w:hAnsi="Times New Roman"/>
          <w:rtl w:val="0"/>
          <w:lang w:val="en-US"/>
        </w:rPr>
        <w:t xml:space="preserve">Alternatively, </w:t>
      </w:r>
      <w:r>
        <w:rPr>
          <w:rFonts w:ascii="Times New Roman" w:hAnsi="Times New Roman"/>
          <w:i w:val="1"/>
          <w:iCs w:val="1"/>
          <w:rtl w:val="0"/>
          <w:lang w:val="en-US"/>
        </w:rPr>
        <w:t>qualitative</w:t>
      </w:r>
      <w:r>
        <w:rPr>
          <w:rFonts w:ascii="Times New Roman" w:hAnsi="Times New Roman"/>
          <w:rtl w:val="0"/>
          <w:lang w:val="en-US"/>
        </w:rPr>
        <w:t xml:space="preserve"> research attempts particular and contextualized understandings of it</w:t>
      </w:r>
      <w:r>
        <w:rPr>
          <w:rFonts w:ascii="Times New Roman" w:hAnsi="Times New Roman" w:hint="default"/>
          <w:rtl w:val="0"/>
          <w:lang w:val="en-US"/>
        </w:rPr>
        <w:t>’</w:t>
      </w:r>
      <w:r>
        <w:rPr>
          <w:rFonts w:ascii="Times New Roman" w:hAnsi="Times New Roman"/>
          <w:rtl w:val="0"/>
          <w:lang w:val="en-US"/>
        </w:rPr>
        <w:t>s subjects, in order to explain the meaning behind their behaviour and beliefs.</w:t>
      </w:r>
      <w:r>
        <w:rPr>
          <w:rFonts w:ascii="Times New Roman" w:cs="Times New Roman" w:hAnsi="Times New Roman" w:eastAsia="Times New Roman"/>
          <w:vertAlign w:val="superscript"/>
        </w:rPr>
        <w:footnoteReference w:id="3"/>
      </w:r>
      <w:r>
        <w:rPr>
          <w:rFonts w:ascii="Times New Roman" w:hAnsi="Times New Roman"/>
          <w:rtl w:val="0"/>
          <w:lang w:val="en-US"/>
        </w:rPr>
        <w:t xml:space="preserve"> </w:t>
      </w:r>
      <w:r>
        <w:rPr>
          <w:rFonts w:ascii="Times New Roman" w:hAnsi="Times New Roman"/>
          <w:rtl w:val="0"/>
          <w:lang w:val="en-US"/>
        </w:rPr>
        <w:t xml:space="preserve">According to their different core intentions, each approach will engage with different methods of data collection and interpretation to suit their respective ends. </w:t>
      </w:r>
    </w:p>
    <w:p>
      <w:pPr>
        <w:pStyle w:val="Body"/>
        <w:rPr>
          <w:rFonts w:ascii="Times New Roman" w:cs="Times New Roman" w:hAnsi="Times New Roman" w:eastAsia="Times New Roman"/>
        </w:rPr>
      </w:pPr>
    </w:p>
    <w:p>
      <w:pPr>
        <w:pStyle w:val="Body"/>
        <w:rPr>
          <w:rFonts w:ascii="Times New Roman" w:cs="Times New Roman" w:hAnsi="Times New Roman" w:eastAsia="Times New Roman"/>
          <w:b w:val="1"/>
          <w:bCs w:val="1"/>
        </w:rPr>
      </w:pPr>
      <w:r>
        <w:rPr>
          <w:rFonts w:ascii="Times New Roman" w:hAnsi="Times New Roman"/>
          <w:b w:val="1"/>
          <w:bCs w:val="1"/>
          <w:rtl w:val="0"/>
          <w:lang w:val="en-US"/>
        </w:rPr>
        <w:t>C</w:t>
      </w:r>
      <w:r>
        <w:rPr>
          <w:rFonts w:ascii="Times New Roman" w:hAnsi="Times New Roman"/>
          <w:b w:val="1"/>
          <w:bCs w:val="1"/>
          <w:rtl w:val="0"/>
          <w:lang w:val="en-US"/>
        </w:rPr>
        <w:t>hoosing an Appropriate Methodology</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 xml:space="preserve">According to theorists Warwick and Lininger, </w:t>
      </w:r>
      <w:r>
        <w:rPr>
          <w:rFonts w:ascii="Times New Roman" w:hAnsi="Times New Roman"/>
          <w:rtl w:val="0"/>
          <w:lang w:val="en-US"/>
        </w:rPr>
        <w:t xml:space="preserve">determining which methodology is most appropriate for use in a study is </w:t>
      </w:r>
      <w:r>
        <w:rPr>
          <w:rFonts w:ascii="Times New Roman" w:hAnsi="Times New Roman"/>
          <w:rtl w:val="0"/>
          <w:lang w:val="en-US"/>
        </w:rPr>
        <w:t>less about determining which is the best model, period; and more about which is the best model to answer the question being asked.</w:t>
      </w:r>
      <w:r>
        <w:rPr>
          <w:rFonts w:ascii="Times New Roman" w:cs="Times New Roman" w:hAnsi="Times New Roman" w:eastAsia="Times New Roman"/>
          <w:vertAlign w:val="superscript"/>
        </w:rPr>
        <w:footnoteReference w:id="4"/>
      </w:r>
      <w:r>
        <w:rPr>
          <w:rFonts w:ascii="Times New Roman" w:hAnsi="Times New Roman"/>
          <w:rtl w:val="0"/>
          <w:lang w:val="en-US"/>
        </w:rPr>
        <w:t xml:space="preserve"> For</w:t>
      </w:r>
      <w:r>
        <w:rPr>
          <w:rFonts w:ascii="Times New Roman" w:hAnsi="Times New Roman"/>
          <w:rtl w:val="0"/>
          <w:lang w:val="en-US"/>
        </w:rPr>
        <w:t xml:space="preserve"> instance</w:t>
      </w:r>
      <w:r>
        <w:rPr>
          <w:rFonts w:ascii="Times New Roman" w:hAnsi="Times New Roman"/>
          <w:rtl w:val="0"/>
          <w:lang w:val="en-US"/>
        </w:rPr>
        <w:t>, both Brink, and Walter and Waterhouse assume their methodology based on the core questions they hope to answer:</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 xml:space="preserve">T.L. Brink asks: </w:t>
      </w:r>
      <w:r>
        <w:rPr>
          <w:rFonts w:ascii="Times New Roman" w:hAnsi="Times New Roman"/>
          <w:rtl w:val="0"/>
          <w:lang w:val="en-US"/>
        </w:rPr>
        <w:t>Can</w:t>
      </w:r>
      <w:r>
        <w:rPr>
          <w:rFonts w:ascii="Times New Roman" w:hAnsi="Times New Roman"/>
          <w:rtl w:val="0"/>
          <w:lang w:val="en-US"/>
        </w:rPr>
        <w:t xml:space="preserve"> logically incompatible beliefs be held concurrently?</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 xml:space="preserve">Walter and Waterhouse ask: </w:t>
      </w:r>
      <w:r>
        <w:rPr>
          <w:rFonts w:ascii="Times New Roman" w:hAnsi="Times New Roman"/>
          <w:rtl w:val="0"/>
          <w:lang w:val="en-US"/>
        </w:rPr>
        <w:t>What</w:t>
      </w:r>
      <w:r>
        <w:rPr>
          <w:rFonts w:ascii="Times New Roman" w:hAnsi="Times New Roman"/>
          <w:rtl w:val="0"/>
          <w:lang w:val="en-US"/>
        </w:rPr>
        <w:t xml:space="preserve"> is it that westerners mean when they say they</w:t>
      </w:r>
      <w:r>
        <w:rPr>
          <w:rFonts w:ascii="Times New Roman" w:hAnsi="Times New Roman"/>
          <w:rtl w:val="0"/>
          <w:lang w:val="en-US"/>
        </w:rPr>
        <w:t xml:space="preserve"> </w:t>
      </w:r>
      <w:r>
        <w:rPr>
          <w:rFonts w:ascii="Times New Roman" w:hAnsi="Times New Roman"/>
          <w:rtl w:val="0"/>
          <w:lang w:val="en-US"/>
        </w:rPr>
        <w:t>believe in reincarnation?</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Evidently there are structural differences within these questions that demand different methods of evaluation. In his study, Brink attempts quantitative affirmation for his hypothesis, under the pretence that his respondents would adhere to only one of Catholicism, reincarnation, or astrology based on the belief sets</w:t>
      </w:r>
      <w:r>
        <w:rPr>
          <w:rFonts w:ascii="Times New Roman" w:hAnsi="Times New Roman" w:hint="default"/>
          <w:rtl w:val="0"/>
          <w:lang w:val="en-US"/>
        </w:rPr>
        <w:t xml:space="preserve">’ </w:t>
      </w:r>
      <w:r>
        <w:rPr>
          <w:rFonts w:ascii="Times New Roman" w:hAnsi="Times New Roman" w:hint="default"/>
          <w:rtl w:val="0"/>
          <w:lang w:val="en-US"/>
        </w:rPr>
        <w:t>‘</w:t>
      </w:r>
      <w:r>
        <w:rPr>
          <w:rFonts w:ascii="Times New Roman" w:hAnsi="Times New Roman"/>
          <w:rtl w:val="0"/>
          <w:lang w:val="en-US"/>
        </w:rPr>
        <w:t>logical incompatibility</w:t>
      </w:r>
      <w:r>
        <w:rPr>
          <w:rFonts w:ascii="Times New Roman" w:hAnsi="Times New Roman" w:hint="default"/>
          <w:rtl w:val="0"/>
          <w:lang w:val="en-US"/>
        </w:rPr>
        <w:t>’</w:t>
      </w:r>
      <w:r>
        <w:rPr>
          <w:rFonts w:ascii="Times New Roman" w:hAnsi="Times New Roman"/>
          <w:rtl w:val="0"/>
          <w:lang w:val="en-US"/>
        </w:rPr>
        <w:t>.</w:t>
      </w:r>
      <w:r>
        <w:rPr>
          <w:rFonts w:ascii="Times New Roman" w:cs="Times New Roman" w:hAnsi="Times New Roman" w:eastAsia="Times New Roman"/>
          <w:vertAlign w:val="superscript"/>
        </w:rPr>
        <w:footnoteReference w:id="5"/>
      </w:r>
      <w:r>
        <w:rPr>
          <w:rFonts w:ascii="Times New Roman" w:hAnsi="Times New Roman"/>
          <w:rtl w:val="0"/>
          <w:lang w:val="en-US"/>
        </w:rPr>
        <w:t xml:space="preserve"> In </w:t>
      </w:r>
      <w:r>
        <w:rPr>
          <w:rFonts w:ascii="Times New Roman" w:hAnsi="Times New Roman"/>
          <w:rtl w:val="0"/>
          <w:lang w:val="en-US"/>
        </w:rPr>
        <w:t>order to draw data, he issues a questionnaire to 227 junior and senior students</w:t>
      </w:r>
      <w:r>
        <w:rPr>
          <w:rFonts w:ascii="Times New Roman" w:hAnsi="Times New Roman"/>
          <w:rtl w:val="0"/>
          <w:lang w:val="en-US"/>
        </w:rPr>
        <w:t xml:space="preserve"> at a parochial</w:t>
      </w:r>
      <w:r>
        <w:rPr>
          <w:rFonts w:ascii="Times New Roman" w:hAnsi="Times New Roman"/>
          <w:rtl w:val="0"/>
          <w:lang w:val="en-US"/>
        </w:rPr>
        <w:t xml:space="preserve"> </w:t>
      </w:r>
      <w:r>
        <w:rPr>
          <w:rFonts w:ascii="Times New Roman" w:hAnsi="Times New Roman"/>
          <w:rtl w:val="0"/>
          <w:lang w:val="en-US"/>
        </w:rPr>
        <w:t xml:space="preserve">school, asking them to </w:t>
      </w:r>
      <w:r>
        <w:rPr>
          <w:rFonts w:ascii="Times New Roman" w:hAnsi="Times New Roman"/>
          <w:rtl w:val="0"/>
          <w:lang w:val="en-US"/>
        </w:rPr>
        <w:t xml:space="preserve">declare </w:t>
      </w:r>
      <w:r>
        <w:rPr>
          <w:rFonts w:ascii="Times New Roman" w:hAnsi="Times New Roman"/>
          <w:rtl w:val="0"/>
          <w:lang w:val="en-US"/>
        </w:rPr>
        <w:t xml:space="preserve">their </w:t>
      </w:r>
      <w:r>
        <w:rPr>
          <w:rFonts w:ascii="Times New Roman" w:hAnsi="Times New Roman" w:hint="default"/>
          <w:rtl w:val="0"/>
          <w:lang w:val="en-US"/>
        </w:rPr>
        <w:t>‘</w:t>
      </w:r>
      <w:r>
        <w:rPr>
          <w:rFonts w:ascii="Times New Roman" w:hAnsi="Times New Roman"/>
          <w:rtl w:val="0"/>
          <w:lang w:val="en-US"/>
        </w:rPr>
        <w:t>belief</w:t>
      </w:r>
      <w:r>
        <w:rPr>
          <w:rFonts w:ascii="Times New Roman" w:hAnsi="Times New Roman" w:hint="default"/>
          <w:rtl w:val="0"/>
          <w:lang w:val="en-US"/>
        </w:rPr>
        <w:t>’</w:t>
      </w:r>
      <w:r>
        <w:rPr>
          <w:rFonts w:ascii="Times New Roman" w:hAnsi="Times New Roman"/>
          <w:rtl w:val="0"/>
          <w:lang w:val="en-US"/>
        </w:rPr>
        <w:t xml:space="preserve">, or </w:t>
      </w:r>
      <w:r>
        <w:rPr>
          <w:rFonts w:ascii="Times New Roman" w:hAnsi="Times New Roman" w:hint="default"/>
          <w:rtl w:val="0"/>
          <w:lang w:val="en-US"/>
        </w:rPr>
        <w:t>‘</w:t>
      </w:r>
      <w:r>
        <w:rPr>
          <w:rFonts w:ascii="Times New Roman" w:hAnsi="Times New Roman"/>
          <w:rtl w:val="0"/>
          <w:lang w:val="en-US"/>
        </w:rPr>
        <w:t>non belief</w:t>
      </w:r>
      <w:r>
        <w:rPr>
          <w:rFonts w:ascii="Times New Roman" w:hAnsi="Times New Roman" w:hint="default"/>
          <w:rtl w:val="0"/>
          <w:lang w:val="en-US"/>
        </w:rPr>
        <w:t xml:space="preserve">’ </w:t>
      </w:r>
      <w:r>
        <w:rPr>
          <w:rFonts w:ascii="Times New Roman" w:hAnsi="Times New Roman"/>
          <w:rtl w:val="0"/>
          <w:lang w:val="en-US"/>
        </w:rPr>
        <w:t xml:space="preserve">in astrology and reincarnation. He weighs these responses against their </w:t>
      </w:r>
      <w:r>
        <w:rPr>
          <w:rFonts w:ascii="Times New Roman" w:hAnsi="Times New Roman" w:hint="default"/>
          <w:rtl w:val="0"/>
          <w:lang w:val="en-US"/>
        </w:rPr>
        <w:t>‘</w:t>
      </w:r>
      <w:r>
        <w:rPr>
          <w:rFonts w:ascii="Times New Roman" w:hAnsi="Times New Roman"/>
          <w:rtl w:val="0"/>
          <w:lang w:val="en-US"/>
        </w:rPr>
        <w:t>adherence to Catholic</w:t>
      </w:r>
      <w:r>
        <w:rPr>
          <w:rFonts w:ascii="Times New Roman" w:hAnsi="Times New Roman"/>
          <w:rtl w:val="0"/>
          <w:lang w:val="en-US"/>
        </w:rPr>
        <w:t xml:space="preserve"> </w:t>
      </w:r>
      <w:r>
        <w:rPr>
          <w:rFonts w:ascii="Times New Roman" w:hAnsi="Times New Roman"/>
          <w:rtl w:val="0"/>
          <w:lang w:val="en-US"/>
        </w:rPr>
        <w:t>beliefs</w:t>
      </w:r>
      <w:r>
        <w:rPr>
          <w:rFonts w:ascii="Times New Roman" w:hAnsi="Times New Roman" w:hint="default"/>
          <w:rtl w:val="0"/>
          <w:lang w:val="en-US"/>
        </w:rPr>
        <w:t xml:space="preserve">’ </w:t>
      </w:r>
      <w:r>
        <w:rPr>
          <w:rFonts w:ascii="Times New Roman" w:hAnsi="Times New Roman"/>
          <w:rtl w:val="0"/>
          <w:lang w:val="en-US"/>
        </w:rPr>
        <w:t>in subsequent questions in the survey</w:t>
      </w:r>
      <w:r>
        <w:rPr>
          <w:rFonts w:ascii="Times New Roman" w:hAnsi="Times New Roman"/>
          <w:rtl w:val="0"/>
          <w:lang w:val="en-US"/>
        </w:rPr>
        <w:t>. This method of data collection is appropriate here because Brink</w:t>
      </w:r>
      <w:r>
        <w:rPr>
          <w:rFonts w:ascii="Times New Roman" w:hAnsi="Times New Roman" w:hint="default"/>
          <w:rtl w:val="0"/>
          <w:lang w:val="en-US"/>
        </w:rPr>
        <w:t>’</w:t>
      </w:r>
      <w:r>
        <w:rPr>
          <w:rFonts w:ascii="Times New Roman" w:hAnsi="Times New Roman"/>
          <w:rtl w:val="0"/>
          <w:lang w:val="en-US"/>
        </w:rPr>
        <w:t>s premise</w:t>
      </w:r>
      <w:r>
        <w:rPr>
          <w:rFonts w:ascii="Times New Roman" w:hAnsi="Times New Roman"/>
          <w:rtl w:val="0"/>
          <w:lang w:val="en-US"/>
        </w:rPr>
        <w:t xml:space="preserve"> is </w:t>
      </w:r>
      <w:r>
        <w:rPr>
          <w:rFonts w:ascii="Times New Roman" w:hAnsi="Times New Roman"/>
          <w:rtl w:val="0"/>
          <w:lang w:val="en-US"/>
        </w:rPr>
        <w:t xml:space="preserve">ultimately </w:t>
      </w:r>
      <w:r>
        <w:rPr>
          <w:rFonts w:ascii="Times New Roman" w:hAnsi="Times New Roman"/>
          <w:rtl w:val="0"/>
          <w:lang w:val="en-US"/>
        </w:rPr>
        <w:t xml:space="preserve">answerable by </w:t>
      </w:r>
      <w:r>
        <w:rPr>
          <w:rFonts w:ascii="Times New Roman" w:hAnsi="Times New Roman" w:hint="default"/>
          <w:rtl w:val="0"/>
          <w:lang w:val="en-US"/>
        </w:rPr>
        <w:t>‘</w:t>
      </w:r>
      <w:r>
        <w:rPr>
          <w:rFonts w:ascii="Times New Roman" w:hAnsi="Times New Roman"/>
          <w:rtl w:val="0"/>
          <w:lang w:val="en-US"/>
        </w:rPr>
        <w:t>yes,</w:t>
      </w:r>
      <w:r>
        <w:rPr>
          <w:rFonts w:ascii="Times New Roman" w:hAnsi="Times New Roman"/>
          <w:rtl w:val="0"/>
          <w:lang w:val="en-US"/>
        </w:rPr>
        <w:t xml:space="preserve"> these beliefs can be concurrently held;</w:t>
      </w:r>
      <w:r>
        <w:rPr>
          <w:rFonts w:ascii="Times New Roman" w:hAnsi="Times New Roman"/>
          <w:rtl w:val="0"/>
          <w:lang w:val="en-US"/>
        </w:rPr>
        <w:t xml:space="preserve"> or no</w:t>
      </w:r>
      <w:r>
        <w:rPr>
          <w:rFonts w:ascii="Times New Roman" w:hAnsi="Times New Roman"/>
          <w:rtl w:val="0"/>
          <w:lang w:val="en-US"/>
        </w:rPr>
        <w:t>, they cannot.</w:t>
      </w:r>
      <w:r>
        <w:rPr>
          <w:rFonts w:ascii="Times New Roman" w:hAnsi="Times New Roman" w:hint="default"/>
          <w:rtl w:val="0"/>
          <w:lang w:val="en-US"/>
        </w:rPr>
        <w:t>’</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 xml:space="preserve">In their qualitative study, </w:t>
      </w:r>
      <w:r>
        <w:rPr>
          <w:rFonts w:ascii="Times New Roman" w:hAnsi="Times New Roman"/>
          <w:rtl w:val="0"/>
          <w:lang w:val="en-US"/>
        </w:rPr>
        <w:t xml:space="preserve">Walter and Waterhouse want to understand the particular reasonings behind </w:t>
      </w:r>
      <w:r>
        <w:rPr>
          <w:rFonts w:ascii="Times New Roman" w:hAnsi="Times New Roman"/>
          <w:i w:val="1"/>
          <w:iCs w:val="1"/>
          <w:rtl w:val="0"/>
          <w:lang w:val="en-US"/>
        </w:rPr>
        <w:t>why</w:t>
      </w:r>
      <w:r>
        <w:rPr>
          <w:rFonts w:ascii="Times New Roman" w:hAnsi="Times New Roman"/>
          <w:rtl w:val="0"/>
          <w:lang w:val="en-US"/>
        </w:rPr>
        <w:t xml:space="preserve"> their </w:t>
      </w:r>
      <w:r>
        <w:rPr>
          <w:rFonts w:ascii="Times New Roman" w:hAnsi="Times New Roman"/>
          <w:rtl w:val="0"/>
          <w:lang w:val="en-US"/>
        </w:rPr>
        <w:t>respondents</w:t>
      </w:r>
      <w:r>
        <w:rPr>
          <w:rFonts w:ascii="Times New Roman" w:hAnsi="Times New Roman"/>
          <w:rtl w:val="0"/>
          <w:lang w:val="en-US"/>
        </w:rPr>
        <w:t xml:space="preserve"> believe, not just if t</w:t>
      </w:r>
      <w:r>
        <w:rPr>
          <w:rFonts w:ascii="Times New Roman" w:hAnsi="Times New Roman"/>
          <w:rtl w:val="0"/>
          <w:lang w:val="en-US"/>
        </w:rPr>
        <w:t>hey do</w:t>
      </w:r>
      <w:r>
        <w:rPr>
          <w:rFonts w:ascii="Times New Roman" w:hAnsi="Times New Roman"/>
          <w:rtl w:val="0"/>
          <w:lang w:val="en-US"/>
        </w:rPr>
        <w:t>.</w:t>
      </w:r>
      <w:r>
        <w:rPr>
          <w:rFonts w:ascii="Times New Roman" w:cs="Times New Roman" w:hAnsi="Times New Roman" w:eastAsia="Times New Roman"/>
          <w:vertAlign w:val="superscript"/>
        </w:rPr>
        <w:footnoteReference w:id="6"/>
      </w:r>
      <w:r>
        <w:rPr>
          <w:rFonts w:ascii="Times New Roman" w:hAnsi="Times New Roman"/>
          <w:rtl w:val="0"/>
          <w:lang w:val="en-US"/>
        </w:rPr>
        <w:t xml:space="preserve"> Subsequently, Waterhouse collects data by hosting 30</w:t>
      </w:r>
      <w:r>
        <w:rPr>
          <w:rFonts w:ascii="Times New Roman" w:hAnsi="Times New Roman"/>
          <w:rtl w:val="0"/>
          <w:lang w:val="en-US"/>
        </w:rPr>
        <w:t xml:space="preserve"> open ended</w:t>
      </w:r>
      <w:r>
        <w:rPr>
          <w:rFonts w:ascii="Times New Roman" w:hAnsi="Times New Roman"/>
          <w:rtl w:val="0"/>
          <w:lang w:val="en-US"/>
        </w:rPr>
        <w:t xml:space="preserve"> interviews with interested subjects and 3 group interviews with school</w:t>
      </w:r>
      <w:r>
        <w:rPr>
          <w:rFonts w:ascii="Times New Roman" w:hAnsi="Times New Roman"/>
          <w:rtl w:val="0"/>
          <w:lang w:val="en-US"/>
        </w:rPr>
        <w:t xml:space="preserve"> students</w:t>
      </w:r>
      <w:r>
        <w:rPr>
          <w:rFonts w:ascii="Times New Roman" w:hAnsi="Times New Roman"/>
          <w:rtl w:val="0"/>
          <w:lang w:val="en-US"/>
        </w:rPr>
        <w:t>.</w:t>
      </w:r>
      <w:r>
        <w:rPr>
          <w:rFonts w:ascii="Times New Roman" w:hAnsi="Times New Roman"/>
          <w:rtl w:val="0"/>
          <w:lang w:val="en-US"/>
        </w:rPr>
        <w:t xml:space="preserve"> </w:t>
      </w:r>
      <w:r>
        <w:rPr>
          <w:rFonts w:ascii="Times New Roman" w:hAnsi="Times New Roman"/>
          <w:rtl w:val="0"/>
          <w:lang w:val="en-US"/>
        </w:rPr>
        <w:t>Most of the respondents were from south western England, and included the researchers</w:t>
      </w:r>
      <w:r>
        <w:rPr>
          <w:rFonts w:ascii="Times New Roman" w:hAnsi="Times New Roman" w:hint="default"/>
          <w:rtl w:val="0"/>
          <w:lang w:val="en-US"/>
        </w:rPr>
        <w:t xml:space="preserve">’ </w:t>
      </w:r>
      <w:r>
        <w:rPr>
          <w:rFonts w:ascii="Times New Roman" w:hAnsi="Times New Roman"/>
          <w:rtl w:val="0"/>
          <w:lang w:val="en-US"/>
        </w:rPr>
        <w:t xml:space="preserve">personal contacts and </w:t>
      </w:r>
      <w:r>
        <w:rPr>
          <w:rFonts w:ascii="Times New Roman" w:hAnsi="Times New Roman"/>
          <w:rtl w:val="0"/>
          <w:lang w:val="en-US"/>
        </w:rPr>
        <w:t xml:space="preserve">other </w:t>
      </w:r>
      <w:r>
        <w:rPr>
          <w:rFonts w:ascii="Times New Roman" w:hAnsi="Times New Roman"/>
          <w:rtl w:val="0"/>
          <w:lang w:val="en-US"/>
        </w:rPr>
        <w:t xml:space="preserve">respondents solicited over </w:t>
      </w:r>
      <w:r>
        <w:rPr>
          <w:rFonts w:ascii="Times New Roman" w:hAnsi="Times New Roman" w:hint="default"/>
          <w:rtl w:val="0"/>
          <w:lang w:val="en-US"/>
        </w:rPr>
        <w:t>‘</w:t>
      </w:r>
      <w:r>
        <w:rPr>
          <w:rFonts w:ascii="Times New Roman" w:hAnsi="Times New Roman"/>
          <w:rtl w:val="0"/>
          <w:lang w:val="en-US"/>
        </w:rPr>
        <w:t>local radio.</w:t>
      </w:r>
      <w:r>
        <w:rPr>
          <w:rFonts w:ascii="Times New Roman" w:hAnsi="Times New Roman" w:hint="default"/>
          <w:rtl w:val="0"/>
          <w:lang w:val="en-US"/>
        </w:rPr>
        <w:t>’</w:t>
      </w:r>
      <w:r>
        <w:rPr>
          <w:rFonts w:ascii="Times New Roman" w:cs="Times New Roman" w:hAnsi="Times New Roman" w:eastAsia="Times New Roman"/>
          <w:vertAlign w:val="superscript"/>
        </w:rPr>
        <w:footnoteReference w:id="7"/>
      </w:r>
      <w:r>
        <w:rPr>
          <w:rFonts w:ascii="Times New Roman" w:hAnsi="Times New Roman"/>
          <w:rtl w:val="0"/>
          <w:lang w:val="en-US"/>
        </w:rPr>
        <w:t xml:space="preserve"> Importantly, the authors note</w:t>
      </w:r>
      <w:r>
        <w:rPr>
          <w:rFonts w:ascii="Times New Roman" w:hAnsi="Times New Roman"/>
          <w:rtl w:val="0"/>
          <w:lang w:val="en-US"/>
        </w:rPr>
        <w:t xml:space="preserve"> they do not seek </w:t>
      </w:r>
      <w:r>
        <w:rPr>
          <w:rFonts w:ascii="Times New Roman" w:hAnsi="Times New Roman"/>
          <w:rtl w:val="0"/>
          <w:lang w:val="en-US"/>
        </w:rPr>
        <w:t xml:space="preserve">a </w:t>
      </w:r>
      <w:r>
        <w:rPr>
          <w:rFonts w:ascii="Times New Roman" w:hAnsi="Times New Roman" w:hint="default"/>
          <w:rtl w:val="0"/>
          <w:lang w:val="en-US"/>
        </w:rPr>
        <w:t>‘</w:t>
      </w:r>
      <w:r>
        <w:rPr>
          <w:rFonts w:ascii="Times New Roman" w:hAnsi="Times New Roman"/>
          <w:rtl w:val="0"/>
          <w:lang w:val="en-US"/>
        </w:rPr>
        <w:t xml:space="preserve">statistically </w:t>
      </w:r>
      <w:r>
        <w:rPr>
          <w:rFonts w:ascii="Times New Roman" w:hAnsi="Times New Roman"/>
          <w:rtl w:val="0"/>
          <w:lang w:val="en-US"/>
        </w:rPr>
        <w:t>representative sample</w:t>
      </w:r>
      <w:r>
        <w:rPr>
          <w:rFonts w:ascii="Times New Roman" w:hAnsi="Times New Roman" w:hint="default"/>
          <w:rtl w:val="0"/>
          <w:lang w:val="en-US"/>
        </w:rPr>
        <w:t>’</w:t>
      </w:r>
      <w:r>
        <w:rPr>
          <w:rFonts w:ascii="Times New Roman" w:hAnsi="Times New Roman"/>
          <w:rtl w:val="0"/>
          <w:lang w:val="en-US"/>
        </w:rPr>
        <w:t>,</w:t>
      </w:r>
      <w:r>
        <w:rPr>
          <w:rFonts w:ascii="Times New Roman" w:hAnsi="Times New Roman"/>
          <w:rtl w:val="0"/>
          <w:lang w:val="en-US"/>
        </w:rPr>
        <w:t xml:space="preserve"> </w:t>
      </w:r>
      <w:r>
        <w:rPr>
          <w:rFonts w:ascii="Times New Roman" w:hAnsi="Times New Roman"/>
          <w:rtl w:val="0"/>
          <w:lang w:val="en-US"/>
        </w:rPr>
        <w:t>because they want</w:t>
      </w:r>
      <w:r>
        <w:rPr>
          <w:rFonts w:ascii="Times New Roman" w:hAnsi="Times New Roman"/>
          <w:rtl w:val="0"/>
          <w:lang w:val="en-US"/>
        </w:rPr>
        <w:t xml:space="preserve"> to </w:t>
      </w:r>
      <w:r>
        <w:rPr>
          <w:rFonts w:ascii="Times New Roman" w:hAnsi="Times New Roman" w:hint="default"/>
          <w:rtl w:val="0"/>
          <w:lang w:val="en-US"/>
        </w:rPr>
        <w:t>‘</w:t>
      </w:r>
      <w:r>
        <w:rPr>
          <w:rFonts w:ascii="Times New Roman" w:hAnsi="Times New Roman"/>
          <w:rtl w:val="0"/>
          <w:lang w:val="en-US"/>
        </w:rPr>
        <w:t>discover the particular range of meanings given to the idea of reincarnation.</w:t>
      </w:r>
      <w:r>
        <w:rPr>
          <w:rFonts w:ascii="Times New Roman" w:hAnsi="Times New Roman" w:hint="default"/>
          <w:rtl w:val="0"/>
          <w:lang w:val="en-US"/>
        </w:rPr>
        <w:t>’</w:t>
      </w:r>
      <w:r>
        <w:rPr>
          <w:rFonts w:ascii="Times New Roman" w:cs="Times New Roman" w:hAnsi="Times New Roman" w:eastAsia="Times New Roman"/>
          <w:vertAlign w:val="superscript"/>
        </w:rPr>
        <w:footnoteReference w:id="8"/>
      </w:r>
      <w:r>
        <w:rPr>
          <w:rFonts w:ascii="Times New Roman" w:hAnsi="Times New Roman"/>
          <w:rtl w:val="0"/>
          <w:lang w:val="en-US"/>
        </w:rPr>
        <w:t xml:space="preserve"> Resultantly</w:t>
      </w:r>
      <w:r>
        <w:rPr>
          <w:rFonts w:ascii="Times New Roman" w:hAnsi="Times New Roman"/>
          <w:rtl w:val="0"/>
          <w:lang w:val="en-US"/>
        </w:rPr>
        <w:t xml:space="preserve">, limiting their sample </w:t>
      </w:r>
      <w:r>
        <w:rPr>
          <w:rFonts w:ascii="Times New Roman" w:hAnsi="Times New Roman"/>
          <w:rtl w:val="0"/>
          <w:lang w:val="en-US"/>
        </w:rPr>
        <w:t xml:space="preserve">to </w:t>
      </w:r>
      <w:r>
        <w:rPr>
          <w:rFonts w:ascii="Times New Roman" w:hAnsi="Times New Roman"/>
          <w:rtl w:val="0"/>
          <w:lang w:val="en-US"/>
        </w:rPr>
        <w:t>a population that they could reasonably engage with in an efficacious</w:t>
      </w:r>
      <w:r>
        <w:rPr>
          <w:rFonts w:ascii="Times New Roman" w:hAnsi="Times New Roman"/>
          <w:rtl w:val="0"/>
          <w:lang w:val="en-US"/>
        </w:rPr>
        <w:t xml:space="preserve"> way is appropriate in the purview of</w:t>
      </w:r>
      <w:r>
        <w:rPr>
          <w:rFonts w:ascii="Times New Roman" w:hAnsi="Times New Roman"/>
          <w:rtl w:val="0"/>
          <w:lang w:val="en-US"/>
        </w:rPr>
        <w:t xml:space="preserve"> effective qualitative </w:t>
      </w:r>
      <w:r>
        <w:rPr>
          <w:rFonts w:ascii="Times New Roman" w:hAnsi="Times New Roman"/>
          <w:rtl w:val="0"/>
          <w:lang w:val="en-US"/>
        </w:rPr>
        <w:t>research</w:t>
      </w:r>
      <w:r>
        <w:rPr>
          <w:rFonts w:ascii="Times New Roman" w:hAnsi="Times New Roman"/>
          <w:rtl w:val="0"/>
          <w:lang w:val="en-US"/>
        </w:rPr>
        <w:t xml:space="preserve">. </w:t>
      </w:r>
    </w:p>
    <w:p>
      <w:pPr>
        <w:pStyle w:val="Body"/>
        <w:rPr>
          <w:rFonts w:ascii="Times New Roman" w:cs="Times New Roman" w:hAnsi="Times New Roman" w:eastAsia="Times New Roman"/>
        </w:rPr>
      </w:pPr>
    </w:p>
    <w:p>
      <w:pPr>
        <w:pStyle w:val="Body"/>
        <w:rPr>
          <w:rFonts w:ascii="Times New Roman" w:cs="Times New Roman" w:hAnsi="Times New Roman" w:eastAsia="Times New Roman"/>
          <w:b w:val="1"/>
          <w:bCs w:val="1"/>
        </w:rPr>
      </w:pPr>
      <w:r>
        <w:rPr>
          <w:rFonts w:ascii="Times New Roman" w:hAnsi="Times New Roman"/>
          <w:b w:val="1"/>
          <w:bCs w:val="1"/>
          <w:rtl w:val="0"/>
          <w:lang w:val="en-US"/>
        </w:rPr>
        <w:t>Insider / Outsider</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In quantitative methods, it is usually the researcher</w:t>
      </w:r>
      <w:r>
        <w:rPr>
          <w:rFonts w:ascii="Times New Roman" w:hAnsi="Times New Roman" w:hint="default"/>
          <w:rtl w:val="0"/>
          <w:lang w:val="en-US"/>
        </w:rPr>
        <w:t>’</w:t>
      </w:r>
      <w:r>
        <w:rPr>
          <w:rFonts w:ascii="Times New Roman" w:hAnsi="Times New Roman"/>
          <w:rtl w:val="0"/>
          <w:lang w:val="en-US"/>
        </w:rPr>
        <w:t xml:space="preserve">s role to remain </w:t>
      </w:r>
      <w:r>
        <w:rPr>
          <w:rFonts w:ascii="Times New Roman" w:hAnsi="Times New Roman"/>
          <w:rtl w:val="0"/>
          <w:lang w:val="en-US"/>
        </w:rPr>
        <w:t>impersonal to the collected data.</w:t>
      </w:r>
      <w:r>
        <w:rPr>
          <w:rFonts w:ascii="Times New Roman" w:cs="Times New Roman" w:hAnsi="Times New Roman" w:eastAsia="Times New Roman"/>
          <w:vertAlign w:val="superscript"/>
        </w:rPr>
        <w:footnoteReference w:id="9"/>
      </w:r>
      <w:r>
        <w:rPr>
          <w:rFonts w:ascii="Times New Roman" w:hAnsi="Times New Roman"/>
          <w:rtl w:val="0"/>
          <w:lang w:val="en-US"/>
        </w:rPr>
        <w:t xml:space="preserve"> </w:t>
      </w:r>
      <w:r>
        <w:rPr>
          <w:rFonts w:ascii="Times New Roman" w:hAnsi="Times New Roman"/>
          <w:rtl w:val="0"/>
          <w:lang w:val="en-US"/>
        </w:rPr>
        <w:t>Whereas in qualitative methods, an interpretive approach to data collection demands that the researcher</w:t>
      </w:r>
      <w:r>
        <w:rPr>
          <w:rFonts w:ascii="Times New Roman" w:hAnsi="Times New Roman" w:hint="default"/>
          <w:rtl w:val="0"/>
          <w:lang w:val="en-US"/>
        </w:rPr>
        <w:t>’</w:t>
      </w:r>
      <w:r>
        <w:rPr>
          <w:rFonts w:ascii="Times New Roman" w:hAnsi="Times New Roman"/>
          <w:rtl w:val="0"/>
          <w:lang w:val="en-US"/>
        </w:rPr>
        <w:t xml:space="preserve">s </w:t>
      </w:r>
      <w:r>
        <w:rPr>
          <w:rFonts w:ascii="Times New Roman" w:hAnsi="Times New Roman" w:hint="default"/>
          <w:rtl w:val="0"/>
          <w:lang w:val="en-US"/>
        </w:rPr>
        <w:t>‘</w:t>
      </w:r>
      <w:r>
        <w:rPr>
          <w:rFonts w:ascii="Times New Roman" w:hAnsi="Times New Roman"/>
          <w:rtl w:val="0"/>
          <w:lang w:val="en-US"/>
        </w:rPr>
        <w:t>background, position or emotions are an integral part of the process of producing data.</w:t>
      </w:r>
      <w:r>
        <w:rPr>
          <w:rFonts w:ascii="Times New Roman" w:hAnsi="Times New Roman" w:hint="default"/>
          <w:rtl w:val="0"/>
          <w:lang w:val="en-US"/>
        </w:rPr>
        <w:t>’</w:t>
      </w:r>
      <w:r>
        <w:rPr>
          <w:rFonts w:ascii="Times New Roman" w:cs="Times New Roman" w:hAnsi="Times New Roman" w:eastAsia="Times New Roman"/>
          <w:vertAlign w:val="superscript"/>
        </w:rPr>
        <w:footnoteReference w:id="10"/>
      </w:r>
      <w:r>
        <w:rPr>
          <w:rFonts w:ascii="Times New Roman" w:hAnsi="Times New Roman"/>
          <w:rtl w:val="0"/>
          <w:lang w:val="en-US"/>
        </w:rPr>
        <w:t xml:space="preserve"> </w:t>
      </w:r>
      <w:r>
        <w:rPr>
          <w:rFonts w:ascii="Times New Roman" w:hAnsi="Times New Roman"/>
          <w:rtl w:val="0"/>
          <w:lang w:val="en-US"/>
        </w:rPr>
        <w:t>Th</w:t>
      </w:r>
      <w:r>
        <w:rPr>
          <w:rFonts w:ascii="Times New Roman" w:hAnsi="Times New Roman"/>
          <w:rtl w:val="0"/>
          <w:lang w:val="en-US"/>
        </w:rPr>
        <w:t>ese</w:t>
      </w:r>
      <w:r>
        <w:rPr>
          <w:rFonts w:ascii="Times New Roman" w:hAnsi="Times New Roman"/>
          <w:rtl w:val="0"/>
          <w:lang w:val="en-US"/>
        </w:rPr>
        <w:t xml:space="preserve"> principle</w:t>
      </w:r>
      <w:r>
        <w:rPr>
          <w:rFonts w:ascii="Times New Roman" w:hAnsi="Times New Roman"/>
          <w:rtl w:val="0"/>
          <w:lang w:val="en-US"/>
        </w:rPr>
        <w:t>s</w:t>
      </w:r>
      <w:r>
        <w:rPr>
          <w:rFonts w:ascii="Times New Roman" w:hAnsi="Times New Roman"/>
          <w:rtl w:val="0"/>
          <w:lang w:val="en-US"/>
        </w:rPr>
        <w:t xml:space="preserve"> </w:t>
      </w:r>
      <w:r>
        <w:rPr>
          <w:rFonts w:ascii="Times New Roman" w:hAnsi="Times New Roman"/>
          <w:rtl w:val="0"/>
          <w:lang w:val="en-US"/>
        </w:rPr>
        <w:t>are observable</w:t>
      </w:r>
      <w:r>
        <w:rPr>
          <w:rFonts w:ascii="Times New Roman" w:hAnsi="Times New Roman"/>
          <w:rtl w:val="0"/>
          <w:lang w:val="en-US"/>
        </w:rPr>
        <w:t xml:space="preserve"> in b</w:t>
      </w:r>
      <w:r>
        <w:rPr>
          <w:rFonts w:ascii="Times New Roman" w:hAnsi="Times New Roman"/>
          <w:rtl w:val="0"/>
          <w:lang w:val="en-US"/>
        </w:rPr>
        <w:t>oth studies, respectively.</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 xml:space="preserve">First, </w:t>
      </w:r>
      <w:r>
        <w:rPr>
          <w:rFonts w:ascii="Times New Roman" w:hAnsi="Times New Roman"/>
          <w:rtl w:val="0"/>
          <w:lang w:val="en-US"/>
        </w:rPr>
        <w:t>Brink, a psychology professor, is apparently dispassionate about a person</w:t>
      </w:r>
      <w:r>
        <w:rPr>
          <w:rFonts w:ascii="Times New Roman" w:hAnsi="Times New Roman" w:hint="default"/>
          <w:rtl w:val="0"/>
          <w:lang w:val="en-US"/>
        </w:rPr>
        <w:t>’</w:t>
      </w:r>
      <w:r>
        <w:rPr>
          <w:rFonts w:ascii="Times New Roman" w:hAnsi="Times New Roman"/>
          <w:rtl w:val="0"/>
          <w:lang w:val="en-US"/>
        </w:rPr>
        <w:t>s</w:t>
      </w:r>
      <w:r>
        <w:rPr>
          <w:rFonts w:ascii="Times New Roman" w:hAnsi="Times New Roman"/>
          <w:rtl w:val="0"/>
          <w:lang w:val="en-US"/>
        </w:rPr>
        <w:t xml:space="preserve"> ability to hold logically incompatible beliefs </w:t>
      </w:r>
      <w:r>
        <w:rPr>
          <w:rFonts w:ascii="Times New Roman" w:hAnsi="Times New Roman"/>
          <w:rtl w:val="0"/>
          <w:lang w:val="en-US"/>
        </w:rPr>
        <w:t>simultaneously</w:t>
      </w:r>
      <w:r>
        <w:rPr>
          <w:rFonts w:ascii="Times New Roman" w:hAnsi="Times New Roman"/>
          <w:rtl w:val="0"/>
          <w:lang w:val="en-US"/>
        </w:rPr>
        <w:t>.</w:t>
      </w:r>
      <w:r>
        <w:rPr>
          <w:rFonts w:ascii="Times New Roman" w:cs="Times New Roman" w:hAnsi="Times New Roman" w:eastAsia="Times New Roman"/>
          <w:vertAlign w:val="superscript"/>
        </w:rPr>
        <w:footnoteReference w:id="11"/>
      </w:r>
      <w:r>
        <w:rPr>
          <w:rFonts w:ascii="Times New Roman" w:hAnsi="Times New Roman"/>
          <w:rtl w:val="0"/>
          <w:lang w:val="en-US"/>
        </w:rPr>
        <w:t xml:space="preserve"> He also does not at any point refer to his own biases, or his relation to the issue of reincarnation or anything else about the lives of his respondents. </w:t>
      </w:r>
      <w:r>
        <w:rPr>
          <w:rFonts w:ascii="Times New Roman" w:hAnsi="Times New Roman"/>
          <w:rtl w:val="0"/>
          <w:lang w:val="en-US"/>
        </w:rPr>
        <w:t xml:space="preserve">He </w:t>
      </w:r>
      <w:r>
        <w:rPr>
          <w:rFonts w:ascii="Times New Roman" w:hAnsi="Times New Roman"/>
          <w:rtl w:val="0"/>
          <w:lang w:val="en-US"/>
        </w:rPr>
        <w:t>is thus an external</w:t>
      </w:r>
      <w:r>
        <w:rPr>
          <w:rFonts w:ascii="Times New Roman" w:hAnsi="Times New Roman"/>
          <w:rtl w:val="0"/>
          <w:lang w:val="en-US"/>
        </w:rPr>
        <w:t xml:space="preserve"> commentator </w:t>
      </w:r>
      <w:r>
        <w:rPr>
          <w:rFonts w:ascii="Times New Roman" w:hAnsi="Times New Roman"/>
          <w:rtl w:val="0"/>
          <w:lang w:val="en-US"/>
        </w:rPr>
        <w:t>to the</w:t>
      </w:r>
      <w:r>
        <w:rPr>
          <w:rFonts w:ascii="Times New Roman" w:hAnsi="Times New Roman"/>
          <w:rtl w:val="0"/>
          <w:lang w:val="en-US"/>
        </w:rPr>
        <w:t xml:space="preserve"> phenomeno</w:t>
      </w:r>
      <w:r>
        <w:rPr>
          <w:rFonts w:ascii="Times New Roman" w:hAnsi="Times New Roman"/>
          <w:rtl w:val="0"/>
          <w:lang w:val="en-US"/>
        </w:rPr>
        <w:t>n</w:t>
      </w:r>
      <w:r>
        <w:rPr>
          <w:rFonts w:ascii="Times New Roman" w:hAnsi="Times New Roman"/>
          <w:rtl w:val="0"/>
          <w:lang w:val="en-US"/>
        </w:rPr>
        <w:t xml:space="preserve"> </w:t>
      </w:r>
      <w:r>
        <w:rPr>
          <w:rFonts w:ascii="Times New Roman" w:hAnsi="Times New Roman"/>
          <w:rtl w:val="0"/>
          <w:lang w:val="en-US"/>
        </w:rPr>
        <w:t>and does</w:t>
      </w:r>
      <w:r>
        <w:rPr>
          <w:rFonts w:ascii="Times New Roman" w:hAnsi="Times New Roman"/>
          <w:rtl w:val="0"/>
          <w:lang w:val="en-US"/>
        </w:rPr>
        <w:t xml:space="preserve"> </w:t>
      </w:r>
      <w:r>
        <w:rPr>
          <w:rFonts w:ascii="Times New Roman" w:hAnsi="Times New Roman"/>
          <w:rtl w:val="0"/>
          <w:lang w:val="en-US"/>
        </w:rPr>
        <w:t xml:space="preserve">not engage with reflexive measures. </w:t>
      </w:r>
      <w:r>
        <w:rPr>
          <w:rFonts w:ascii="Times New Roman" w:hAnsi="Times New Roman"/>
          <w:rtl w:val="0"/>
          <w:lang w:val="en-US"/>
        </w:rPr>
        <w:t xml:space="preserve">This is ultimately </w:t>
      </w:r>
      <w:r>
        <w:rPr>
          <w:rFonts w:ascii="Times New Roman" w:hAnsi="Times New Roman"/>
          <w:rtl w:val="0"/>
          <w:lang w:val="en-US"/>
        </w:rPr>
        <w:t xml:space="preserve">sufficient here though, </w:t>
      </w:r>
      <w:r>
        <w:rPr>
          <w:rFonts w:ascii="Times New Roman" w:hAnsi="Times New Roman"/>
          <w:rtl w:val="0"/>
          <w:lang w:val="en-US"/>
        </w:rPr>
        <w:t xml:space="preserve">because </w:t>
      </w:r>
      <w:r>
        <w:rPr>
          <w:rFonts w:ascii="Times New Roman" w:hAnsi="Times New Roman"/>
          <w:rtl w:val="0"/>
          <w:lang w:val="en-US"/>
        </w:rPr>
        <w:t>quantitative research does not require reflexive interaction with the study</w:t>
      </w:r>
      <w:r>
        <w:rPr>
          <w:rFonts w:ascii="Times New Roman" w:hAnsi="Times New Roman" w:hint="default"/>
          <w:rtl w:val="0"/>
          <w:lang w:val="en-US"/>
        </w:rPr>
        <w:t>’</w:t>
      </w:r>
      <w:r>
        <w:rPr>
          <w:rFonts w:ascii="Times New Roman" w:hAnsi="Times New Roman"/>
          <w:rtl w:val="0"/>
          <w:lang w:val="en-US"/>
        </w:rPr>
        <w:t>s respondents or its data for it to be valid under the model.</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However, Walter and Waterhouse, sociology and religious studies professors, respectively</w:t>
      </w:r>
      <w:r>
        <w:rPr>
          <w:rFonts w:ascii="Times New Roman" w:hAnsi="Times New Roman"/>
          <w:rtl w:val="0"/>
          <w:lang w:val="en-US"/>
        </w:rPr>
        <w:t>,</w:t>
      </w:r>
      <w:r>
        <w:rPr>
          <w:rFonts w:ascii="Times New Roman" w:hAnsi="Times New Roman"/>
          <w:rtl w:val="0"/>
          <w:lang w:val="en-US"/>
        </w:rPr>
        <w:t xml:space="preserve"> adopt a different approach. At first, they candidly admit that a number of their interviewees were personal contacts, suggesting that they </w:t>
      </w:r>
      <w:r>
        <w:rPr>
          <w:rFonts w:ascii="Times New Roman" w:hAnsi="Times New Roman"/>
          <w:rtl w:val="0"/>
          <w:lang w:val="en-US"/>
        </w:rPr>
        <w:t>are</w:t>
      </w:r>
      <w:r>
        <w:rPr>
          <w:rFonts w:ascii="Times New Roman" w:hAnsi="Times New Roman"/>
          <w:rtl w:val="0"/>
          <w:lang w:val="en-US"/>
        </w:rPr>
        <w:t xml:space="preserve"> at least somewhat privy to the experiential realities of some of their </w:t>
      </w:r>
      <w:r>
        <w:rPr>
          <w:rFonts w:ascii="Times New Roman" w:hAnsi="Times New Roman"/>
          <w:rtl w:val="0"/>
          <w:lang w:val="en-US"/>
        </w:rPr>
        <w:t>respondents</w:t>
      </w:r>
      <w:r>
        <w:rPr>
          <w:rFonts w:ascii="Times New Roman" w:hAnsi="Times New Roman"/>
          <w:rtl w:val="0"/>
          <w:lang w:val="en-US"/>
        </w:rPr>
        <w:t>.</w:t>
      </w:r>
      <w:r>
        <w:rPr>
          <w:rFonts w:ascii="Times New Roman" w:cs="Times New Roman" w:hAnsi="Times New Roman" w:eastAsia="Times New Roman"/>
          <w:vertAlign w:val="superscript"/>
        </w:rPr>
        <w:footnoteReference w:id="12"/>
      </w:r>
      <w:r>
        <w:rPr>
          <w:rFonts w:ascii="Times New Roman" w:hAnsi="Times New Roman"/>
          <w:rtl w:val="0"/>
          <w:lang w:val="en-US"/>
        </w:rPr>
        <w:t xml:space="preserve"> But further, based on the types of responses they include in their study, </w:t>
      </w:r>
      <w:r>
        <w:rPr>
          <w:rFonts w:ascii="Times New Roman" w:hAnsi="Times New Roman"/>
          <w:rtl w:val="0"/>
          <w:lang w:val="en-US"/>
        </w:rPr>
        <w:t xml:space="preserve">(re: interviewees hesitation to answer certain questions) and </w:t>
      </w:r>
      <w:r>
        <w:rPr>
          <w:rFonts w:ascii="Times New Roman" w:hAnsi="Times New Roman"/>
          <w:rtl w:val="0"/>
          <w:lang w:val="en-US"/>
        </w:rPr>
        <w:t xml:space="preserve">based on the standard mode of qualitative research, </w:t>
      </w:r>
      <w:r>
        <w:rPr>
          <w:rFonts w:ascii="Times New Roman" w:hAnsi="Times New Roman"/>
          <w:rtl w:val="0"/>
          <w:lang w:val="en-US"/>
        </w:rPr>
        <w:t>this personal relationship to the world they are commenting on is crucial to their</w:t>
      </w:r>
      <w:r>
        <w:rPr>
          <w:rFonts w:ascii="Times New Roman" w:hAnsi="Times New Roman"/>
          <w:rtl w:val="0"/>
          <w:lang w:val="en-US"/>
        </w:rPr>
        <w:t xml:space="preserve"> understand</w:t>
      </w:r>
      <w:r>
        <w:rPr>
          <w:rFonts w:ascii="Times New Roman" w:hAnsi="Times New Roman"/>
          <w:rtl w:val="0"/>
          <w:lang w:val="en-US"/>
        </w:rPr>
        <w:t>ing of its content</w:t>
      </w:r>
      <w:r>
        <w:rPr>
          <w:rFonts w:ascii="Times New Roman" w:hAnsi="Times New Roman"/>
          <w:rtl w:val="0"/>
          <w:lang w:val="en-US"/>
        </w:rPr>
        <w:t>.</w:t>
      </w:r>
      <w:r>
        <w:rPr>
          <w:rFonts w:ascii="Times New Roman" w:cs="Times New Roman" w:hAnsi="Times New Roman" w:eastAsia="Times New Roman"/>
          <w:vertAlign w:val="superscript"/>
        </w:rPr>
        <w:footnoteReference w:id="13"/>
      </w:r>
      <w:r>
        <w:rPr>
          <w:rFonts w:ascii="Times New Roman" w:hAnsi="Times New Roman"/>
          <w:rtl w:val="0"/>
          <w:lang w:val="en-US"/>
        </w:rPr>
        <w:t xml:space="preserve"> </w:t>
      </w:r>
    </w:p>
    <w:p>
      <w:pPr>
        <w:pStyle w:val="Body"/>
        <w:rPr>
          <w:rFonts w:ascii="Times New Roman" w:cs="Times New Roman" w:hAnsi="Times New Roman" w:eastAsia="Times New Roman"/>
        </w:rPr>
      </w:pPr>
    </w:p>
    <w:p>
      <w:pPr>
        <w:pStyle w:val="Body"/>
        <w:rPr>
          <w:rFonts w:ascii="Times New Roman" w:cs="Times New Roman" w:hAnsi="Times New Roman" w:eastAsia="Times New Roman"/>
          <w:b w:val="1"/>
          <w:bCs w:val="1"/>
        </w:rPr>
      </w:pPr>
      <w:r>
        <w:rPr>
          <w:rFonts w:ascii="Times New Roman" w:hAnsi="Times New Roman"/>
          <w:b w:val="1"/>
          <w:bCs w:val="1"/>
          <w:rtl w:val="0"/>
          <w:lang w:val="en-US"/>
        </w:rPr>
        <w:t>External Theories</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 xml:space="preserve">Weighing research data against extant and relative theories is an important part of both quantitative and qualitative research. </w:t>
      </w:r>
      <w:r>
        <w:rPr>
          <w:rFonts w:ascii="Times New Roman" w:hAnsi="Times New Roman"/>
          <w:rtl w:val="0"/>
          <w:lang w:val="en-US"/>
        </w:rPr>
        <w:t>John Creswell notes that in quantitative studies,</w:t>
      </w:r>
      <w:r>
        <w:rPr>
          <w:rFonts w:ascii="Times New Roman" w:hAnsi="Times New Roman"/>
          <w:rtl w:val="0"/>
          <w:lang w:val="en-US"/>
        </w:rPr>
        <w:t xml:space="preserve"> </w:t>
      </w:r>
      <w:r>
        <w:rPr>
          <w:rFonts w:ascii="Times New Roman" w:hAnsi="Times New Roman"/>
          <w:rtl w:val="0"/>
          <w:lang w:val="en-US"/>
        </w:rPr>
        <w:t xml:space="preserve">theory </w:t>
      </w:r>
      <w:r>
        <w:rPr>
          <w:rFonts w:ascii="Times New Roman" w:hAnsi="Times New Roman" w:hint="default"/>
          <w:rtl w:val="0"/>
          <w:lang w:val="en-US"/>
        </w:rPr>
        <w:t>‘</w:t>
      </w:r>
      <w:r>
        <w:rPr>
          <w:rFonts w:ascii="Times New Roman" w:hAnsi="Times New Roman"/>
          <w:rtl w:val="0"/>
          <w:lang w:val="en-US"/>
        </w:rPr>
        <w:t>provide</w:t>
      </w:r>
      <w:r>
        <w:rPr>
          <w:rFonts w:ascii="Times New Roman" w:hAnsi="Times New Roman"/>
          <w:rtl w:val="0"/>
          <w:lang w:val="en-US"/>
        </w:rPr>
        <w:t>s</w:t>
      </w:r>
      <w:r>
        <w:rPr>
          <w:rFonts w:ascii="Times New Roman" w:hAnsi="Times New Roman"/>
          <w:rtl w:val="0"/>
          <w:lang w:val="en-US"/>
        </w:rPr>
        <w:t xml:space="preserve"> an explanation or prediction about the relationship among variables in the study</w:t>
      </w:r>
      <w:r>
        <w:rPr>
          <w:rFonts w:ascii="Times New Roman" w:hAnsi="Times New Roman"/>
          <w:rtl w:val="0"/>
          <w:lang w:val="en-US"/>
        </w:rPr>
        <w:t>,</w:t>
      </w:r>
      <w:r>
        <w:rPr>
          <w:rFonts w:ascii="Times New Roman" w:hAnsi="Times New Roman" w:hint="default"/>
          <w:rtl w:val="0"/>
          <w:lang w:val="en-US"/>
        </w:rPr>
        <w:t xml:space="preserve">’ </w:t>
      </w:r>
      <w:r>
        <w:rPr>
          <w:rFonts w:ascii="Times New Roman" w:hAnsi="Times New Roman"/>
          <w:rtl w:val="0"/>
          <w:lang w:val="en-US"/>
        </w:rPr>
        <w:t xml:space="preserve">where </w:t>
      </w:r>
      <w:r>
        <w:rPr>
          <w:rFonts w:ascii="Times New Roman" w:hAnsi="Times New Roman"/>
          <w:rtl w:val="0"/>
          <w:lang w:val="en-US"/>
        </w:rPr>
        <w:t>qualitative stud</w:t>
      </w:r>
      <w:r>
        <w:rPr>
          <w:rFonts w:ascii="Times New Roman" w:hAnsi="Times New Roman"/>
          <w:rtl w:val="0"/>
          <w:lang w:val="en-US"/>
        </w:rPr>
        <w:t>ies often</w:t>
      </w:r>
      <w:r>
        <w:rPr>
          <w:rFonts w:ascii="Times New Roman" w:hAnsi="Times New Roman"/>
          <w:rtl w:val="0"/>
          <w:lang w:val="en-US"/>
        </w:rPr>
        <w:t xml:space="preserve"> </w:t>
      </w:r>
      <w:r>
        <w:rPr>
          <w:rFonts w:ascii="Times New Roman" w:hAnsi="Times New Roman"/>
          <w:rtl w:val="0"/>
          <w:lang w:val="en-US"/>
        </w:rPr>
        <w:t xml:space="preserve">produce </w:t>
      </w:r>
      <w:r>
        <w:rPr>
          <w:rFonts w:ascii="Times New Roman" w:hAnsi="Times New Roman" w:hint="default"/>
          <w:rtl w:val="0"/>
          <w:lang w:val="en-US"/>
        </w:rPr>
        <w:t>‘</w:t>
      </w:r>
      <w:r>
        <w:rPr>
          <w:rFonts w:ascii="Times New Roman" w:hAnsi="Times New Roman"/>
          <w:rtl w:val="0"/>
          <w:lang w:val="en-US"/>
        </w:rPr>
        <w:t>grounded theories</w:t>
      </w:r>
      <w:r>
        <w:rPr>
          <w:rFonts w:ascii="Times New Roman" w:hAnsi="Times New Roman" w:hint="default"/>
          <w:rtl w:val="0"/>
          <w:lang w:val="en-US"/>
        </w:rPr>
        <w:t xml:space="preserve">’ </w:t>
      </w:r>
      <w:r>
        <w:rPr>
          <w:rFonts w:ascii="Times New Roman" w:hAnsi="Times New Roman"/>
          <w:rtl w:val="0"/>
          <w:lang w:val="en-US"/>
        </w:rPr>
        <w:t xml:space="preserve">that account for </w:t>
      </w:r>
      <w:r>
        <w:rPr>
          <w:rFonts w:ascii="Times New Roman" w:hAnsi="Times New Roman" w:hint="default"/>
          <w:rtl w:val="0"/>
          <w:lang w:val="en-US"/>
        </w:rPr>
        <w:t>‘</w:t>
      </w:r>
      <w:r>
        <w:rPr>
          <w:rFonts w:ascii="Times New Roman" w:hAnsi="Times New Roman"/>
          <w:rtl w:val="0"/>
          <w:lang w:val="en-US"/>
        </w:rPr>
        <w:t>a pattern or a generalization that emerges inductively from data collection and analysis</w:t>
      </w:r>
      <w:r>
        <w:rPr>
          <w:rFonts w:ascii="Times New Roman" w:hAnsi="Times New Roman"/>
          <w:rtl w:val="0"/>
          <w:lang w:val="en-US"/>
        </w:rPr>
        <w:t>.</w:t>
      </w:r>
      <w:r>
        <w:rPr>
          <w:rFonts w:ascii="Times New Roman" w:hAnsi="Times New Roman" w:hint="default"/>
          <w:rtl w:val="0"/>
          <w:lang w:val="en-US"/>
        </w:rPr>
        <w:t>’</w:t>
      </w:r>
      <w:r>
        <w:rPr>
          <w:rFonts w:ascii="Times New Roman" w:cs="Times New Roman" w:hAnsi="Times New Roman" w:eastAsia="Times New Roman"/>
          <w:vertAlign w:val="superscript"/>
        </w:rPr>
        <w:footnoteReference w:id="14"/>
      </w:r>
      <w:r>
        <w:rPr>
          <w:rFonts w:ascii="Times New Roman" w:hAnsi="Times New Roman"/>
          <w:rtl w:val="0"/>
          <w:lang w:val="en-US"/>
        </w:rPr>
        <w:t xml:space="preserve"> Creswell</w:t>
      </w:r>
      <w:r>
        <w:rPr>
          <w:rFonts w:ascii="Times New Roman" w:hAnsi="Times New Roman" w:hint="default"/>
          <w:rtl w:val="0"/>
          <w:lang w:val="en-US"/>
        </w:rPr>
        <w:t>’</w:t>
      </w:r>
      <w:r>
        <w:rPr>
          <w:rFonts w:ascii="Times New Roman" w:hAnsi="Times New Roman"/>
          <w:rtl w:val="0"/>
          <w:lang w:val="en-US"/>
        </w:rPr>
        <w:t xml:space="preserve">s propositions are reflected in both of the articles at hand here. </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 xml:space="preserve">Based on </w:t>
      </w:r>
      <w:r>
        <w:rPr>
          <w:rFonts w:ascii="Times New Roman" w:hAnsi="Times New Roman"/>
          <w:rtl w:val="0"/>
          <w:lang w:val="en-US"/>
        </w:rPr>
        <w:t xml:space="preserve">extant </w:t>
      </w:r>
      <w:r>
        <w:rPr>
          <w:rFonts w:ascii="Times New Roman" w:hAnsi="Times New Roman"/>
          <w:rtl w:val="0"/>
          <w:lang w:val="en-US"/>
        </w:rPr>
        <w:t>psychological theories about logically incompatible beliefs,</w:t>
      </w:r>
      <w:r>
        <w:rPr>
          <w:rFonts w:ascii="Times New Roman" w:hAnsi="Times New Roman"/>
          <w:rtl w:val="0"/>
          <w:lang w:val="en-US"/>
        </w:rPr>
        <w:t xml:space="preserve"> owing principally to Erickson, Freud, and Wuthnow,</w:t>
      </w:r>
      <w:r>
        <w:rPr>
          <w:rFonts w:ascii="Times New Roman" w:hAnsi="Times New Roman"/>
          <w:rtl w:val="0"/>
          <w:lang w:val="en-US"/>
        </w:rPr>
        <w:t xml:space="preserve"> Brink</w:t>
      </w:r>
      <w:r>
        <w:rPr>
          <w:rFonts w:ascii="Times New Roman" w:hAnsi="Times New Roman" w:hint="default"/>
          <w:rtl w:val="0"/>
          <w:lang w:val="en-US"/>
        </w:rPr>
        <w:t>’</w:t>
      </w:r>
      <w:r>
        <w:rPr>
          <w:rFonts w:ascii="Times New Roman" w:hAnsi="Times New Roman"/>
          <w:rtl w:val="0"/>
          <w:lang w:val="en-US"/>
        </w:rPr>
        <w:t>s hypothesis seeks to fit itself within the broader framework of the psychology of belief</w:t>
      </w:r>
      <w:r>
        <w:rPr>
          <w:rFonts w:ascii="Times New Roman" w:hAnsi="Times New Roman"/>
          <w:rtl w:val="0"/>
          <w:lang w:val="en-US"/>
        </w:rPr>
        <w:t xml:space="preserve"> by asking a theoretical question that can be quantifiably confirmed or denied. In his</w:t>
      </w:r>
      <w:r>
        <w:rPr>
          <w:rFonts w:ascii="Times New Roman" w:hAnsi="Times New Roman"/>
          <w:rtl w:val="0"/>
          <w:lang w:val="en-US"/>
        </w:rPr>
        <w:t xml:space="preserve"> conclusion, he draws upon a number psychological studies to speculate on</w:t>
      </w:r>
      <w:r>
        <w:rPr>
          <w:rFonts w:ascii="Times New Roman" w:hAnsi="Times New Roman"/>
          <w:rtl w:val="0"/>
          <w:lang w:val="en-US"/>
        </w:rPr>
        <w:t xml:space="preserve"> </w:t>
      </w:r>
      <w:r>
        <w:rPr>
          <w:rFonts w:ascii="Times New Roman" w:hAnsi="Times New Roman"/>
          <w:rtl w:val="0"/>
          <w:lang w:val="en-US"/>
        </w:rPr>
        <w:t>why the results might have contradicted his initial belief</w:t>
      </w:r>
      <w:r>
        <w:rPr>
          <w:rFonts w:ascii="Times New Roman" w:hAnsi="Times New Roman"/>
          <w:rtl w:val="0"/>
          <w:lang w:val="en-US"/>
        </w:rPr>
        <w:t>, leaning entirely on external theories to do so.</w:t>
      </w:r>
      <w:r>
        <w:rPr>
          <w:rFonts w:ascii="Times New Roman" w:cs="Times New Roman" w:hAnsi="Times New Roman" w:eastAsia="Times New Roman"/>
          <w:vertAlign w:val="superscript"/>
        </w:rPr>
        <w:footnoteReference w:id="15"/>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 xml:space="preserve">Walter and Waterhouse also rely on external data, however, </w:t>
      </w:r>
      <w:r>
        <w:rPr>
          <w:rFonts w:ascii="Times New Roman" w:hAnsi="Times New Roman"/>
          <w:rtl w:val="0"/>
          <w:lang w:val="en-US"/>
        </w:rPr>
        <w:t xml:space="preserve">the bulk of this data comes from the quantitative </w:t>
      </w:r>
      <w:r>
        <w:rPr>
          <w:rFonts w:ascii="Times New Roman" w:hAnsi="Times New Roman"/>
          <w:rtl w:val="0"/>
          <w:lang w:val="en-US"/>
        </w:rPr>
        <w:t>European Value Survey</w:t>
      </w:r>
      <w:r>
        <w:rPr>
          <w:rFonts w:ascii="Times New Roman" w:hAnsi="Times New Roman"/>
          <w:rtl w:val="0"/>
          <w:lang w:val="en-US"/>
        </w:rPr>
        <w:t>, that relates the percentage of the European population that believes in reincarnation.</w:t>
      </w:r>
      <w:r>
        <w:rPr>
          <w:rFonts w:ascii="Times New Roman" w:cs="Times New Roman" w:hAnsi="Times New Roman" w:eastAsia="Times New Roman"/>
          <w:vertAlign w:val="superscript"/>
        </w:rPr>
        <w:footnoteReference w:id="16"/>
      </w:r>
      <w:r>
        <w:rPr>
          <w:rFonts w:ascii="Times New Roman" w:hAnsi="Times New Roman"/>
          <w:rtl w:val="0"/>
          <w:lang w:val="en-US"/>
        </w:rPr>
        <w:t xml:space="preserve"> Owing to their apparent interest in contextualizing their qualitative data, the EVS provides them a helpful </w:t>
      </w:r>
      <w:r>
        <w:rPr>
          <w:rFonts w:ascii="Times New Roman" w:hAnsi="Times New Roman"/>
          <w:rtl w:val="0"/>
          <w:lang w:val="en-US"/>
        </w:rPr>
        <w:t xml:space="preserve">measure </w:t>
      </w:r>
      <w:r>
        <w:rPr>
          <w:rFonts w:ascii="Times New Roman" w:hAnsi="Times New Roman"/>
          <w:rtl w:val="0"/>
          <w:lang w:val="en-US"/>
        </w:rPr>
        <w:t xml:space="preserve">to weigh </w:t>
      </w:r>
      <w:r>
        <w:rPr>
          <w:rFonts w:ascii="Times New Roman" w:hAnsi="Times New Roman"/>
          <w:rtl w:val="0"/>
          <w:lang w:val="en-US"/>
        </w:rPr>
        <w:t>their data</w:t>
      </w:r>
      <w:r>
        <w:rPr>
          <w:rFonts w:ascii="Times New Roman" w:hAnsi="Times New Roman"/>
          <w:rtl w:val="0"/>
          <w:lang w:val="en-US"/>
        </w:rPr>
        <w:t xml:space="preserve"> against, allowing them to</w:t>
      </w:r>
      <w:r>
        <w:rPr>
          <w:rFonts w:ascii="Times New Roman" w:hAnsi="Times New Roman"/>
          <w:rtl w:val="0"/>
          <w:lang w:val="en-US"/>
        </w:rPr>
        <w:t xml:space="preserve"> enforce the potential for </w:t>
      </w:r>
      <w:r>
        <w:rPr>
          <w:rFonts w:ascii="Times New Roman" w:hAnsi="Times New Roman"/>
          <w:rtl w:val="0"/>
          <w:lang w:val="en-US"/>
        </w:rPr>
        <w:t>their conclusion</w:t>
      </w:r>
      <w:r>
        <w:rPr>
          <w:rFonts w:ascii="Times New Roman" w:hAnsi="Times New Roman" w:hint="default"/>
          <w:rtl w:val="0"/>
          <w:lang w:val="en-US"/>
        </w:rPr>
        <w:t>’</w:t>
      </w:r>
      <w:r>
        <w:rPr>
          <w:rFonts w:ascii="Times New Roman" w:hAnsi="Times New Roman"/>
          <w:rtl w:val="0"/>
          <w:lang w:val="en-US"/>
        </w:rPr>
        <w:t xml:space="preserve">s </w:t>
      </w:r>
      <w:r>
        <w:rPr>
          <w:rFonts w:ascii="Times New Roman" w:hAnsi="Times New Roman"/>
          <w:rtl w:val="0"/>
          <w:lang w:val="en-US"/>
        </w:rPr>
        <w:t>universal application.</w:t>
      </w:r>
      <w:r>
        <w:rPr>
          <w:rFonts w:ascii="Times New Roman" w:cs="Times New Roman" w:hAnsi="Times New Roman" w:eastAsia="Times New Roman"/>
          <w:vertAlign w:val="superscript"/>
        </w:rPr>
        <w:footnoteReference w:id="17"/>
      </w:r>
    </w:p>
    <w:p>
      <w:pPr>
        <w:pStyle w:val="Body"/>
        <w:rPr>
          <w:rFonts w:ascii="Times New Roman" w:cs="Times New Roman" w:hAnsi="Times New Roman" w:eastAsia="Times New Roman"/>
        </w:rPr>
      </w:pPr>
    </w:p>
    <w:p>
      <w:pPr>
        <w:pStyle w:val="Body"/>
        <w:rPr>
          <w:rFonts w:ascii="Times New Roman" w:cs="Times New Roman" w:hAnsi="Times New Roman" w:eastAsia="Times New Roman"/>
          <w:b w:val="1"/>
          <w:bCs w:val="1"/>
        </w:rPr>
      </w:pPr>
      <w:r>
        <w:rPr>
          <w:rFonts w:ascii="Times New Roman" w:hAnsi="Times New Roman"/>
          <w:b w:val="1"/>
          <w:bCs w:val="1"/>
          <w:rtl w:val="0"/>
          <w:lang w:val="en-US"/>
        </w:rPr>
        <w:t>Conclusion</w:t>
      </w:r>
    </w:p>
    <w:p>
      <w:pPr>
        <w:pStyle w:val="Body"/>
        <w:rPr>
          <w:rFonts w:ascii="Times New Roman" w:cs="Times New Roman" w:hAnsi="Times New Roman" w:eastAsia="Times New Roman"/>
        </w:rPr>
      </w:pPr>
      <w:r>
        <w:rPr>
          <w:rFonts w:ascii="Times New Roman" w:cs="Times New Roman" w:hAnsi="Times New Roman" w:eastAsia="Times New Roman"/>
        </w:rPr>
        <w:tab/>
      </w:r>
    </w:p>
    <w:p>
      <w:pPr>
        <w:pStyle w:val="Body"/>
        <w:rPr>
          <w:rFonts w:ascii="Times New Roman" w:cs="Times New Roman" w:hAnsi="Times New Roman" w:eastAsia="Times New Roman"/>
        </w:rPr>
      </w:pPr>
      <w:r>
        <w:rPr>
          <w:rFonts w:ascii="Times New Roman" w:cs="Times New Roman" w:hAnsi="Times New Roman" w:eastAsia="Times New Roman"/>
          <w:rtl w:val="0"/>
        </w:rPr>
        <w:tab/>
        <w:t>The ways in which these papers relate to their respective methodological models offers critical insight into the necessary relation between quantitative and qualitative research. Namely, Walter and Waterhouse</w:t>
      </w:r>
      <w:r>
        <w:rPr>
          <w:rFonts w:ascii="Times New Roman" w:hAnsi="Times New Roman" w:hint="default"/>
          <w:rtl w:val="0"/>
          <w:lang w:val="en-US"/>
        </w:rPr>
        <w:t>’</w:t>
      </w:r>
      <w:r>
        <w:rPr>
          <w:rFonts w:ascii="Times New Roman" w:hAnsi="Times New Roman"/>
          <w:rtl w:val="0"/>
          <w:lang w:val="en-US"/>
        </w:rPr>
        <w:t xml:space="preserve">s prioritization of the </w:t>
      </w:r>
      <w:r>
        <w:rPr>
          <w:rFonts w:ascii="Times New Roman" w:hAnsi="Times New Roman"/>
          <w:rtl w:val="0"/>
          <w:lang w:val="en-US"/>
        </w:rPr>
        <w:t>individual respondents</w:t>
      </w:r>
      <w:r>
        <w:rPr>
          <w:rFonts w:ascii="Times New Roman" w:hAnsi="Times New Roman" w:hint="default"/>
          <w:rtl w:val="0"/>
          <w:lang w:val="en-US"/>
        </w:rPr>
        <w:t xml:space="preserve">’ </w:t>
      </w:r>
      <w:r>
        <w:rPr>
          <w:rFonts w:ascii="Times New Roman" w:hAnsi="Times New Roman"/>
          <w:rtl w:val="0"/>
          <w:lang w:val="en-US"/>
        </w:rPr>
        <w:t xml:space="preserve">particular </w:t>
      </w:r>
      <w:r>
        <w:rPr>
          <w:rFonts w:ascii="Times New Roman" w:hAnsi="Times New Roman"/>
          <w:rtl w:val="0"/>
          <w:lang w:val="en-US"/>
        </w:rPr>
        <w:t xml:space="preserve">reason for belief as an essential part of understanding the phenomena implies </w:t>
      </w:r>
      <w:r>
        <w:rPr>
          <w:rFonts w:ascii="Times New Roman" w:hAnsi="Times New Roman"/>
          <w:rtl w:val="0"/>
          <w:lang w:val="en-US"/>
        </w:rPr>
        <w:t xml:space="preserve">that boiling the question of belief in reincarnation down to </w:t>
      </w:r>
      <w:r>
        <w:rPr>
          <w:rFonts w:ascii="Times New Roman" w:hAnsi="Times New Roman"/>
          <w:rtl w:val="0"/>
          <w:lang w:val="en-US"/>
        </w:rPr>
        <w:t>a single word answer (yes/no)</w:t>
      </w:r>
      <w:r>
        <w:rPr>
          <w:rFonts w:ascii="Times New Roman" w:hAnsi="Times New Roman"/>
          <w:rtl w:val="0"/>
          <w:lang w:val="en-US"/>
        </w:rPr>
        <w:t xml:space="preserve"> is</w:t>
      </w:r>
      <w:r>
        <w:rPr>
          <w:rFonts w:ascii="Times New Roman" w:hAnsi="Times New Roman"/>
          <w:rtl w:val="0"/>
          <w:lang w:val="en-US"/>
        </w:rPr>
        <w:t xml:space="preserve"> ineffective. They even make the claim that it is</w:t>
      </w:r>
      <w:r>
        <w:rPr>
          <w:rFonts w:ascii="Times New Roman" w:hAnsi="Times New Roman" w:hint="default"/>
          <w:rtl w:val="0"/>
          <w:lang w:val="en-US"/>
        </w:rPr>
        <w:t xml:space="preserve"> ‘</w:t>
      </w:r>
      <w:r>
        <w:rPr>
          <w:rFonts w:ascii="Times New Roman" w:hAnsi="Times New Roman"/>
          <w:rtl w:val="0"/>
          <w:lang w:val="en-US"/>
        </w:rPr>
        <w:t xml:space="preserve">unclear what the statement that x percent of the </w:t>
      </w:r>
      <w:r>
        <w:rPr>
          <w:rFonts w:ascii="Times New Roman" w:hAnsi="Times New Roman"/>
          <w:rtl w:val="0"/>
          <w:lang w:val="en-US"/>
        </w:rPr>
        <w:t>population</w:t>
      </w:r>
      <w:r>
        <w:rPr>
          <w:rFonts w:ascii="Times New Roman" w:hAnsi="Times New Roman"/>
          <w:rtl w:val="0"/>
          <w:lang w:val="en-US"/>
        </w:rPr>
        <w:t xml:space="preserve"> believe in reincarnation means</w:t>
      </w:r>
      <w:r>
        <w:rPr>
          <w:rFonts w:ascii="Times New Roman" w:hAnsi="Times New Roman" w:hint="default"/>
          <w:rtl w:val="0"/>
          <w:lang w:val="en-US"/>
        </w:rPr>
        <w:t xml:space="preserve">’ </w:t>
      </w:r>
      <w:r>
        <w:rPr>
          <w:rFonts w:ascii="Times New Roman" w:hAnsi="Times New Roman"/>
          <w:rtl w:val="0"/>
          <w:lang w:val="en-US"/>
        </w:rPr>
        <w:t>without their qualitative input.</w:t>
      </w:r>
      <w:r>
        <w:rPr>
          <w:rFonts w:ascii="Times New Roman" w:cs="Times New Roman" w:hAnsi="Times New Roman" w:eastAsia="Times New Roman"/>
          <w:vertAlign w:val="superscript"/>
        </w:rPr>
        <w:footnoteReference w:id="18"/>
      </w:r>
      <w:r>
        <w:rPr>
          <w:rFonts w:ascii="Times New Roman" w:hAnsi="Times New Roman"/>
          <w:rtl w:val="0"/>
          <w:lang w:val="en-US"/>
        </w:rPr>
        <w:t xml:space="preserve"> While</w:t>
      </w:r>
      <w:r>
        <w:rPr>
          <w:rFonts w:ascii="Times New Roman" w:hAnsi="Times New Roman"/>
          <w:rtl w:val="0"/>
          <w:lang w:val="en-US"/>
        </w:rPr>
        <w:t xml:space="preserve"> this is fair to suggest</w:t>
      </w:r>
      <w:r>
        <w:rPr>
          <w:rFonts w:ascii="Times New Roman" w:hAnsi="Times New Roman"/>
          <w:rtl w:val="0"/>
          <w:lang w:val="en-US"/>
        </w:rPr>
        <w:t xml:space="preserve">, it is important to note, as they do, that Walter and Waterhouse can only arrive at this conclusion with heavy dependence on the quantitative data set forth by the EVS. So, while a </w:t>
      </w:r>
      <w:r>
        <w:rPr>
          <w:rFonts w:ascii="Times New Roman" w:hAnsi="Times New Roman"/>
          <w:rtl w:val="0"/>
          <w:lang w:val="en-US"/>
        </w:rPr>
        <w:t>quantitative approach to answering this question does not helpful</w:t>
      </w:r>
      <w:r>
        <w:rPr>
          <w:rFonts w:ascii="Times New Roman" w:hAnsi="Times New Roman"/>
          <w:rtl w:val="0"/>
          <w:lang w:val="en-US"/>
        </w:rPr>
        <w:t>ly</w:t>
      </w:r>
      <w:r>
        <w:rPr>
          <w:rFonts w:ascii="Times New Roman" w:hAnsi="Times New Roman"/>
          <w:rtl w:val="0"/>
          <w:lang w:val="en-US"/>
        </w:rPr>
        <w:t xml:space="preserve"> answer what it is specifically that people</w:t>
      </w:r>
      <w:r>
        <w:rPr>
          <w:rFonts w:ascii="Times New Roman" w:hAnsi="Times New Roman"/>
          <w:rtl w:val="0"/>
          <w:lang w:val="en-US"/>
        </w:rPr>
        <w:t xml:space="preserve"> may</w:t>
      </w:r>
      <w:r>
        <w:rPr>
          <w:rFonts w:ascii="Times New Roman" w:hAnsi="Times New Roman"/>
          <w:rtl w:val="0"/>
          <w:lang w:val="en-US"/>
        </w:rPr>
        <w:t xml:space="preserve"> believe</w:t>
      </w:r>
      <w:r>
        <w:rPr>
          <w:rFonts w:ascii="Times New Roman" w:hAnsi="Times New Roman" w:hint="default"/>
          <w:rtl w:val="0"/>
          <w:lang w:val="en-US"/>
        </w:rPr>
        <w:t>–</w:t>
      </w:r>
      <w:r>
        <w:rPr>
          <w:rFonts w:ascii="Times New Roman" w:hAnsi="Times New Roman"/>
          <w:rtl w:val="0"/>
          <w:lang w:val="en-US"/>
        </w:rPr>
        <w:t>having quantitative data to prove that a percentage of the population do believe it is important.</w:t>
      </w:r>
      <w:r>
        <w:rPr>
          <w:rFonts w:ascii="Times New Roman" w:hAnsi="Times New Roman"/>
          <w:rtl w:val="0"/>
          <w:lang w:val="en-US"/>
        </w:rPr>
        <w:t xml:space="preserve"> </w:t>
      </w:r>
      <w:r>
        <w:rPr>
          <w:rFonts w:ascii="Times New Roman" w:hAnsi="Times New Roman"/>
          <w:rtl w:val="0"/>
          <w:lang w:val="en-US"/>
        </w:rPr>
        <w:t>Case in point, Brink</w:t>
      </w:r>
      <w:r>
        <w:rPr>
          <w:rFonts w:ascii="Times New Roman" w:hAnsi="Times New Roman" w:hint="default"/>
          <w:rtl w:val="0"/>
          <w:lang w:val="en-US"/>
        </w:rPr>
        <w:t>’</w:t>
      </w:r>
      <w:r>
        <w:rPr>
          <w:rFonts w:ascii="Times New Roman" w:hAnsi="Times New Roman"/>
          <w:rtl w:val="0"/>
          <w:lang w:val="en-US"/>
        </w:rPr>
        <w:t>s</w:t>
      </w:r>
      <w:r>
        <w:rPr>
          <w:rFonts w:ascii="Times New Roman" w:hAnsi="Times New Roman"/>
          <w:rtl w:val="0"/>
          <w:lang w:val="en-US"/>
        </w:rPr>
        <w:t xml:space="preserve"> </w:t>
      </w:r>
      <w:r>
        <w:rPr>
          <w:rFonts w:ascii="Times New Roman" w:hAnsi="Times New Roman"/>
          <w:rtl w:val="0"/>
          <w:lang w:val="en-US"/>
        </w:rPr>
        <w:t>article</w:t>
      </w:r>
      <w:r>
        <w:rPr>
          <w:rFonts w:ascii="Times New Roman" w:hAnsi="Times New Roman"/>
          <w:rtl w:val="0"/>
          <w:lang w:val="en-US"/>
        </w:rPr>
        <w:t>, though</w:t>
      </w:r>
      <w:r>
        <w:rPr>
          <w:rFonts w:ascii="Times New Roman" w:hAnsi="Times New Roman"/>
          <w:rtl w:val="0"/>
          <w:lang w:val="en-US"/>
        </w:rPr>
        <w:t xml:space="preserve"> it</w:t>
      </w:r>
      <w:r>
        <w:rPr>
          <w:rFonts w:ascii="Times New Roman" w:hAnsi="Times New Roman"/>
          <w:rtl w:val="0"/>
          <w:lang w:val="en-US"/>
        </w:rPr>
        <w:t xml:space="preserve"> admittedly open</w:t>
      </w:r>
      <w:r>
        <w:rPr>
          <w:rFonts w:ascii="Times New Roman" w:hAnsi="Times New Roman"/>
          <w:rtl w:val="0"/>
          <w:lang w:val="en-US"/>
        </w:rPr>
        <w:t>s</w:t>
      </w:r>
      <w:r>
        <w:rPr>
          <w:rFonts w:ascii="Times New Roman" w:hAnsi="Times New Roman"/>
          <w:rtl w:val="0"/>
          <w:lang w:val="en-US"/>
        </w:rPr>
        <w:t xml:space="preserve"> more questions than </w:t>
      </w:r>
      <w:r>
        <w:rPr>
          <w:rFonts w:ascii="Times New Roman" w:hAnsi="Times New Roman"/>
          <w:rtl w:val="0"/>
          <w:lang w:val="en-US"/>
        </w:rPr>
        <w:t xml:space="preserve">it </w:t>
      </w:r>
      <w:r>
        <w:rPr>
          <w:rFonts w:ascii="Times New Roman" w:hAnsi="Times New Roman"/>
          <w:rtl w:val="0"/>
          <w:lang w:val="en-US"/>
        </w:rPr>
        <w:t>answers, does satisfy the aim of quantitatively proving a fact about belief in reincarnation</w:t>
      </w:r>
      <w:r>
        <w:rPr>
          <w:rFonts w:ascii="Times New Roman" w:hAnsi="Times New Roman"/>
          <w:rtl w:val="0"/>
          <w:lang w:val="en-US"/>
        </w:rPr>
        <w:t xml:space="preserve"> that</w:t>
      </w:r>
      <w:r>
        <w:rPr>
          <w:rFonts w:ascii="Times New Roman" w:hAnsi="Times New Roman"/>
          <w:rtl w:val="0"/>
          <w:lang w:val="en-US"/>
        </w:rPr>
        <w:t xml:space="preserve"> would not have otherwise been </w:t>
      </w:r>
      <w:r>
        <w:rPr>
          <w:rFonts w:ascii="Times New Roman" w:hAnsi="Times New Roman"/>
          <w:rtl w:val="0"/>
          <w:lang w:val="en-US"/>
        </w:rPr>
        <w:t>obvious</w:t>
      </w:r>
      <w:r>
        <w:rPr>
          <w:rFonts w:ascii="Times New Roman" w:hAnsi="Times New Roman"/>
          <w:rtl w:val="0"/>
          <w:lang w:val="en-US"/>
        </w:rPr>
        <w:t>.</w:t>
      </w:r>
      <w:r>
        <w:rPr>
          <w:rFonts w:ascii="Times New Roman" w:cs="Times New Roman" w:hAnsi="Times New Roman" w:eastAsia="Times New Roman"/>
          <w:vertAlign w:val="superscript"/>
        </w:rPr>
        <w:footnoteReference w:id="19"/>
      </w:r>
      <w:r>
        <w:rPr>
          <w:rFonts w:ascii="Times New Roman" w:hAnsi="Times New Roman"/>
          <w:rtl w:val="0"/>
          <w:lang w:val="en-US"/>
        </w:rPr>
        <w:t xml:space="preserve"> In the same way that the EVS presented both formative data, and unanswered questions about reincarnation belief that </w:t>
      </w:r>
      <w:r>
        <w:rPr>
          <w:rFonts w:ascii="Times New Roman" w:hAnsi="Times New Roman"/>
          <w:rtl w:val="0"/>
          <w:lang w:val="en-US"/>
        </w:rPr>
        <w:t>Walter and Waterhouse</w:t>
      </w:r>
      <w:r>
        <w:rPr>
          <w:rFonts w:ascii="Times New Roman" w:hAnsi="Times New Roman"/>
          <w:rtl w:val="0"/>
          <w:lang w:val="en-US"/>
        </w:rPr>
        <w:t xml:space="preserve"> </w:t>
      </w:r>
      <w:r>
        <w:rPr>
          <w:rFonts w:ascii="Times New Roman" w:hAnsi="Times New Roman"/>
          <w:rtl w:val="0"/>
          <w:lang w:val="en-US"/>
        </w:rPr>
        <w:t>use and attempt to</w:t>
      </w:r>
      <w:r>
        <w:rPr>
          <w:rFonts w:ascii="Times New Roman" w:hAnsi="Times New Roman"/>
          <w:rtl w:val="0"/>
          <w:lang w:val="en-US"/>
        </w:rPr>
        <w:t xml:space="preserve"> resolve, Brink</w:t>
      </w:r>
      <w:r>
        <w:rPr>
          <w:rFonts w:ascii="Times New Roman" w:hAnsi="Times New Roman" w:hint="default"/>
          <w:rtl w:val="0"/>
          <w:lang w:val="en-US"/>
        </w:rPr>
        <w:t>’</w:t>
      </w:r>
      <w:r>
        <w:rPr>
          <w:rFonts w:ascii="Times New Roman" w:hAnsi="Times New Roman"/>
          <w:rtl w:val="0"/>
          <w:lang w:val="en-US"/>
        </w:rPr>
        <w:t>s paper presents useful data</w:t>
      </w:r>
      <w:r>
        <w:rPr>
          <w:rFonts w:ascii="Times New Roman" w:hAnsi="Times New Roman"/>
          <w:rtl w:val="0"/>
          <w:lang w:val="en-US"/>
        </w:rPr>
        <w:t xml:space="preserve"> </w:t>
      </w:r>
      <w:r>
        <w:rPr>
          <w:rFonts w:ascii="Times New Roman" w:hAnsi="Times New Roman"/>
          <w:rtl w:val="0"/>
          <w:lang w:val="en-US"/>
        </w:rPr>
        <w:t xml:space="preserve">that might be usefully taken up by a succeeding study </w:t>
      </w:r>
      <w:r>
        <w:rPr>
          <w:rFonts w:ascii="Times New Roman" w:hAnsi="Times New Roman"/>
          <w:rtl w:val="0"/>
          <w:lang w:val="en-US"/>
        </w:rPr>
        <w:t>aiming</w:t>
      </w:r>
      <w:r>
        <w:rPr>
          <w:rFonts w:ascii="Times New Roman" w:hAnsi="Times New Roman"/>
          <w:rtl w:val="0"/>
          <w:lang w:val="en-US"/>
        </w:rPr>
        <w:t xml:space="preserve"> to understand why </w:t>
      </w:r>
      <w:r>
        <w:rPr>
          <w:rFonts w:ascii="Times New Roman" w:hAnsi="Times New Roman"/>
          <w:rtl w:val="0"/>
          <w:lang w:val="en-US"/>
        </w:rPr>
        <w:t xml:space="preserve">Catholic school students </w:t>
      </w:r>
      <w:r>
        <w:rPr>
          <w:rFonts w:ascii="Times New Roman" w:hAnsi="Times New Roman"/>
          <w:rtl w:val="0"/>
          <w:lang w:val="en-US"/>
        </w:rPr>
        <w:t>hold concurrent and illogical beliefs</w:t>
      </w:r>
      <w:r>
        <w:rPr>
          <w:rFonts w:ascii="Times New Roman" w:hAnsi="Times New Roman"/>
          <w:rtl w:val="0"/>
          <w:lang w:val="en-US"/>
        </w:rPr>
        <w:t>, as apparently they do</w:t>
      </w:r>
      <w:r>
        <w:rPr>
          <w:rFonts w:ascii="Times New Roman" w:hAnsi="Times New Roman"/>
          <w:rtl w:val="0"/>
          <w:lang w:val="en-US"/>
        </w:rPr>
        <w:t>.</w:t>
      </w:r>
      <w:r>
        <w:rPr>
          <w:rFonts w:ascii="Times New Roman" w:cs="Times New Roman" w:hAnsi="Times New Roman" w:eastAsia="Times New Roman"/>
          <w:vertAlign w:val="superscript"/>
        </w:rPr>
        <w:footnoteReference w:id="20"/>
      </w:r>
      <w:r>
        <w:rPr>
          <w:rFonts w:ascii="Times New Roman" w:hAnsi="Times New Roman"/>
          <w:rtl w:val="0"/>
          <w:lang w:val="en-US"/>
        </w:rPr>
        <w:t xml:space="preserve"> And in reversal of this logic, Brink</w:t>
      </w:r>
      <w:r>
        <w:rPr>
          <w:rFonts w:ascii="Times New Roman" w:hAnsi="Times New Roman" w:hint="default"/>
          <w:rtl w:val="0"/>
          <w:lang w:val="en-US"/>
        </w:rPr>
        <w:t>’</w:t>
      </w:r>
      <w:r>
        <w:rPr>
          <w:rFonts w:ascii="Times New Roman" w:hAnsi="Times New Roman"/>
          <w:rtl w:val="0"/>
          <w:lang w:val="en-US"/>
        </w:rPr>
        <w:t xml:space="preserve">s conclusion might have equally benefitted if he had joint his theoretical knowledge, to input from his respondents whose beliefs he is trying to understand. </w:t>
      </w:r>
    </w:p>
    <w:p>
      <w:pPr>
        <w:pStyle w:val="Body"/>
        <w:spacing w:line="360" w:lineRule="auto"/>
        <w:ind w:firstLine="720"/>
        <w:jc w:val="both"/>
        <w:rPr>
          <w:rFonts w:ascii="Times New Roman" w:cs="Times New Roman" w:hAnsi="Times New Roman" w:eastAsia="Times New Roman"/>
        </w:rPr>
      </w:pPr>
    </w:p>
    <w:p>
      <w:pPr>
        <w:pStyle w:val="Body"/>
        <w:spacing w:line="360" w:lineRule="auto"/>
        <w:ind w:firstLine="720"/>
        <w:jc w:val="both"/>
        <w:rPr>
          <w:rFonts w:ascii="Times New Roman" w:cs="Times New Roman" w:hAnsi="Times New Roman" w:eastAsia="Times New Roman"/>
          <w:lang w:val="en-US"/>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b w:val="1"/>
          <w:bCs w:val="1"/>
          <w:u w:val="single"/>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u w:val="single"/>
        </w:rPr>
      </w:pPr>
      <w:r>
        <w:rPr>
          <w:rFonts w:ascii="Times New Roman" w:hAnsi="Times New Roman"/>
          <w:b w:val="1"/>
          <w:bCs w:val="1"/>
          <w:u w:val="single"/>
          <w:rtl w:val="0"/>
          <w:lang w:val="en-US"/>
        </w:rPr>
        <w:t>Works Cited</w:t>
      </w:r>
    </w:p>
    <w:p>
      <w:pPr>
        <w:pStyle w:val="Default"/>
        <w:rPr>
          <w:rFonts w:ascii="Times New Roman" w:cs="Times New Roman" w:hAnsi="Times New Roman" w:eastAsia="Times New Roman"/>
          <w:u w:val="single"/>
          <w:shd w:val="clear" w:color="auto" w:fill="fefffe"/>
        </w:rPr>
      </w:pPr>
    </w:p>
    <w:p>
      <w:pPr>
        <w:pStyle w:val="Default"/>
        <w:rPr>
          <w:rFonts w:ascii="Times New Roman" w:cs="Times New Roman" w:hAnsi="Times New Roman" w:eastAsia="Times New Roman"/>
          <w:shd w:val="clear" w:color="auto" w:fill="fefffe"/>
        </w:rPr>
      </w:pPr>
      <w:r>
        <w:rPr>
          <w:rFonts w:ascii="Times New Roman" w:hAnsi="Times New Roman"/>
          <w:shd w:val="clear" w:color="auto" w:fill="fefffe"/>
          <w:rtl w:val="0"/>
          <w:lang w:val="en-US"/>
        </w:rPr>
        <w:t xml:space="preserve">Brink, T. L. </w:t>
      </w:r>
      <w:r>
        <w:rPr>
          <w:rFonts w:ascii="Times New Roman" w:hAnsi="Times New Roman" w:hint="default"/>
          <w:shd w:val="clear" w:color="auto" w:fill="fefffe"/>
          <w:rtl w:val="0"/>
          <w:lang w:val="en-US"/>
        </w:rPr>
        <w:t>“</w:t>
      </w:r>
      <w:r>
        <w:rPr>
          <w:rFonts w:ascii="Times New Roman" w:hAnsi="Times New Roman"/>
          <w:shd w:val="clear" w:color="auto" w:fill="fefffe"/>
          <w:rtl w:val="0"/>
          <w:lang w:val="en-US"/>
        </w:rPr>
        <w:t xml:space="preserve">Inconsistency of Belief among Roman Catholic Girls: Concerning Religion, </w:t>
      </w:r>
      <w:r>
        <w:rPr>
          <w:rFonts w:ascii="Times New Roman" w:cs="Times New Roman" w:hAnsi="Times New Roman" w:eastAsia="Times New Roman"/>
          <w:shd w:val="clear" w:color="auto" w:fill="fefffe"/>
        </w:rPr>
        <w:tab/>
        <w:tab/>
        <w:tab/>
      </w:r>
      <w:r>
        <w:rPr>
          <w:rFonts w:ascii="Times New Roman" w:hAnsi="Times New Roman"/>
          <w:shd w:val="clear" w:color="auto" w:fill="fefffe"/>
          <w:rtl w:val="0"/>
          <w:lang w:val="en-US"/>
        </w:rPr>
        <w:t>Astrology, Reincarnation.</w:t>
      </w:r>
      <w:r>
        <w:rPr>
          <w:rFonts w:ascii="Times New Roman" w:hAnsi="Times New Roman" w:hint="default"/>
          <w:shd w:val="clear" w:color="auto" w:fill="fefffe"/>
          <w:rtl w:val="0"/>
          <w:lang w:val="en-US"/>
        </w:rPr>
        <w:t xml:space="preserve">” </w:t>
      </w:r>
      <w:r>
        <w:rPr>
          <w:rFonts w:ascii="Times New Roman" w:hAnsi="Times New Roman"/>
          <w:i w:val="1"/>
          <w:iCs w:val="1"/>
          <w:shd w:val="clear" w:color="auto" w:fill="fefffe"/>
          <w:rtl w:val="0"/>
          <w:lang w:val="en-US"/>
        </w:rPr>
        <w:t>Review of Religious Research</w:t>
      </w:r>
      <w:r>
        <w:rPr>
          <w:rFonts w:ascii="Times New Roman" w:hAnsi="Times New Roman"/>
          <w:shd w:val="clear" w:color="auto" w:fill="fefffe"/>
          <w:rtl w:val="0"/>
          <w:lang w:val="en-US"/>
        </w:rPr>
        <w:t>, vol. 20, no. 1, 1978, p. 82</w:t>
      </w:r>
      <w:r>
        <w:rPr>
          <w:rFonts w:ascii="Times New Roman" w:hAnsi="Times New Roman"/>
          <w:shd w:val="clear" w:color="auto" w:fill="fefffe"/>
          <w:rtl w:val="0"/>
          <w:lang w:val="en-US"/>
        </w:rPr>
        <w:t>-85.</w:t>
      </w:r>
    </w:p>
    <w:p>
      <w:pPr>
        <w:pStyle w:val="Default"/>
        <w:rPr>
          <w:rFonts w:ascii="Times New Roman" w:cs="Times New Roman" w:hAnsi="Times New Roman" w:eastAsia="Times New Roman"/>
          <w:u w:val="single"/>
          <w:shd w:val="clear" w:color="auto" w:fill="fefffe"/>
        </w:rPr>
      </w:pPr>
      <w:r>
        <w:rPr>
          <w:rFonts w:ascii="Times New Roman" w:hAnsi="Times New Roman" w:hint="default"/>
          <w:shd w:val="clear" w:color="auto" w:fill="fefffe"/>
          <w:rtl w:val="0"/>
          <w:lang w:val="en-US"/>
        </w:rPr>
        <w:t>‌</w:t>
      </w:r>
    </w:p>
    <w:p>
      <w:pPr>
        <w:pStyle w:val="Normal.0"/>
        <w:rPr>
          <w:sz w:val="22"/>
          <w:szCs w:val="22"/>
        </w:rPr>
      </w:pPr>
      <w:r>
        <w:rPr>
          <w:sz w:val="22"/>
          <w:szCs w:val="22"/>
          <w:rtl w:val="0"/>
          <w:lang w:val="en-US"/>
        </w:rPr>
        <w:t xml:space="preserve">Bryman, Alan. Quantity And Quality In Social Research. Taylor &amp; Francis, 2016. </w:t>
      </w:r>
    </w:p>
    <w:p>
      <w:pPr>
        <w:pStyle w:val="Normal.0"/>
        <w:rPr>
          <w:sz w:val="22"/>
          <w:szCs w:val="22"/>
        </w:rPr>
      </w:pPr>
    </w:p>
    <w:p>
      <w:pPr>
        <w:pStyle w:val="Normal.0"/>
        <w:rPr>
          <w:sz w:val="22"/>
          <w:szCs w:val="22"/>
        </w:rPr>
      </w:pPr>
      <w:r>
        <w:rPr>
          <w:sz w:val="22"/>
          <w:szCs w:val="22"/>
          <w:rtl w:val="0"/>
          <w:lang w:val="en-US"/>
        </w:rPr>
        <w:t>C</w:t>
      </w:r>
      <w:r>
        <w:rPr>
          <w:sz w:val="22"/>
          <w:szCs w:val="22"/>
          <w:rtl w:val="0"/>
          <w:lang w:val="en-US"/>
        </w:rPr>
        <w:t xml:space="preserve">reswell, John. </w:t>
      </w:r>
      <w:r>
        <w:rPr>
          <w:sz w:val="22"/>
          <w:szCs w:val="22"/>
          <w:rtl w:val="0"/>
          <w:lang w:val="en-US"/>
        </w:rPr>
        <w:t>“</w:t>
      </w:r>
      <w:r>
        <w:rPr>
          <w:sz w:val="22"/>
          <w:szCs w:val="22"/>
          <w:rtl w:val="0"/>
          <w:lang w:val="en-US"/>
        </w:rPr>
        <w:t>The Use of Theory.</w:t>
      </w:r>
      <w:r>
        <w:rPr>
          <w:sz w:val="22"/>
          <w:szCs w:val="22"/>
          <w:rtl w:val="0"/>
          <w:lang w:val="en-US"/>
        </w:rPr>
        <w:t xml:space="preserve">” </w:t>
      </w:r>
      <w:r>
        <w:rPr>
          <w:sz w:val="22"/>
          <w:szCs w:val="22"/>
          <w:rtl w:val="0"/>
          <w:lang w:val="en-US"/>
        </w:rPr>
        <w:t xml:space="preserve">Research Design: Qualitative, Quantitative, and </w:t>
      </w:r>
    </w:p>
    <w:p>
      <w:pPr>
        <w:pStyle w:val="Normal.0"/>
        <w:rPr>
          <w:sz w:val="22"/>
          <w:szCs w:val="22"/>
        </w:rPr>
      </w:pPr>
      <w:r>
        <w:rPr>
          <w:sz w:val="22"/>
          <w:szCs w:val="22"/>
        </w:rPr>
        <w:tab/>
      </w:r>
      <w:r>
        <w:rPr>
          <w:sz w:val="22"/>
          <w:szCs w:val="22"/>
          <w:rtl w:val="0"/>
          <w:lang w:val="en-US"/>
        </w:rPr>
        <w:t>Mixed Methods Approaches, by John Creswell, Los Angeles, Sage, 2009, pp. 49</w:t>
      </w:r>
      <w:r>
        <w:rPr>
          <w:sz w:val="22"/>
          <w:szCs w:val="22"/>
          <w:rtl w:val="0"/>
          <w:lang w:val="en-US"/>
        </w:rPr>
        <w:t>–</w:t>
      </w:r>
      <w:r>
        <w:rPr>
          <w:sz w:val="22"/>
          <w:szCs w:val="22"/>
          <w:rtl w:val="0"/>
          <w:lang w:val="en-US"/>
        </w:rPr>
        <w:t>69.</w:t>
      </w:r>
    </w:p>
    <w:p>
      <w:pPr>
        <w:pStyle w:val="Default"/>
        <w:rPr>
          <w:rFonts w:ascii="Times New Roman" w:cs="Times New Roman" w:hAnsi="Times New Roman" w:eastAsia="Times New Roman"/>
          <w:shd w:val="clear" w:color="auto" w:fill="fefffe"/>
        </w:rPr>
      </w:pPr>
      <w:r>
        <w:rPr>
          <w:rFonts w:ascii="Times New Roman" w:hAnsi="Times New Roman" w:hint="default"/>
          <w:shd w:val="clear" w:color="auto" w:fill="fefffe"/>
          <w:rtl w:val="0"/>
          <w:lang w:val="en-US"/>
        </w:rPr>
        <w:t>‌</w:t>
      </w:r>
    </w:p>
    <w:p>
      <w:pPr>
        <w:pStyle w:val="Normal.0"/>
        <w:rPr>
          <w:sz w:val="22"/>
          <w:szCs w:val="22"/>
        </w:rPr>
      </w:pPr>
      <w:r>
        <w:rPr>
          <w:sz w:val="22"/>
          <w:szCs w:val="22"/>
          <w:rtl w:val="0"/>
          <w:lang w:val="en-US"/>
        </w:rPr>
        <w:t>Hennink, Monique. Qualitative Research Methods. S.L., Sage Publications, 2020.</w:t>
      </w:r>
    </w:p>
    <w:p>
      <w:pPr>
        <w:pStyle w:val="Normal.0"/>
        <w:rPr>
          <w:sz w:val="22"/>
          <w:szCs w:val="22"/>
        </w:rPr>
      </w:pPr>
    </w:p>
    <w:p>
      <w:pPr>
        <w:pStyle w:val="Normal.0"/>
        <w:rPr>
          <w:sz w:val="22"/>
          <w:szCs w:val="22"/>
        </w:rPr>
      </w:pPr>
      <w:r>
        <w:rPr>
          <w:sz w:val="22"/>
          <w:szCs w:val="22"/>
          <w:rtl w:val="0"/>
          <w:lang w:val="en-US"/>
        </w:rPr>
        <w:t xml:space="preserve">Warwick, Donald, and Charles Lininger. The Sample Survey: Theory and Practice. </w:t>
      </w:r>
      <w:r>
        <w:rPr>
          <w:sz w:val="22"/>
          <w:szCs w:val="22"/>
        </w:rPr>
        <w:tab/>
        <w:tab/>
        <w:tab/>
        <w:tab/>
      </w:r>
      <w:r>
        <w:rPr>
          <w:sz w:val="22"/>
          <w:szCs w:val="22"/>
          <w:rtl w:val="0"/>
          <w:lang w:val="en-US"/>
        </w:rPr>
        <w:t>McGraw-Hill, 1975.</w:t>
      </w:r>
    </w:p>
    <w:p>
      <w:pPr>
        <w:pStyle w:val="Default"/>
        <w:rPr>
          <w:rFonts w:ascii="Times New Roman" w:cs="Times New Roman" w:hAnsi="Times New Roman" w:eastAsia="Times New Roman"/>
          <w:shd w:val="clear" w:color="auto" w:fill="fefffe"/>
        </w:rPr>
      </w:pPr>
      <w:r>
        <w:rPr>
          <w:rFonts w:ascii="Times New Roman" w:hAnsi="Times New Roman" w:hint="default"/>
          <w:shd w:val="clear" w:color="auto" w:fill="fefffe"/>
          <w:rtl w:val="0"/>
          <w:lang w:val="en-US"/>
        </w:rPr>
        <w:t>‌</w:t>
      </w:r>
    </w:p>
    <w:p>
      <w:pPr>
        <w:pStyle w:val="Default"/>
        <w:rPr>
          <w:rFonts w:ascii="Times New Roman" w:cs="Times New Roman" w:hAnsi="Times New Roman" w:eastAsia="Times New Roman"/>
          <w:shd w:val="clear" w:color="auto" w:fill="fefffe"/>
        </w:rPr>
      </w:pPr>
      <w:r>
        <w:rPr>
          <w:rFonts w:ascii="Times New Roman" w:hAnsi="Times New Roman"/>
          <w:shd w:val="clear" w:color="auto" w:fill="fefffe"/>
          <w:rtl w:val="0"/>
          <w:lang w:val="en-US"/>
        </w:rPr>
        <w:t xml:space="preserve">Walter, Tony, and Helen Waterhouse. </w:t>
      </w:r>
      <w:r>
        <w:rPr>
          <w:rFonts w:ascii="Times New Roman" w:hAnsi="Times New Roman" w:hint="default"/>
          <w:shd w:val="clear" w:color="auto" w:fill="fefffe"/>
          <w:rtl w:val="0"/>
          <w:lang w:val="en-US"/>
        </w:rPr>
        <w:t>“</w:t>
      </w:r>
      <w:r>
        <w:rPr>
          <w:rFonts w:ascii="Times New Roman" w:hAnsi="Times New Roman"/>
          <w:shd w:val="clear" w:color="auto" w:fill="fefffe"/>
          <w:rtl w:val="0"/>
          <w:lang w:val="en-US"/>
        </w:rPr>
        <w:t xml:space="preserve">A Very Private Belief: Reincarnation in Contemporary </w:t>
      </w:r>
      <w:r>
        <w:rPr>
          <w:rFonts w:ascii="Times New Roman" w:cs="Times New Roman" w:hAnsi="Times New Roman" w:eastAsia="Times New Roman"/>
          <w:shd w:val="clear" w:color="auto" w:fill="fefffe"/>
        </w:rPr>
        <w:tab/>
        <w:tab/>
        <w:tab/>
      </w:r>
      <w:r>
        <w:rPr>
          <w:rFonts w:ascii="Times New Roman" w:hAnsi="Times New Roman"/>
          <w:shd w:val="clear" w:color="auto" w:fill="fefffe"/>
          <w:rtl w:val="0"/>
          <w:lang w:val="en-US"/>
        </w:rPr>
        <w:t>England.</w:t>
      </w:r>
      <w:r>
        <w:rPr>
          <w:rFonts w:ascii="Times New Roman" w:hAnsi="Times New Roman" w:hint="default"/>
          <w:shd w:val="clear" w:color="auto" w:fill="fefffe"/>
          <w:rtl w:val="0"/>
          <w:lang w:val="en-US"/>
        </w:rPr>
        <w:t xml:space="preserve">” </w:t>
      </w:r>
      <w:r>
        <w:rPr>
          <w:rFonts w:ascii="Times New Roman" w:hAnsi="Times New Roman"/>
          <w:i w:val="1"/>
          <w:iCs w:val="1"/>
          <w:shd w:val="clear" w:color="auto" w:fill="fefffe"/>
          <w:rtl w:val="0"/>
          <w:lang w:val="en-US"/>
        </w:rPr>
        <w:t xml:space="preserve">Sociology of </w:t>
      </w:r>
      <w:r>
        <w:rPr>
          <w:rFonts w:ascii="Times New Roman" w:cs="Times New Roman" w:hAnsi="Times New Roman" w:eastAsia="Times New Roman"/>
          <w:i w:val="1"/>
          <w:iCs w:val="1"/>
          <w:shd w:val="clear" w:color="auto" w:fill="fefffe"/>
        </w:rPr>
        <w:tab/>
      </w:r>
      <w:r>
        <w:rPr>
          <w:rFonts w:ascii="Times New Roman" w:hAnsi="Times New Roman"/>
          <w:i w:val="1"/>
          <w:iCs w:val="1"/>
          <w:shd w:val="clear" w:color="auto" w:fill="fefffe"/>
          <w:rtl w:val="0"/>
          <w:lang w:val="en-US"/>
        </w:rPr>
        <w:t>Religion</w:t>
      </w:r>
      <w:r>
        <w:rPr>
          <w:rFonts w:ascii="Times New Roman" w:hAnsi="Times New Roman"/>
          <w:shd w:val="clear" w:color="auto" w:fill="fefffe"/>
          <w:rtl w:val="0"/>
          <w:lang w:val="en-US"/>
        </w:rPr>
        <w:t>, vol. 60, no. 2, 1999, p. 187</w:t>
      </w:r>
      <w:r>
        <w:rPr>
          <w:rFonts w:ascii="Times New Roman" w:hAnsi="Times New Roman"/>
          <w:shd w:val="clear" w:color="auto" w:fill="fefffe"/>
          <w:rtl w:val="0"/>
          <w:lang w:val="en-US"/>
        </w:rPr>
        <w:t>-197.</w:t>
      </w:r>
    </w:p>
    <w:p>
      <w:pPr>
        <w:pStyle w:val="Default"/>
        <w:rPr>
          <w:rFonts w:ascii="Times New Roman" w:cs="Times New Roman" w:hAnsi="Times New Roman" w:eastAsia="Times New Roman"/>
          <w:shd w:val="clear" w:color="auto" w:fill="fefffe"/>
        </w:rPr>
      </w:pPr>
      <w:r>
        <w:rPr>
          <w:rFonts w:ascii="Times New Roman" w:hAnsi="Times New Roman" w:hint="default"/>
          <w:shd w:val="clear" w:color="auto" w:fill="fefffe"/>
          <w:rtl w:val="0"/>
          <w:lang w:val="en-US"/>
        </w:rPr>
        <w:t>‌</w:t>
      </w:r>
    </w:p>
    <w:p>
      <w:pPr>
        <w:pStyle w:val="Normal.0"/>
        <w:spacing w:before="100" w:after="100"/>
        <w:rPr>
          <w:sz w:val="22"/>
          <w:szCs w:val="22"/>
          <w:lang w:val="ar-SA" w:bidi="ar-SA"/>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pPr>
      <w:r>
        <w:rPr>
          <w:rFonts w:ascii="Times New Roman" w:cs="Times New Roman" w:hAnsi="Times New Roman" w:eastAsia="Times New Roman"/>
        </w:rPr>
      </w:r>
    </w:p>
    <w:sectPr>
      <w:headerReference w:type="default" r:id="rId5"/>
      <w:headerReference w:type="first" r:id="rId6"/>
      <w:footerReference w:type="default" r:id="rId7"/>
      <w:footerReference w:type="first" r:id="rId8"/>
      <w:pgSz w:w="12240" w:h="15840" w:orient="portrait"/>
      <w:pgMar w:top="567" w:right="1797" w:bottom="567" w:left="1797" w:header="567" w:footer="720"/>
      <w:pgNumType w:start="1"/>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rebuchet MS">
    <w:charset w:val="00"/>
    <w:family w:val="roman"/>
    <w:pitch w:val="default"/>
  </w:font>
  <w:font w:name="Helvetica Neue">
    <w:charset w:val="00"/>
    <w:family w:val="roman"/>
    <w:pitch w:val="default"/>
  </w:font>
  <w:font w:name="Georgia">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8626"/>
        <w:tab w:val="clear" w:pos="9026"/>
      </w:tabs>
    </w:pPr>
    <w:r>
      <w:rPr>
        <w:rFonts w:ascii="Trebuchet MS" w:hAnsi="Trebuchet MS"/>
        <w:sz w:val="18"/>
        <w:szCs w:val="18"/>
        <w:rtl w:val="0"/>
      </w:rPr>
      <w:t xml:space="preserve"> </w:t>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lang w:val="en-US"/>
        </w:rPr>
        <w:t xml:space="preserve"> Monique </w:t>
      </w:r>
      <w:r>
        <w:rPr>
          <w:rFonts w:cs="Arial Unicode MS" w:eastAsia="Arial Unicode MS"/>
          <w:rtl w:val="0"/>
          <w:lang w:val="en-US"/>
        </w:rPr>
        <w:t>Hennink. Qualitative Research Methods. S.L., Sage Publications, 2020.</w:t>
      </w:r>
      <w:r>
        <w:rPr>
          <w:rFonts w:cs="Arial Unicode MS" w:eastAsia="Arial Unicode MS"/>
          <w:rtl w:val="0"/>
          <w:lang w:val="en-US"/>
        </w:rPr>
        <w:t xml:space="preserve"> p. 41.</w:t>
      </w:r>
    </w:p>
  </w:footnote>
  <w:footnote w:id="2">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en-US"/>
        </w:rPr>
        <w:t>Hennink. Qualitative Research Methods. p.</w:t>
      </w:r>
      <w:r>
        <w:rPr>
          <w:rFonts w:cs="Arial Unicode MS" w:eastAsia="Arial Unicode MS"/>
          <w:rtl w:val="0"/>
          <w:lang w:val="en-US"/>
        </w:rPr>
        <w:t xml:space="preserve"> 41.</w:t>
      </w:r>
    </w:p>
  </w:footnote>
  <w:footnote w:id="3">
    <w:p>
      <w:pPr>
        <w:pStyle w:val="Footnote"/>
        <w:bidi w:val="0"/>
      </w:pPr>
      <w:r>
        <w:rPr>
          <w:vertAlign w:val="superscript"/>
        </w:rPr>
        <w:footnoteRef/>
      </w:r>
      <w:r>
        <w:rPr>
          <w:rFonts w:cs="Arial Unicode MS" w:eastAsia="Arial Unicode MS"/>
          <w:rtl w:val="0"/>
          <w:lang w:val="en-US"/>
        </w:rPr>
        <w:t xml:space="preserve"> Alan Bryman</w:t>
      </w:r>
      <w:r>
        <w:rPr>
          <w:rFonts w:cs="Arial Unicode MS" w:eastAsia="Arial Unicode MS"/>
          <w:rtl w:val="0"/>
          <w:lang w:val="en-US"/>
        </w:rPr>
        <w:t>. Quantity And Quality In Social Research. Taylor &amp; Francis, 2016.</w:t>
      </w:r>
      <w:r>
        <w:rPr>
          <w:rFonts w:cs="Arial Unicode MS" w:eastAsia="Arial Unicode MS"/>
          <w:rtl w:val="0"/>
          <w:lang w:val="en-US"/>
        </w:rPr>
        <w:t xml:space="preserve"> p. 158</w:t>
      </w:r>
    </w:p>
  </w:footnote>
  <w:footnote w:id="4">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en-US"/>
        </w:rPr>
        <w:t>Donald Warwick and Charles Lininger. The Sample Survey: Theory and Practice. McGraw-Hill, 1975. p. 12.</w:t>
      </w:r>
    </w:p>
  </w:footnote>
  <w:footnote w:id="5">
    <w:p>
      <w:pPr>
        <w:pStyle w:val="Footnote"/>
        <w:bidi w:val="0"/>
      </w:pPr>
      <w:r>
        <w:rPr>
          <w:vertAlign w:val="superscript"/>
        </w:rPr>
        <w:footnoteRef/>
      </w:r>
      <w:r>
        <w:rPr>
          <w:rFonts w:cs="Arial Unicode MS" w:eastAsia="Arial Unicode MS"/>
          <w:rtl w:val="0"/>
          <w:lang w:val="en-US"/>
        </w:rPr>
        <w:t xml:space="preserve"> T.L. </w:t>
      </w:r>
      <w:r>
        <w:rPr>
          <w:rFonts w:cs="Arial Unicode MS" w:eastAsia="Arial Unicode MS"/>
          <w:rtl w:val="0"/>
        </w:rPr>
        <w:t>Brink</w:t>
      </w:r>
      <w:r>
        <w:rPr>
          <w:rFonts w:cs="Arial Unicode MS" w:eastAsia="Arial Unicode MS"/>
          <w:rtl w:val="0"/>
          <w:lang w:val="en-US"/>
        </w:rPr>
        <w:t xml:space="preserve">. </w:t>
      </w:r>
      <w:r>
        <w:rPr>
          <w:rFonts w:cs="Arial Unicode MS" w:eastAsia="Arial Unicode MS" w:hint="default"/>
          <w:rtl w:val="1"/>
          <w:lang w:val="ar-SA" w:bidi="ar-SA"/>
        </w:rPr>
        <w:t>“</w:t>
      </w:r>
      <w:r>
        <w:rPr>
          <w:rFonts w:cs="Arial Unicode MS" w:eastAsia="Arial Unicode MS"/>
          <w:rtl w:val="0"/>
          <w:lang w:val="en-US"/>
        </w:rPr>
        <w:t xml:space="preserve">Inconsistency of Belief among Roman Catholic Girls: Concerning Religion, </w:t>
      </w:r>
      <w:r>
        <w:tab/>
        <w:tab/>
      </w:r>
      <w:r>
        <w:rPr>
          <w:rFonts w:cs="Arial Unicode MS" w:eastAsia="Arial Unicode MS"/>
          <w:rtl w:val="0"/>
        </w:rPr>
        <w:t>Astrology, Reincarnation.</w:t>
      </w:r>
      <w:r>
        <w:rPr>
          <w:rFonts w:cs="Arial Unicode MS" w:eastAsia="Arial Unicode MS" w:hint="default"/>
          <w:rtl w:val="0"/>
        </w:rPr>
        <w:t xml:space="preserve">” </w:t>
      </w:r>
      <w:r>
        <w:rPr>
          <w:rFonts w:cs="Arial Unicode MS" w:eastAsia="Arial Unicode MS"/>
          <w:i w:val="1"/>
          <w:iCs w:val="1"/>
          <w:rtl w:val="0"/>
          <w:lang w:val="en-US"/>
        </w:rPr>
        <w:t>Review of Religious Research</w:t>
      </w:r>
      <w:r>
        <w:rPr>
          <w:rFonts w:cs="Arial Unicode MS" w:eastAsia="Arial Unicode MS"/>
          <w:rtl w:val="0"/>
        </w:rPr>
        <w:t>, vol. 20, no. 1, 1978, p. 82</w:t>
      </w:r>
      <w:r>
        <w:rPr>
          <w:rFonts w:cs="Arial Unicode MS" w:eastAsia="Arial Unicode MS"/>
          <w:rtl w:val="0"/>
          <w:lang w:val="en-US"/>
        </w:rPr>
        <w:t>.</w:t>
      </w:r>
    </w:p>
  </w:footnote>
  <w:footnote w:id="6">
    <w:p>
      <w:pPr>
        <w:pStyle w:val="Footnote"/>
        <w:bidi w:val="0"/>
      </w:pPr>
      <w:r>
        <w:footnoteRef/>
      </w:r>
      <w:r>
        <w:rPr>
          <w:rFonts w:cs="Arial Unicode MS" w:eastAsia="Arial Unicode MS"/>
          <w:rtl w:val="0"/>
          <w:lang w:val="en-US"/>
        </w:rPr>
        <w:t xml:space="preserve"> </w:t>
      </w:r>
      <w:r>
        <w:rPr>
          <w:rFonts w:cs="Arial Unicode MS" w:eastAsia="Arial Unicode MS"/>
          <w:rtl w:val="0"/>
          <w:lang w:val="en-US"/>
        </w:rPr>
        <w:t xml:space="preserve">Walter, Tony, and Helen Waterhouse. </w:t>
      </w:r>
      <w:r>
        <w:rPr>
          <w:rFonts w:cs="Arial Unicode MS" w:eastAsia="Arial Unicode MS" w:hint="default"/>
          <w:rtl w:val="1"/>
          <w:lang w:val="ar-SA" w:bidi="ar-SA"/>
        </w:rPr>
        <w:t>“</w:t>
      </w:r>
      <w:r>
        <w:rPr>
          <w:rFonts w:cs="Arial Unicode MS" w:eastAsia="Arial Unicode MS"/>
          <w:rtl w:val="0"/>
          <w:lang w:val="en-US"/>
        </w:rPr>
        <w:t>A Very Private Belief: Reincarnation in Contemporary England.</w:t>
      </w:r>
      <w:r>
        <w:rPr>
          <w:rFonts w:cs="Arial Unicode MS" w:eastAsia="Arial Unicode MS" w:hint="default"/>
          <w:rtl w:val="0"/>
        </w:rPr>
        <w:t xml:space="preserve">” </w:t>
      </w:r>
      <w:r>
        <w:rPr>
          <w:rFonts w:cs="Arial Unicode MS" w:eastAsia="Arial Unicode MS"/>
          <w:rtl w:val="0"/>
          <w:lang w:val="en-US"/>
        </w:rPr>
        <w:t>Sociology of Religion, vol. 60, no. 2, 1999, p. 187</w:t>
      </w:r>
      <w:r>
        <w:rPr>
          <w:rFonts w:cs="Arial Unicode MS" w:eastAsia="Arial Unicode MS"/>
          <w:rtl w:val="0"/>
          <w:lang w:val="en-US"/>
        </w:rPr>
        <w:t>.</w:t>
      </w:r>
    </w:p>
  </w:footnote>
  <w:footnote w:id="7">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de-DE"/>
        </w:rPr>
        <w:t>Walter an</w:t>
      </w:r>
      <w:r>
        <w:rPr>
          <w:rFonts w:cs="Arial Unicode MS" w:eastAsia="Arial Unicode MS"/>
          <w:rtl w:val="0"/>
          <w:lang w:val="en-US"/>
        </w:rPr>
        <w:t xml:space="preserve">d </w:t>
      </w:r>
      <w:r>
        <w:rPr>
          <w:rFonts w:cs="Arial Unicode MS" w:eastAsia="Arial Unicode MS"/>
          <w:rtl w:val="0"/>
          <w:lang w:val="en-US"/>
        </w:rPr>
        <w:t xml:space="preserve">Waterhouse. </w:t>
      </w:r>
      <w:r>
        <w:rPr>
          <w:rFonts w:cs="Arial Unicode MS" w:eastAsia="Arial Unicode MS" w:hint="default"/>
          <w:rtl w:val="1"/>
          <w:lang w:val="ar-SA" w:bidi="ar-SA"/>
        </w:rPr>
        <w:t>“</w:t>
      </w:r>
      <w:r>
        <w:rPr>
          <w:rFonts w:cs="Arial Unicode MS" w:eastAsia="Arial Unicode MS"/>
          <w:rtl w:val="0"/>
          <w:lang w:val="en-US"/>
        </w:rPr>
        <w:t>A Very Private Belie</w:t>
      </w:r>
      <w:r>
        <w:rPr>
          <w:rFonts w:cs="Arial Unicode MS" w:eastAsia="Arial Unicode MS"/>
          <w:rtl w:val="0"/>
          <w:lang w:val="en-US"/>
        </w:rPr>
        <w:t>f.</w:t>
      </w:r>
      <w:r>
        <w:rPr>
          <w:rFonts w:cs="Arial Unicode MS" w:eastAsia="Arial Unicode MS" w:hint="default"/>
          <w:rtl w:val="0"/>
          <w:lang w:val="en-US"/>
        </w:rPr>
        <w:t xml:space="preserve">” </w:t>
      </w:r>
      <w:r>
        <w:rPr>
          <w:rFonts w:cs="Arial Unicode MS" w:eastAsia="Arial Unicode MS"/>
          <w:rtl w:val="0"/>
        </w:rPr>
        <w:t xml:space="preserve">p. </w:t>
      </w:r>
      <w:r>
        <w:rPr>
          <w:rFonts w:cs="Arial Unicode MS" w:eastAsia="Arial Unicode MS"/>
          <w:rtl w:val="0"/>
          <w:lang w:val="en-US"/>
        </w:rPr>
        <w:t>189.</w:t>
      </w:r>
    </w:p>
  </w:footnote>
  <w:footnote w:id="8">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en-US"/>
        </w:rPr>
        <w:t xml:space="preserve">Walter and Waterhouse. </w:t>
      </w:r>
      <w:r>
        <w:rPr>
          <w:rFonts w:cs="Arial Unicode MS" w:eastAsia="Arial Unicode MS" w:hint="default"/>
          <w:rtl w:val="1"/>
          <w:lang w:val="ar-SA" w:bidi="ar-SA"/>
        </w:rPr>
        <w:t>“</w:t>
      </w:r>
      <w:r>
        <w:rPr>
          <w:rFonts w:cs="Arial Unicode MS" w:eastAsia="Arial Unicode MS"/>
          <w:rtl w:val="0"/>
          <w:lang w:val="en-US"/>
        </w:rPr>
        <w:t>A Very Private Belief.</w:t>
      </w:r>
      <w:r>
        <w:rPr>
          <w:rFonts w:cs="Arial Unicode MS" w:eastAsia="Arial Unicode MS" w:hint="default"/>
          <w:rtl w:val="0"/>
        </w:rPr>
        <w:t xml:space="preserve">” </w:t>
      </w:r>
      <w:r>
        <w:rPr>
          <w:rFonts w:cs="Arial Unicode MS" w:eastAsia="Arial Unicode MS"/>
          <w:rtl w:val="0"/>
        </w:rPr>
        <w:t>p. 189</w:t>
      </w:r>
      <w:r>
        <w:rPr>
          <w:rFonts w:cs="Arial Unicode MS" w:eastAsia="Arial Unicode MS"/>
          <w:rtl w:val="0"/>
          <w:lang w:val="en-US"/>
        </w:rPr>
        <w:t>.</w:t>
      </w:r>
    </w:p>
  </w:footnote>
  <w:footnote w:id="9">
    <w:p>
      <w:pPr>
        <w:pStyle w:val="Footnote"/>
        <w:bidi w:val="0"/>
      </w:pPr>
      <w:r>
        <w:rPr>
          <w:vertAlign w:val="superscript"/>
        </w:rPr>
        <w:footnoteRef/>
      </w:r>
      <w:r>
        <w:rPr>
          <w:rFonts w:cs="Arial Unicode MS" w:eastAsia="Arial Unicode MS"/>
          <w:rtl w:val="0"/>
          <w:lang w:val="en-US"/>
        </w:rPr>
        <w:t xml:space="preserve"> Bryman. Quantity And Quality. p. 158</w:t>
      </w:r>
      <w:r>
        <w:rPr>
          <w:rFonts w:cs="Arial Unicode MS" w:eastAsia="Arial Unicode MS"/>
          <w:rtl w:val="0"/>
          <w:lang w:val="en-US"/>
        </w:rPr>
        <w:t>.</w:t>
      </w:r>
    </w:p>
  </w:footnote>
  <w:footnote w:id="10">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en-US"/>
        </w:rPr>
        <w:t>Hennink. Qualitative Research Methods. p. 4</w:t>
      </w:r>
      <w:r>
        <w:rPr>
          <w:rFonts w:cs="Arial Unicode MS" w:eastAsia="Arial Unicode MS"/>
          <w:rtl w:val="0"/>
          <w:lang w:val="en-US"/>
        </w:rPr>
        <w:t>5.</w:t>
      </w:r>
    </w:p>
  </w:footnote>
  <w:footnote w:id="11">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rPr>
        <w:t>Brink</w:t>
      </w:r>
      <w:r>
        <w:rPr>
          <w:rFonts w:cs="Arial Unicode MS" w:eastAsia="Arial Unicode MS"/>
          <w:rtl w:val="0"/>
          <w:lang w:val="en-US"/>
        </w:rPr>
        <w:t xml:space="preserve">. </w:t>
      </w:r>
      <w:r>
        <w:rPr>
          <w:rFonts w:cs="Arial Unicode MS" w:eastAsia="Arial Unicode MS" w:hint="default"/>
          <w:rtl w:val="1"/>
          <w:lang w:val="ar-SA" w:bidi="ar-SA"/>
        </w:rPr>
        <w:t>“</w:t>
      </w:r>
      <w:r>
        <w:rPr>
          <w:rFonts w:cs="Arial Unicode MS" w:eastAsia="Arial Unicode MS"/>
          <w:rtl w:val="0"/>
          <w:lang w:val="en-US"/>
        </w:rPr>
        <w:t>Inconsistency of Belief</w:t>
      </w:r>
      <w:r>
        <w:rPr>
          <w:rFonts w:cs="Arial Unicode MS" w:eastAsia="Arial Unicode MS"/>
          <w:rtl w:val="0"/>
          <w:lang w:val="en-US"/>
        </w:rPr>
        <w:t>.</w:t>
      </w:r>
      <w:r>
        <w:rPr>
          <w:rFonts w:cs="Arial Unicode MS" w:eastAsia="Arial Unicode MS" w:hint="default"/>
          <w:rtl w:val="0"/>
          <w:lang w:val="en-US"/>
        </w:rPr>
        <w:t>”</w:t>
      </w:r>
      <w:r>
        <w:rPr>
          <w:rFonts w:cs="Arial Unicode MS" w:eastAsia="Arial Unicode MS"/>
          <w:rtl w:val="0"/>
        </w:rPr>
        <w:t xml:space="preserve"> p. 82</w:t>
      </w:r>
      <w:r>
        <w:rPr>
          <w:rFonts w:cs="Arial Unicode MS" w:eastAsia="Arial Unicode MS"/>
          <w:rtl w:val="0"/>
          <w:lang w:val="en-US"/>
        </w:rPr>
        <w:t>.</w:t>
      </w:r>
    </w:p>
  </w:footnote>
  <w:footnote w:id="12">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en-US"/>
        </w:rPr>
        <w:t xml:space="preserve">Walter and Waterhouse. </w:t>
      </w:r>
      <w:r>
        <w:rPr>
          <w:rFonts w:cs="Arial Unicode MS" w:eastAsia="Arial Unicode MS" w:hint="default"/>
          <w:rtl w:val="1"/>
          <w:lang w:val="ar-SA" w:bidi="ar-SA"/>
        </w:rPr>
        <w:t>“</w:t>
      </w:r>
      <w:r>
        <w:rPr>
          <w:rFonts w:cs="Arial Unicode MS" w:eastAsia="Arial Unicode MS"/>
          <w:rtl w:val="0"/>
          <w:lang w:val="en-US"/>
        </w:rPr>
        <w:t>A Very Private Belief.</w:t>
      </w:r>
      <w:r>
        <w:rPr>
          <w:rFonts w:cs="Arial Unicode MS" w:eastAsia="Arial Unicode MS" w:hint="default"/>
          <w:rtl w:val="0"/>
        </w:rPr>
        <w:t xml:space="preserve">” </w:t>
      </w:r>
      <w:r>
        <w:rPr>
          <w:rFonts w:cs="Arial Unicode MS" w:eastAsia="Arial Unicode MS"/>
          <w:rtl w:val="0"/>
        </w:rPr>
        <w:t>p. 189</w:t>
      </w:r>
      <w:r>
        <w:rPr>
          <w:rFonts w:cs="Arial Unicode MS" w:eastAsia="Arial Unicode MS"/>
          <w:rtl w:val="0"/>
          <w:lang w:val="en-US"/>
        </w:rPr>
        <w:t>.</w:t>
      </w:r>
    </w:p>
  </w:footnote>
  <w:footnote w:id="13">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en-US"/>
        </w:rPr>
        <w:t xml:space="preserve">Walter and Waterhouse. </w:t>
      </w:r>
      <w:r>
        <w:rPr>
          <w:rFonts w:cs="Arial Unicode MS" w:eastAsia="Arial Unicode MS" w:hint="default"/>
          <w:rtl w:val="1"/>
          <w:lang w:val="ar-SA" w:bidi="ar-SA"/>
        </w:rPr>
        <w:t>“</w:t>
      </w:r>
      <w:r>
        <w:rPr>
          <w:rFonts w:cs="Arial Unicode MS" w:eastAsia="Arial Unicode MS"/>
          <w:rtl w:val="0"/>
          <w:lang w:val="en-US"/>
        </w:rPr>
        <w:t>A Very Private Belief.</w:t>
      </w:r>
      <w:r>
        <w:rPr>
          <w:rFonts w:cs="Arial Unicode MS" w:eastAsia="Arial Unicode MS" w:hint="default"/>
          <w:rtl w:val="0"/>
        </w:rPr>
        <w:t xml:space="preserve">” </w:t>
      </w:r>
      <w:r>
        <w:rPr>
          <w:rFonts w:cs="Arial Unicode MS" w:eastAsia="Arial Unicode MS"/>
          <w:rtl w:val="0"/>
        </w:rPr>
        <w:t>p. 189</w:t>
      </w:r>
      <w:r>
        <w:rPr>
          <w:rFonts w:cs="Arial Unicode MS" w:eastAsia="Arial Unicode MS"/>
          <w:rtl w:val="0"/>
          <w:lang w:val="en-US"/>
        </w:rPr>
        <w:t>.</w:t>
      </w:r>
    </w:p>
  </w:footnote>
  <w:footnote w:id="14">
    <w:p>
      <w:pPr>
        <w:pStyle w:val="Footnote"/>
        <w:bidi w:val="0"/>
      </w:pPr>
      <w:r>
        <w:rPr>
          <w:vertAlign w:val="superscript"/>
        </w:rPr>
        <w:footnoteRef/>
      </w:r>
      <w:r>
        <w:rPr>
          <w:rFonts w:cs="Arial Unicode MS" w:eastAsia="Arial Unicode MS"/>
          <w:rtl w:val="0"/>
          <w:lang w:val="en-US"/>
        </w:rPr>
        <w:t xml:space="preserve"> John C</w:t>
      </w:r>
      <w:r>
        <w:rPr>
          <w:rFonts w:cs="Arial Unicode MS" w:eastAsia="Arial Unicode MS"/>
          <w:rtl w:val="0"/>
          <w:lang w:val="en-US"/>
        </w:rPr>
        <w:t>reswell</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The Use of Theory.</w:t>
      </w:r>
      <w:r>
        <w:rPr>
          <w:rFonts w:cs="Arial Unicode MS" w:eastAsia="Arial Unicode MS" w:hint="default"/>
          <w:rtl w:val="0"/>
        </w:rPr>
        <w:t xml:space="preserve">” </w:t>
      </w:r>
      <w:r>
        <w:rPr>
          <w:rFonts w:cs="Arial Unicode MS" w:eastAsia="Arial Unicode MS"/>
          <w:rtl w:val="0"/>
          <w:lang w:val="en-US"/>
        </w:rPr>
        <w:t xml:space="preserve">Research Design: Qualitative, Quantitative, and </w:t>
      </w:r>
      <w:r>
        <w:rPr>
          <w:rFonts w:cs="Arial Unicode MS" w:eastAsia="Arial Unicode MS"/>
          <w:rtl w:val="0"/>
          <w:lang w:val="en-US"/>
        </w:rPr>
        <w:t>M</w:t>
      </w:r>
      <w:r>
        <w:rPr>
          <w:rFonts w:cs="Arial Unicode MS" w:eastAsia="Arial Unicode MS"/>
          <w:rtl w:val="0"/>
          <w:lang w:val="en-US"/>
        </w:rPr>
        <w:t>ixed Methods Approaches, by John Creswell, Los Angeles, Sage, 2009, p</w:t>
      </w:r>
      <w:r>
        <w:rPr>
          <w:rFonts w:cs="Arial Unicode MS" w:eastAsia="Arial Unicode MS"/>
          <w:rtl w:val="0"/>
          <w:lang w:val="en-US"/>
        </w:rPr>
        <w:t>. 53</w:t>
      </w:r>
      <w:r>
        <w:rPr>
          <w:rFonts w:cs="Arial Unicode MS" w:eastAsia="Arial Unicode MS"/>
          <w:rtl w:val="0"/>
        </w:rPr>
        <w:t>.</w:t>
      </w:r>
    </w:p>
  </w:footnote>
  <w:footnote w:id="15">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rPr>
        <w:t xml:space="preserve">Brink. </w:t>
      </w:r>
      <w:r>
        <w:rPr>
          <w:rFonts w:cs="Arial Unicode MS" w:eastAsia="Arial Unicode MS" w:hint="default"/>
          <w:rtl w:val="1"/>
          <w:lang w:val="ar-SA" w:bidi="ar-SA"/>
        </w:rPr>
        <w:t>“</w:t>
      </w:r>
      <w:r>
        <w:rPr>
          <w:rFonts w:cs="Arial Unicode MS" w:eastAsia="Arial Unicode MS"/>
          <w:rtl w:val="0"/>
          <w:lang w:val="en-US"/>
        </w:rPr>
        <w:t>Inconsistency of Belief.</w:t>
      </w:r>
      <w:r>
        <w:rPr>
          <w:rFonts w:cs="Arial Unicode MS" w:eastAsia="Arial Unicode MS" w:hint="default"/>
          <w:rtl w:val="0"/>
        </w:rPr>
        <w:t xml:space="preserve">” </w:t>
      </w:r>
      <w:r>
        <w:rPr>
          <w:rFonts w:cs="Arial Unicode MS" w:eastAsia="Arial Unicode MS"/>
          <w:rtl w:val="0"/>
        </w:rPr>
        <w:t xml:space="preserve">p. </w:t>
      </w:r>
      <w:r>
        <w:rPr>
          <w:rFonts w:cs="Arial Unicode MS" w:eastAsia="Arial Unicode MS"/>
          <w:rtl w:val="0"/>
          <w:lang w:val="en-US"/>
        </w:rPr>
        <w:t>85</w:t>
      </w:r>
      <w:r>
        <w:rPr>
          <w:rFonts w:cs="Arial Unicode MS" w:eastAsia="Arial Unicode MS"/>
          <w:rtl w:val="0"/>
        </w:rPr>
        <w:t>.</w:t>
      </w:r>
    </w:p>
  </w:footnote>
  <w:footnote w:id="16">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en-US"/>
        </w:rPr>
        <w:t xml:space="preserve">Walter and Waterhouse. </w:t>
      </w:r>
      <w:r>
        <w:rPr>
          <w:rFonts w:cs="Arial Unicode MS" w:eastAsia="Arial Unicode MS" w:hint="default"/>
          <w:rtl w:val="1"/>
          <w:lang w:val="ar-SA" w:bidi="ar-SA"/>
        </w:rPr>
        <w:t>“</w:t>
      </w:r>
      <w:r>
        <w:rPr>
          <w:rFonts w:cs="Arial Unicode MS" w:eastAsia="Arial Unicode MS"/>
          <w:rtl w:val="0"/>
          <w:lang w:val="en-US"/>
        </w:rPr>
        <w:t>A Very Private Belief.</w:t>
      </w:r>
      <w:r>
        <w:rPr>
          <w:rFonts w:cs="Arial Unicode MS" w:eastAsia="Arial Unicode MS" w:hint="default"/>
          <w:rtl w:val="0"/>
        </w:rPr>
        <w:t xml:space="preserve">” </w:t>
      </w:r>
      <w:r>
        <w:rPr>
          <w:rFonts w:cs="Arial Unicode MS" w:eastAsia="Arial Unicode MS"/>
          <w:rtl w:val="0"/>
        </w:rPr>
        <w:t>p. 18</w:t>
      </w:r>
      <w:r>
        <w:rPr>
          <w:rFonts w:cs="Arial Unicode MS" w:eastAsia="Arial Unicode MS"/>
          <w:rtl w:val="0"/>
          <w:lang w:val="en-US"/>
        </w:rPr>
        <w:t>8.</w:t>
      </w:r>
    </w:p>
  </w:footnote>
  <w:footnote w:id="17">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en-US"/>
        </w:rPr>
        <w:t xml:space="preserve">Walter and Waterhouse. </w:t>
      </w:r>
      <w:r>
        <w:rPr>
          <w:rFonts w:cs="Arial Unicode MS" w:eastAsia="Arial Unicode MS" w:hint="default"/>
          <w:rtl w:val="1"/>
          <w:lang w:val="ar-SA" w:bidi="ar-SA"/>
        </w:rPr>
        <w:t>“</w:t>
      </w:r>
      <w:r>
        <w:rPr>
          <w:rFonts w:cs="Arial Unicode MS" w:eastAsia="Arial Unicode MS"/>
          <w:rtl w:val="0"/>
          <w:lang w:val="en-US"/>
        </w:rPr>
        <w:t>A Very Private Belief.</w:t>
      </w:r>
      <w:r>
        <w:rPr>
          <w:rFonts w:cs="Arial Unicode MS" w:eastAsia="Arial Unicode MS" w:hint="default"/>
          <w:rtl w:val="0"/>
        </w:rPr>
        <w:t xml:space="preserve">” </w:t>
      </w:r>
      <w:r>
        <w:rPr>
          <w:rFonts w:cs="Arial Unicode MS" w:eastAsia="Arial Unicode MS"/>
          <w:rtl w:val="0"/>
        </w:rPr>
        <w:t>p. 18</w:t>
      </w:r>
      <w:r>
        <w:rPr>
          <w:rFonts w:cs="Arial Unicode MS" w:eastAsia="Arial Unicode MS"/>
          <w:rtl w:val="0"/>
          <w:lang w:val="en-US"/>
        </w:rPr>
        <w:t>8.</w:t>
      </w:r>
    </w:p>
  </w:footnote>
  <w:footnote w:id="18">
    <w:p>
      <w:pPr>
        <w:pStyle w:val="Footnote"/>
        <w:bidi w:val="0"/>
      </w:pPr>
      <w:r>
        <w:rPr>
          <w:vertAlign w:val="superscript"/>
        </w:rPr>
        <w:footnoteRef/>
      </w:r>
      <w:r>
        <w:rPr>
          <w:rFonts w:cs="Arial Unicode MS" w:eastAsia="Arial Unicode MS"/>
          <w:rtl w:val="0"/>
          <w:lang w:val="en-US"/>
        </w:rPr>
        <w:t xml:space="preserve"> Walter and Waterhouse. </w:t>
      </w:r>
      <w:r>
        <w:rPr>
          <w:rFonts w:cs="Arial Unicode MS" w:eastAsia="Arial Unicode MS" w:hint="default"/>
          <w:rtl w:val="1"/>
          <w:lang w:val="ar-SA" w:bidi="ar-SA"/>
        </w:rPr>
        <w:t>“</w:t>
      </w:r>
      <w:r>
        <w:rPr>
          <w:rFonts w:cs="Arial Unicode MS" w:eastAsia="Arial Unicode MS"/>
          <w:rtl w:val="0"/>
          <w:lang w:val="en-US"/>
        </w:rPr>
        <w:t>A Very Private Belief.</w:t>
      </w:r>
      <w:r>
        <w:rPr>
          <w:rFonts w:cs="Arial Unicode MS" w:eastAsia="Arial Unicode MS" w:hint="default"/>
          <w:rtl w:val="0"/>
        </w:rPr>
        <w:t xml:space="preserve">” </w:t>
      </w:r>
      <w:r>
        <w:rPr>
          <w:rFonts w:cs="Arial Unicode MS" w:eastAsia="Arial Unicode MS"/>
          <w:rtl w:val="0"/>
        </w:rPr>
        <w:t>p. 1</w:t>
      </w:r>
      <w:r>
        <w:rPr>
          <w:rFonts w:cs="Arial Unicode MS" w:eastAsia="Arial Unicode MS"/>
          <w:rtl w:val="0"/>
          <w:lang w:val="en-US"/>
        </w:rPr>
        <w:t>92.</w:t>
      </w:r>
    </w:p>
  </w:footnote>
  <w:footnote w:id="19">
    <w:p>
      <w:pPr>
        <w:pStyle w:val="Footnote"/>
        <w:bidi w:val="0"/>
      </w:pPr>
      <w:r>
        <w:rPr>
          <w:vertAlign w:val="superscript"/>
        </w:rPr>
        <w:footnoteRef/>
      </w:r>
      <w:r>
        <w:rPr>
          <w:vertAlign w:val="superscript"/>
        </w:rPr>
        <w:footnoteRef/>
      </w:r>
      <w:r>
        <w:rPr>
          <w:rFonts w:cs="Arial Unicode MS" w:eastAsia="Arial Unicode MS"/>
          <w:rtl w:val="0"/>
          <w:lang w:val="en-US"/>
        </w:rPr>
        <w:t xml:space="preserve"> </w:t>
      </w:r>
      <w:r>
        <w:rPr>
          <w:rFonts w:cs="Arial Unicode MS" w:eastAsia="Arial Unicode MS"/>
          <w:rtl w:val="0"/>
          <w:lang w:val="en-US"/>
        </w:rPr>
        <w:t xml:space="preserve">Walter and Waterhouse. </w:t>
      </w:r>
      <w:r>
        <w:rPr>
          <w:rFonts w:cs="Arial Unicode MS" w:eastAsia="Arial Unicode MS" w:hint="default"/>
          <w:rtl w:val="1"/>
          <w:lang w:val="ar-SA" w:bidi="ar-SA"/>
        </w:rPr>
        <w:t>“</w:t>
      </w:r>
      <w:r>
        <w:rPr>
          <w:rFonts w:cs="Arial Unicode MS" w:eastAsia="Arial Unicode MS"/>
          <w:rtl w:val="0"/>
          <w:lang w:val="en-US"/>
        </w:rPr>
        <w:t>A Very Private Belief.</w:t>
      </w:r>
      <w:r>
        <w:rPr>
          <w:rFonts w:cs="Arial Unicode MS" w:eastAsia="Arial Unicode MS" w:hint="default"/>
          <w:rtl w:val="0"/>
        </w:rPr>
        <w:t xml:space="preserve">” </w:t>
      </w:r>
      <w:r>
        <w:rPr>
          <w:rFonts w:cs="Arial Unicode MS" w:eastAsia="Arial Unicode MS"/>
          <w:rtl w:val="0"/>
        </w:rPr>
        <w:t>p. 1</w:t>
      </w:r>
      <w:r>
        <w:rPr>
          <w:rFonts w:cs="Arial Unicode MS" w:eastAsia="Arial Unicode MS"/>
          <w:rtl w:val="0"/>
          <w:lang w:val="en-US"/>
        </w:rPr>
        <w:t>90.</w:t>
      </w:r>
    </w:p>
  </w:footnote>
  <w:footnote w:id="20">
    <w:p>
      <w:pPr>
        <w:pStyle w:val="Footnote"/>
        <w:bidi w:val="0"/>
      </w:pPr>
      <w:r>
        <w:rPr>
          <w:vertAlign w:val="superscript"/>
        </w:rPr>
        <w:footnoteRef/>
      </w:r>
      <w:r>
        <w:rPr>
          <w:rFonts w:cs="Arial Unicode MS" w:eastAsia="Arial Unicode MS"/>
          <w:rtl w:val="0"/>
        </w:rPr>
        <w:t xml:space="preserve">Brink. </w:t>
      </w:r>
      <w:r>
        <w:rPr>
          <w:rFonts w:cs="Arial Unicode MS" w:eastAsia="Arial Unicode MS" w:hint="default"/>
          <w:rtl w:val="1"/>
          <w:lang w:val="ar-SA" w:bidi="ar-SA"/>
        </w:rPr>
        <w:t>“</w:t>
      </w:r>
      <w:r>
        <w:rPr>
          <w:rFonts w:cs="Arial Unicode MS" w:eastAsia="Arial Unicode MS"/>
          <w:rtl w:val="0"/>
          <w:lang w:val="en-US"/>
        </w:rPr>
        <w:t>Inconsistency of Belief.</w:t>
      </w:r>
      <w:r>
        <w:rPr>
          <w:rFonts w:cs="Arial Unicode MS" w:eastAsia="Arial Unicode MS" w:hint="default"/>
          <w:rtl w:val="0"/>
        </w:rPr>
        <w:t xml:space="preserve">” </w:t>
      </w:r>
      <w:r>
        <w:rPr>
          <w:rFonts w:cs="Arial Unicode MS" w:eastAsia="Arial Unicode MS"/>
          <w:rtl w:val="0"/>
        </w:rPr>
        <w:t>p. 85.</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8626"/>
        <w:tab w:val="clear" w:pos="9026"/>
      </w:tabs>
      <w:jc w:val="right"/>
    </w:pPr>
    <w:r>
      <w:rPr>
        <w:rtl w:val="0"/>
      </w:rPr>
      <w:fldChar w:fldCharType="begin" w:fldLock="0"/>
    </w:r>
    <w:r>
      <w:rPr>
        <w:rtl w:val="0"/>
      </w:rPr>
      <w:instrText xml:space="preserve"> PAGE </w:instrText>
    </w:r>
    <w:r>
      <w:rPr>
        <w:rtl w:val="0"/>
      </w:rPr>
      <w:fldChar w:fldCharType="separate" w:fldLock="0"/>
    </w:r>
    <w:r>
      <w:rPr>
        <w:rtl w:val="0"/>
      </w:rPr>
      <w:fldChar w:fldCharType="end" w:fldLock="0"/>
    </w:r>
  </w:p>
  <w:p>
    <w:pPr>
      <w:pStyle w:val="Header"/>
      <w:tabs>
        <w:tab w:val="center" w:pos="1196"/>
        <w:tab w:val="right" w:pos="1426"/>
        <w:tab w:val="clear" w:pos="4513"/>
        <w:tab w:val="clear" w:pos="9026"/>
      </w:tabs>
      <w:ind w:right="360"/>
    </w:pPr>
    <w:r>
      <w:rPr>
        <w:rFonts w:ascii="Times New Roman" w:hAnsi="Times New Roman"/>
        <w:rtl w:val="0"/>
        <w:lang w:val="en-US"/>
      </w:rPr>
      <w:t>D Coutts (1907654)</w:t>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Trebuchet MS" w:cs="Arial Unicode MS" w:hAnsi="Trebuchet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lang w:val="en-US"/>
      <w14:textFill>
        <w14:solidFill>
          <w14:srgbClr w14:val="000000"/>
        </w14:solidFill>
      </w14:textFill>
    </w:rPr>
  </w:style>
  <w:style w:type="paragraph" w:styleId="Normal.0">
    <w:name w:val="Normal"/>
    <w:next w:val="Normal.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18"/>
      <w:szCs w:val="18"/>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notes" Target="footnotes.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tab pos="723900" algn="l"/>
          </a:tabLst>
          <a:defRPr b="1" baseline="0" cap="all" i="0" spc="0" strike="noStrike" sz="1000" u="none" kumimoji="0" normalizeH="0">
            <a:ln>
              <a:noFill/>
            </a:ln>
            <a:solidFill>
              <a:srgbClr val="000000"/>
            </a:solidFill>
            <a:effectLst/>
            <a:uFill>
              <a:solidFill>
                <a:srgbClr val="000000"/>
              </a:solidFill>
            </a:uFill>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